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仿宋_GB2312"/>
          <w:sz w:val="36"/>
          <w:szCs w:val="36"/>
        </w:rPr>
      </w:pPr>
    </w:p>
    <w:p>
      <w:pPr>
        <w:rPr>
          <w:rFonts w:cs="仿宋_GB2312"/>
          <w:sz w:val="36"/>
          <w:szCs w:val="36"/>
        </w:rPr>
      </w:pPr>
    </w:p>
    <w:p>
      <w:pPr>
        <w:rPr>
          <w:rFonts w:cs="仿宋_GB2312"/>
          <w:sz w:val="36"/>
          <w:szCs w:val="36"/>
        </w:rPr>
      </w:pPr>
    </w:p>
    <w:p>
      <w:pPr>
        <w:rPr>
          <w:rFonts w:cs="仿宋_GB2312"/>
          <w:sz w:val="36"/>
          <w:szCs w:val="36"/>
        </w:rPr>
      </w:pPr>
    </w:p>
    <w:p>
      <w:pPr>
        <w:rPr>
          <w:rFonts w:cs="仿宋_GB2312"/>
          <w:sz w:val="36"/>
          <w:szCs w:val="36"/>
        </w:rPr>
      </w:pPr>
    </w:p>
    <w:p>
      <w:pPr>
        <w:adjustRightInd w:val="0"/>
        <w:snapToGrid w:val="0"/>
        <w:jc w:val="center"/>
        <w:outlineLvl w:val="0"/>
        <w:rPr>
          <w:rFonts w:ascii="方正小标宋_GBK" w:eastAsia="方正小标宋_GBK"/>
          <w:bCs/>
          <w:sz w:val="72"/>
          <w:szCs w:val="72"/>
        </w:rPr>
      </w:pPr>
      <w:r>
        <w:rPr>
          <w:rFonts w:hint="eastAsia" w:ascii="微软雅黑" w:hAnsi="微软雅黑" w:eastAsia="微软雅黑" w:cs="微软雅黑"/>
          <w:bCs/>
          <w:sz w:val="72"/>
          <w:szCs w:val="72"/>
        </w:rPr>
        <w:t>建设项目环境影响报告表</w:t>
      </w:r>
    </w:p>
    <w:p>
      <w:pPr>
        <w:adjustRightInd w:val="0"/>
        <w:snapToGrid w:val="0"/>
        <w:spacing w:before="192" w:beforeLines="80"/>
        <w:jc w:val="center"/>
        <w:rPr>
          <w:rFonts w:ascii="楷体_GB2312" w:eastAsia="楷体_GB2312"/>
          <w:bCs/>
          <w:sz w:val="48"/>
          <w:szCs w:val="48"/>
        </w:rPr>
      </w:pPr>
      <w:r>
        <w:rPr>
          <w:rFonts w:hint="eastAsia" w:ascii="楷体_GB2312" w:eastAsia="楷体_GB2312"/>
          <w:bCs/>
          <w:sz w:val="48"/>
          <w:szCs w:val="48"/>
        </w:rPr>
        <w:t>（污染影响类）</w:t>
      </w:r>
    </w:p>
    <w:p>
      <w:pPr>
        <w:adjustRightInd w:val="0"/>
        <w:snapToGrid w:val="0"/>
        <w:spacing w:line="288" w:lineRule="auto"/>
        <w:jc w:val="center"/>
        <w:outlineLvl w:val="0"/>
        <w:rPr>
          <w:rFonts w:cs="华文仿宋"/>
          <w:color w:val="000000"/>
          <w:kern w:val="44"/>
          <w:sz w:val="44"/>
          <w:szCs w:val="44"/>
        </w:rPr>
      </w:pPr>
    </w:p>
    <w:p>
      <w:pPr>
        <w:jc w:val="center"/>
        <w:rPr>
          <w:rFonts w:ascii="方正小标宋_GBK" w:eastAsia="方正小标宋_GBK"/>
          <w:sz w:val="52"/>
          <w:szCs w:val="52"/>
        </w:rPr>
      </w:pPr>
    </w:p>
    <w:p>
      <w:pPr>
        <w:ind w:firstLine="1040"/>
        <w:rPr>
          <w:sz w:val="44"/>
          <w:szCs w:val="44"/>
        </w:rPr>
      </w:pPr>
    </w:p>
    <w:p>
      <w:pPr>
        <w:ind w:firstLine="1040"/>
        <w:rPr>
          <w:sz w:val="44"/>
          <w:szCs w:val="44"/>
        </w:rPr>
      </w:pPr>
    </w:p>
    <w:p>
      <w:pPr>
        <w:ind w:firstLine="1040"/>
        <w:rPr>
          <w:sz w:val="44"/>
          <w:szCs w:val="44"/>
        </w:rPr>
      </w:pPr>
    </w:p>
    <w:p>
      <w:pPr>
        <w:ind w:firstLine="1040"/>
        <w:rPr>
          <w:sz w:val="44"/>
          <w:szCs w:val="44"/>
        </w:rPr>
      </w:pPr>
    </w:p>
    <w:p>
      <w:pPr>
        <w:adjustRightInd w:val="0"/>
        <w:snapToGrid w:val="0"/>
        <w:spacing w:line="288" w:lineRule="auto"/>
        <w:rPr>
          <w:rFonts w:ascii="仿宋_GB2312" w:eastAsia="仿宋_GB2312"/>
          <w:sz w:val="36"/>
          <w:szCs w:val="36"/>
          <w:u w:val="single"/>
        </w:rPr>
      </w:pPr>
      <w:r>
        <w:rPr>
          <w:rFonts w:hint="eastAsia" w:ascii="仿宋_GB2312" w:eastAsia="仿宋_GB2312"/>
          <w:sz w:val="36"/>
          <w:szCs w:val="36"/>
        </w:rPr>
        <w:t>项目名称：</w:t>
      </w:r>
      <w:r>
        <w:rPr>
          <w:rFonts w:hint="eastAsia" w:ascii="仿宋_GB2312" w:eastAsia="仿宋_GB2312"/>
          <w:sz w:val="36"/>
          <w:szCs w:val="36"/>
          <w:u w:val="single"/>
        </w:rPr>
        <w:t xml:space="preserve"> 乐山市沙湾区铜河资源绿色建材加工厂项目 </w:t>
      </w:r>
    </w:p>
    <w:p>
      <w:pPr>
        <w:adjustRightInd w:val="0"/>
        <w:snapToGrid w:val="0"/>
        <w:spacing w:line="288" w:lineRule="auto"/>
        <w:rPr>
          <w:rFonts w:ascii="仿宋_GB2312" w:eastAsia="仿宋_GB2312"/>
          <w:sz w:val="36"/>
          <w:szCs w:val="36"/>
          <w:u w:val="single"/>
        </w:rPr>
      </w:pPr>
      <w:r>
        <w:rPr>
          <w:rFonts w:hint="eastAsia" w:ascii="仿宋_GB2312" w:eastAsia="仿宋_GB2312"/>
          <w:sz w:val="36"/>
          <w:szCs w:val="36"/>
        </w:rPr>
        <w:t>建设单位（盖章）：</w:t>
      </w:r>
      <w:r>
        <w:rPr>
          <w:rFonts w:hint="eastAsia" w:ascii="仿宋_GB2312" w:eastAsia="仿宋_GB2312"/>
          <w:sz w:val="36"/>
          <w:szCs w:val="36"/>
          <w:u w:val="single"/>
        </w:rPr>
        <w:t xml:space="preserve">     乐山市睿玺建材有限公司      </w:t>
      </w:r>
    </w:p>
    <w:p>
      <w:pPr>
        <w:adjustRightInd w:val="0"/>
        <w:snapToGrid w:val="0"/>
        <w:spacing w:line="288" w:lineRule="auto"/>
        <w:rPr>
          <w:rFonts w:ascii="仿宋_GB2312" w:eastAsia="仿宋_GB2312"/>
          <w:sz w:val="36"/>
          <w:szCs w:val="36"/>
          <w:u w:val="single"/>
        </w:rPr>
      </w:pPr>
      <w:r>
        <w:rPr>
          <w:rFonts w:hint="eastAsia" w:ascii="仿宋_GB2312" w:eastAsia="仿宋_GB2312"/>
          <w:sz w:val="36"/>
          <w:szCs w:val="36"/>
        </w:rPr>
        <w:t>编制日期：</w:t>
      </w:r>
      <w:r>
        <w:rPr>
          <w:rFonts w:hint="eastAsia" w:ascii="仿宋_GB2312" w:eastAsia="仿宋_GB2312"/>
          <w:sz w:val="36"/>
          <w:szCs w:val="36"/>
          <w:u w:val="single"/>
        </w:rPr>
        <w:t xml:space="preserve">            二〇二三年七月              </w:t>
      </w:r>
    </w:p>
    <w:p>
      <w:pPr>
        <w:adjustRightInd w:val="0"/>
        <w:snapToGrid w:val="0"/>
        <w:spacing w:line="288" w:lineRule="auto"/>
        <w:ind w:firstLine="1040"/>
        <w:rPr>
          <w:sz w:val="36"/>
          <w:szCs w:val="36"/>
          <w:u w:val="single"/>
        </w:rPr>
      </w:pPr>
      <w:bookmarkStart w:id="0" w:name="_Hlk57884087"/>
    </w:p>
    <w:p>
      <w:pPr>
        <w:adjustRightInd w:val="0"/>
        <w:snapToGrid w:val="0"/>
        <w:spacing w:line="288" w:lineRule="auto"/>
        <w:ind w:firstLine="1040"/>
        <w:rPr>
          <w:sz w:val="36"/>
          <w:szCs w:val="36"/>
        </w:rPr>
      </w:pPr>
    </w:p>
    <w:p>
      <w:pPr>
        <w:adjustRightInd w:val="0"/>
        <w:snapToGrid w:val="0"/>
        <w:spacing w:line="288" w:lineRule="auto"/>
        <w:ind w:firstLine="1040"/>
        <w:rPr>
          <w:sz w:val="36"/>
          <w:szCs w:val="36"/>
        </w:rPr>
      </w:pPr>
    </w:p>
    <w:p>
      <w:pPr>
        <w:adjustRightInd w:val="0"/>
        <w:snapToGrid w:val="0"/>
        <w:spacing w:line="288" w:lineRule="auto"/>
        <w:ind w:firstLine="1040"/>
        <w:rPr>
          <w:sz w:val="36"/>
          <w:szCs w:val="36"/>
        </w:rPr>
      </w:pPr>
    </w:p>
    <w:p>
      <w:pPr>
        <w:adjustRightInd w:val="0"/>
        <w:snapToGrid w:val="0"/>
        <w:spacing w:line="288" w:lineRule="auto"/>
        <w:ind w:firstLine="1040"/>
        <w:rPr>
          <w:sz w:val="36"/>
          <w:szCs w:val="36"/>
        </w:rPr>
      </w:pPr>
    </w:p>
    <w:bookmarkEnd w:id="0"/>
    <w:p>
      <w:pPr>
        <w:adjustRightInd w:val="0"/>
        <w:snapToGrid w:val="0"/>
        <w:spacing w:line="288" w:lineRule="auto"/>
        <w:jc w:val="center"/>
        <w:rPr>
          <w:rFonts w:ascii="楷体_GB2312" w:eastAsia="楷体_GB2312"/>
          <w:sz w:val="36"/>
          <w:szCs w:val="36"/>
        </w:rPr>
      </w:pPr>
      <w:r>
        <w:rPr>
          <w:rFonts w:hint="eastAsia" w:ascii="楷体_GB2312" w:eastAsia="楷体_GB2312"/>
          <w:sz w:val="36"/>
          <w:szCs w:val="36"/>
        </w:rPr>
        <w:t>中华人民共和国生态环境部制</w:t>
      </w:r>
    </w:p>
    <w:p>
      <w:pPr>
        <w:adjustRightInd w:val="0"/>
        <w:snapToGrid w:val="0"/>
        <w:spacing w:line="288" w:lineRule="auto"/>
        <w:ind w:firstLine="1040"/>
        <w:rPr>
          <w:sz w:val="36"/>
          <w:szCs w:val="36"/>
        </w:rPr>
      </w:pPr>
    </w:p>
    <w:p>
      <w:pPr>
        <w:adjustRightInd w:val="0"/>
        <w:snapToGrid w:val="0"/>
        <w:spacing w:line="288" w:lineRule="auto"/>
        <w:ind w:firstLine="1040"/>
        <w:rPr>
          <w:sz w:val="36"/>
          <w:szCs w:val="36"/>
        </w:rPr>
      </w:pPr>
    </w:p>
    <w:p>
      <w:pPr>
        <w:adjustRightInd w:val="0"/>
        <w:snapToGrid w:val="0"/>
        <w:spacing w:line="288" w:lineRule="auto"/>
        <w:ind w:firstLine="1040"/>
        <w:rPr>
          <w:sz w:val="36"/>
          <w:szCs w:val="36"/>
        </w:rPr>
      </w:pPr>
    </w:p>
    <w:p>
      <w:pPr>
        <w:adjustRightInd w:val="0"/>
        <w:snapToGrid w:val="0"/>
        <w:spacing w:line="288" w:lineRule="auto"/>
        <w:ind w:firstLine="1040"/>
        <w:rPr>
          <w:sz w:val="36"/>
          <w:szCs w:val="36"/>
        </w:rPr>
      </w:pPr>
    </w:p>
    <w:p>
      <w:pPr>
        <w:adjustRightInd w:val="0"/>
        <w:snapToGrid w:val="0"/>
        <w:spacing w:line="288" w:lineRule="auto"/>
        <w:ind w:firstLine="1040"/>
        <w:rPr>
          <w:sz w:val="36"/>
          <w:szCs w:val="36"/>
        </w:rPr>
      </w:pPr>
    </w:p>
    <w:p>
      <w:pPr>
        <w:adjustRightInd w:val="0"/>
        <w:snapToGrid w:val="0"/>
        <w:spacing w:line="288" w:lineRule="auto"/>
        <w:ind w:firstLine="1040"/>
        <w:rPr>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pPr>
        <w:pStyle w:val="12"/>
        <w:jc w:val="center"/>
        <w:outlineLvl w:val="0"/>
        <w:rPr>
          <w:rFonts w:ascii="Times New Roman" w:hAnsi="Times New Roman"/>
          <w:snapToGrid w:val="0"/>
          <w:sz w:val="30"/>
          <w:szCs w:val="30"/>
        </w:rPr>
      </w:pPr>
      <w:r>
        <w:rPr>
          <w:rFonts w:hint="eastAsia" w:ascii="Times New Roman" w:hAnsi="Times New Roman"/>
          <w:snapToGrid w:val="0"/>
          <w:sz w:val="30"/>
          <w:szCs w:val="30"/>
        </w:rPr>
        <w:t>一、建设项目基本情况</w:t>
      </w:r>
    </w:p>
    <w:tbl>
      <w:tblPr>
        <w:tblStyle w:val="14"/>
        <w:tblW w:w="94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85" w:type="dxa"/>
          <w:left w:w="108" w:type="dxa"/>
          <w:bottom w:w="85" w:type="dxa"/>
          <w:right w:w="108" w:type="dxa"/>
        </w:tblCellMar>
      </w:tblPr>
      <w:tblGrid>
        <w:gridCol w:w="699"/>
        <w:gridCol w:w="1134"/>
        <w:gridCol w:w="1985"/>
        <w:gridCol w:w="1984"/>
        <w:gridCol w:w="36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5" w:hRule="atLeast"/>
          <w:jc w:val="center"/>
        </w:trPr>
        <w:tc>
          <w:tcPr>
            <w:tcW w:w="1833" w:type="dxa"/>
            <w:gridSpan w:val="2"/>
            <w:tcMar>
              <w:top w:w="16" w:type="dxa"/>
              <w:left w:w="16" w:type="dxa"/>
              <w:right w:w="16" w:type="dxa"/>
            </w:tcMar>
            <w:vAlign w:val="center"/>
          </w:tcPr>
          <w:p>
            <w:pPr>
              <w:adjustRightInd w:val="0"/>
              <w:snapToGrid w:val="0"/>
              <w:jc w:val="center"/>
              <w:rPr>
                <w:rFonts w:cs="宋体"/>
                <w:sz w:val="24"/>
              </w:rPr>
            </w:pPr>
            <w:r>
              <w:rPr>
                <w:rFonts w:hint="eastAsia" w:cs="宋体"/>
                <w:sz w:val="24"/>
              </w:rPr>
              <w:t>建设项目名称</w:t>
            </w:r>
          </w:p>
        </w:tc>
        <w:tc>
          <w:tcPr>
            <w:tcW w:w="7653" w:type="dxa"/>
            <w:gridSpan w:val="3"/>
            <w:vAlign w:val="center"/>
          </w:tcPr>
          <w:p>
            <w:pPr>
              <w:adjustRightInd w:val="0"/>
              <w:snapToGrid w:val="0"/>
              <w:jc w:val="center"/>
              <w:rPr>
                <w:rFonts w:cs="宋体"/>
                <w:sz w:val="24"/>
              </w:rPr>
            </w:pPr>
            <w:r>
              <w:rPr>
                <w:rFonts w:hint="eastAsia" w:cs="宋体"/>
                <w:sz w:val="24"/>
              </w:rPr>
              <w:t>乐山市沙湾区铜河资源绿色建材加工厂项目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25" w:hRule="atLeast"/>
          <w:jc w:val="center"/>
        </w:trPr>
        <w:tc>
          <w:tcPr>
            <w:tcW w:w="1833" w:type="dxa"/>
            <w:gridSpan w:val="2"/>
            <w:tcMar>
              <w:top w:w="16" w:type="dxa"/>
              <w:left w:w="16" w:type="dxa"/>
              <w:right w:w="16" w:type="dxa"/>
            </w:tcMar>
            <w:vAlign w:val="center"/>
          </w:tcPr>
          <w:p>
            <w:pPr>
              <w:adjustRightInd w:val="0"/>
              <w:snapToGrid w:val="0"/>
              <w:jc w:val="center"/>
              <w:rPr>
                <w:rFonts w:cs="宋体"/>
                <w:sz w:val="24"/>
              </w:rPr>
            </w:pPr>
            <w:r>
              <w:rPr>
                <w:rFonts w:hint="eastAsia" w:cs="宋体"/>
                <w:sz w:val="24"/>
              </w:rPr>
              <w:t>项目代码</w:t>
            </w:r>
          </w:p>
        </w:tc>
        <w:tc>
          <w:tcPr>
            <w:tcW w:w="7653" w:type="dxa"/>
            <w:gridSpan w:val="3"/>
            <w:vAlign w:val="center"/>
          </w:tcPr>
          <w:p>
            <w:pPr>
              <w:adjustRightInd w:val="0"/>
              <w:snapToGrid w:val="0"/>
              <w:jc w:val="center"/>
              <w:rPr>
                <w:rFonts w:cs="宋体"/>
                <w:sz w:val="24"/>
              </w:rPr>
            </w:pPr>
            <w:r>
              <w:rPr>
                <w:rFonts w:cs="宋体"/>
                <w:sz w:val="24"/>
              </w:rPr>
              <w:t>2210-511111-04-01-819912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25" w:hRule="atLeast"/>
          <w:jc w:val="center"/>
        </w:trPr>
        <w:tc>
          <w:tcPr>
            <w:tcW w:w="1833" w:type="dxa"/>
            <w:gridSpan w:val="2"/>
            <w:tcMar>
              <w:top w:w="16" w:type="dxa"/>
              <w:left w:w="16" w:type="dxa"/>
              <w:right w:w="16" w:type="dxa"/>
            </w:tcMar>
            <w:vAlign w:val="center"/>
          </w:tcPr>
          <w:p>
            <w:pPr>
              <w:adjustRightInd w:val="0"/>
              <w:snapToGrid w:val="0"/>
              <w:jc w:val="center"/>
              <w:rPr>
                <w:rFonts w:cs="宋体"/>
                <w:sz w:val="24"/>
              </w:rPr>
            </w:pPr>
            <w:r>
              <w:rPr>
                <w:rFonts w:hint="eastAsia" w:cs="宋体"/>
                <w:sz w:val="24"/>
              </w:rPr>
              <w:t>建设单位联系人</w:t>
            </w:r>
          </w:p>
        </w:tc>
        <w:tc>
          <w:tcPr>
            <w:tcW w:w="1985" w:type="dxa"/>
            <w:vAlign w:val="center"/>
          </w:tcPr>
          <w:p>
            <w:pPr>
              <w:adjustRightInd w:val="0"/>
              <w:snapToGrid w:val="0"/>
              <w:jc w:val="center"/>
              <w:rPr>
                <w:rFonts w:cs="宋体"/>
                <w:sz w:val="24"/>
              </w:rPr>
            </w:pPr>
            <w:r>
              <w:rPr>
                <w:rFonts w:hint="eastAsia" w:cs="宋体"/>
                <w:sz w:val="24"/>
              </w:rPr>
              <w:t>张书强</w:t>
            </w:r>
          </w:p>
        </w:tc>
        <w:tc>
          <w:tcPr>
            <w:tcW w:w="1984" w:type="dxa"/>
            <w:vAlign w:val="center"/>
          </w:tcPr>
          <w:p>
            <w:pPr>
              <w:adjustRightInd w:val="0"/>
              <w:snapToGrid w:val="0"/>
              <w:jc w:val="center"/>
              <w:rPr>
                <w:rFonts w:cs="宋体"/>
                <w:sz w:val="24"/>
              </w:rPr>
            </w:pPr>
            <w:r>
              <w:rPr>
                <w:rFonts w:hint="eastAsia" w:cs="宋体"/>
                <w:sz w:val="24"/>
              </w:rPr>
              <w:t>联系方式</w:t>
            </w:r>
          </w:p>
        </w:tc>
        <w:tc>
          <w:tcPr>
            <w:tcW w:w="3684" w:type="dxa"/>
            <w:vAlign w:val="center"/>
          </w:tcPr>
          <w:p>
            <w:pPr>
              <w:adjustRightInd w:val="0"/>
              <w:snapToGrid w:val="0"/>
              <w:jc w:val="center"/>
              <w:rPr>
                <w:rFonts w:cs="宋体"/>
                <w:sz w:val="24"/>
              </w:rPr>
            </w:pPr>
            <w:r>
              <w:rPr>
                <w:rFonts w:cs="宋体"/>
                <w:sz w:val="24"/>
              </w:rPr>
              <w:t>18981380032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25" w:hRule="atLeast"/>
          <w:jc w:val="center"/>
        </w:trPr>
        <w:tc>
          <w:tcPr>
            <w:tcW w:w="1833" w:type="dxa"/>
            <w:gridSpan w:val="2"/>
            <w:tcMar>
              <w:top w:w="16" w:type="dxa"/>
              <w:left w:w="16" w:type="dxa"/>
              <w:right w:w="16" w:type="dxa"/>
            </w:tcMar>
            <w:vAlign w:val="center"/>
          </w:tcPr>
          <w:p>
            <w:pPr>
              <w:adjustRightInd w:val="0"/>
              <w:snapToGrid w:val="0"/>
              <w:jc w:val="center"/>
              <w:rPr>
                <w:rFonts w:cs="宋体"/>
                <w:sz w:val="24"/>
              </w:rPr>
            </w:pPr>
            <w:r>
              <w:rPr>
                <w:rFonts w:hint="eastAsia" w:cs="宋体"/>
                <w:sz w:val="24"/>
              </w:rPr>
              <w:t>建设地点</w:t>
            </w:r>
          </w:p>
        </w:tc>
        <w:tc>
          <w:tcPr>
            <w:tcW w:w="7653" w:type="dxa"/>
            <w:gridSpan w:val="3"/>
            <w:vAlign w:val="center"/>
          </w:tcPr>
          <w:p>
            <w:pPr>
              <w:adjustRightInd w:val="0"/>
              <w:snapToGrid w:val="0"/>
              <w:jc w:val="center"/>
              <w:rPr>
                <w:rFonts w:cs="宋体"/>
                <w:sz w:val="24"/>
              </w:rPr>
            </w:pPr>
            <w:r>
              <w:rPr>
                <w:rFonts w:hint="eastAsia" w:cs="宋体"/>
                <w:sz w:val="24"/>
              </w:rPr>
              <w:t>四川省乐山市沙湾区嘉农镇王场村</w:t>
            </w:r>
            <w:r>
              <w:rPr>
                <w:sz w:val="24"/>
              </w:rPr>
              <w:t>民生不锈钢产业园嘉农组团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25" w:hRule="atLeast"/>
          <w:jc w:val="center"/>
        </w:trPr>
        <w:tc>
          <w:tcPr>
            <w:tcW w:w="1833" w:type="dxa"/>
            <w:gridSpan w:val="2"/>
            <w:tcMar>
              <w:top w:w="16" w:type="dxa"/>
              <w:left w:w="16" w:type="dxa"/>
              <w:right w:w="16" w:type="dxa"/>
            </w:tcMar>
            <w:vAlign w:val="center"/>
          </w:tcPr>
          <w:p>
            <w:pPr>
              <w:adjustRightInd w:val="0"/>
              <w:snapToGrid w:val="0"/>
              <w:jc w:val="center"/>
              <w:rPr>
                <w:rFonts w:cs="宋体"/>
                <w:sz w:val="24"/>
              </w:rPr>
            </w:pPr>
            <w:r>
              <w:rPr>
                <w:rFonts w:hint="eastAsia" w:cs="宋体"/>
                <w:sz w:val="24"/>
              </w:rPr>
              <w:t>地理坐标</w:t>
            </w:r>
          </w:p>
        </w:tc>
        <w:tc>
          <w:tcPr>
            <w:tcW w:w="7653" w:type="dxa"/>
            <w:gridSpan w:val="3"/>
            <w:vAlign w:val="center"/>
          </w:tcPr>
          <w:p>
            <w:pPr>
              <w:jc w:val="center"/>
              <w:rPr>
                <w:rFonts w:cs="宋体"/>
                <w:sz w:val="24"/>
              </w:rPr>
            </w:pPr>
            <w:r>
              <w:rPr>
                <w:rFonts w:hint="eastAsia" w:cs="宋体"/>
                <w:sz w:val="24"/>
              </w:rPr>
              <w:t>（</w:t>
            </w:r>
            <w:r>
              <w:rPr>
                <w:rFonts w:hint="eastAsia" w:cs="宋体"/>
                <w:sz w:val="24"/>
                <w:u w:val="single"/>
              </w:rPr>
              <w:t xml:space="preserve"> </w:t>
            </w:r>
            <w:r>
              <w:rPr>
                <w:rFonts w:cs="宋体"/>
                <w:sz w:val="24"/>
                <w:u w:val="single"/>
              </w:rPr>
              <w:t xml:space="preserve">103 </w:t>
            </w:r>
            <w:r>
              <w:rPr>
                <w:rFonts w:hint="eastAsia" w:cs="宋体"/>
                <w:sz w:val="24"/>
              </w:rPr>
              <w:t>度</w:t>
            </w:r>
            <w:r>
              <w:rPr>
                <w:rFonts w:cs="宋体"/>
                <w:sz w:val="24"/>
                <w:u w:val="single"/>
              </w:rPr>
              <w:t xml:space="preserve"> 35 </w:t>
            </w:r>
            <w:r>
              <w:rPr>
                <w:rFonts w:hint="eastAsia" w:cs="宋体"/>
                <w:sz w:val="24"/>
              </w:rPr>
              <w:t>分</w:t>
            </w:r>
            <w:r>
              <w:rPr>
                <w:rFonts w:cs="宋体"/>
                <w:sz w:val="24"/>
                <w:u w:val="single"/>
              </w:rPr>
              <w:t xml:space="preserve"> 8.017 </w:t>
            </w:r>
            <w:r>
              <w:rPr>
                <w:rFonts w:hint="eastAsia" w:cs="宋体"/>
                <w:sz w:val="24"/>
              </w:rPr>
              <w:t>秒，</w:t>
            </w:r>
            <w:r>
              <w:rPr>
                <w:rFonts w:cs="宋体"/>
                <w:sz w:val="24"/>
                <w:u w:val="single"/>
              </w:rPr>
              <w:t xml:space="preserve"> 29 </w:t>
            </w:r>
            <w:r>
              <w:rPr>
                <w:rFonts w:hint="eastAsia" w:cs="宋体"/>
                <w:sz w:val="24"/>
              </w:rPr>
              <w:t>度</w:t>
            </w:r>
            <w:r>
              <w:rPr>
                <w:rFonts w:cs="宋体"/>
                <w:sz w:val="24"/>
                <w:u w:val="single"/>
              </w:rPr>
              <w:t xml:space="preserve"> 28 </w:t>
            </w:r>
            <w:r>
              <w:rPr>
                <w:rFonts w:hint="eastAsia" w:cs="宋体"/>
                <w:sz w:val="24"/>
              </w:rPr>
              <w:t>分</w:t>
            </w:r>
            <w:r>
              <w:rPr>
                <w:rFonts w:cs="宋体"/>
                <w:sz w:val="24"/>
                <w:u w:val="single"/>
              </w:rPr>
              <w:t xml:space="preserve"> 53.517 </w:t>
            </w:r>
            <w:r>
              <w:rPr>
                <w:rFonts w:hint="eastAsia" w:cs="宋体"/>
                <w:sz w:val="24"/>
              </w:rPr>
              <w:t>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25" w:hRule="atLeast"/>
          <w:jc w:val="center"/>
        </w:trPr>
        <w:tc>
          <w:tcPr>
            <w:tcW w:w="1833" w:type="dxa"/>
            <w:gridSpan w:val="2"/>
            <w:tcMar>
              <w:top w:w="16" w:type="dxa"/>
              <w:left w:w="16" w:type="dxa"/>
              <w:right w:w="16" w:type="dxa"/>
            </w:tcMar>
            <w:vAlign w:val="center"/>
          </w:tcPr>
          <w:p>
            <w:pPr>
              <w:adjustRightInd w:val="0"/>
              <w:snapToGrid w:val="0"/>
              <w:jc w:val="center"/>
              <w:rPr>
                <w:rFonts w:cs="宋体"/>
                <w:sz w:val="24"/>
              </w:rPr>
            </w:pPr>
            <w:r>
              <w:rPr>
                <w:rFonts w:hint="eastAsia" w:cs="宋体"/>
                <w:sz w:val="24"/>
              </w:rPr>
              <w:t>国民经济</w:t>
            </w:r>
          </w:p>
          <w:p>
            <w:pPr>
              <w:adjustRightInd w:val="0"/>
              <w:snapToGrid w:val="0"/>
              <w:jc w:val="center"/>
              <w:rPr>
                <w:rFonts w:cs="宋体"/>
                <w:sz w:val="24"/>
              </w:rPr>
            </w:pPr>
            <w:r>
              <w:rPr>
                <w:rFonts w:hint="eastAsia" w:cs="宋体"/>
                <w:sz w:val="24"/>
              </w:rPr>
              <w:t>行业类别</w:t>
            </w:r>
          </w:p>
        </w:tc>
        <w:tc>
          <w:tcPr>
            <w:tcW w:w="1985" w:type="dxa"/>
            <w:vAlign w:val="center"/>
          </w:tcPr>
          <w:p>
            <w:pPr>
              <w:adjustRightInd w:val="0"/>
              <w:snapToGrid w:val="0"/>
              <w:jc w:val="center"/>
              <w:rPr>
                <w:rFonts w:cs="宋体"/>
                <w:sz w:val="24"/>
              </w:rPr>
            </w:pPr>
            <w:r>
              <w:rPr>
                <w:rFonts w:hint="eastAsia" w:cs="宋体"/>
                <w:sz w:val="24"/>
              </w:rPr>
              <w:t>C</w:t>
            </w:r>
            <w:r>
              <w:rPr>
                <w:rFonts w:cs="宋体"/>
                <w:sz w:val="24"/>
              </w:rPr>
              <w:t xml:space="preserve">4220 </w:t>
            </w:r>
            <w:r>
              <w:rPr>
                <w:rFonts w:hint="eastAsia" w:cs="宋体"/>
                <w:sz w:val="24"/>
              </w:rPr>
              <w:t>非金属废料和碎屑加工处理</w:t>
            </w:r>
          </w:p>
        </w:tc>
        <w:tc>
          <w:tcPr>
            <w:tcW w:w="1984" w:type="dxa"/>
            <w:vAlign w:val="center"/>
          </w:tcPr>
          <w:p>
            <w:pPr>
              <w:adjustRightInd w:val="0"/>
              <w:snapToGrid w:val="0"/>
              <w:jc w:val="center"/>
              <w:rPr>
                <w:rFonts w:cs="宋体"/>
                <w:sz w:val="24"/>
              </w:rPr>
            </w:pPr>
            <w:bookmarkStart w:id="1" w:name="_Hlk49843745"/>
            <w:r>
              <w:rPr>
                <w:rFonts w:hint="eastAsia" w:cs="宋体"/>
                <w:sz w:val="24"/>
              </w:rPr>
              <w:t>建设项目</w:t>
            </w:r>
          </w:p>
          <w:p>
            <w:pPr>
              <w:adjustRightInd w:val="0"/>
              <w:snapToGrid w:val="0"/>
              <w:jc w:val="center"/>
              <w:rPr>
                <w:rFonts w:cs="宋体"/>
                <w:sz w:val="24"/>
              </w:rPr>
            </w:pPr>
            <w:r>
              <w:rPr>
                <w:rFonts w:hint="eastAsia" w:cs="宋体"/>
                <w:sz w:val="24"/>
              </w:rPr>
              <w:t>行业类别</w:t>
            </w:r>
            <w:bookmarkEnd w:id="1"/>
          </w:p>
        </w:tc>
        <w:tc>
          <w:tcPr>
            <w:tcW w:w="3684" w:type="dxa"/>
            <w:vAlign w:val="center"/>
          </w:tcPr>
          <w:p>
            <w:pPr>
              <w:adjustRightInd w:val="0"/>
              <w:snapToGrid w:val="0"/>
              <w:rPr>
                <w:sz w:val="24"/>
              </w:rPr>
            </w:pPr>
            <w:r>
              <w:rPr>
                <w:rFonts w:hint="eastAsia"/>
                <w:sz w:val="24"/>
              </w:rPr>
              <w:t>三十九、废弃资源综合利用业 42</w:t>
            </w:r>
          </w:p>
          <w:p>
            <w:pPr>
              <w:adjustRightInd w:val="0"/>
              <w:snapToGrid w:val="0"/>
              <w:rPr>
                <w:sz w:val="24"/>
              </w:rPr>
            </w:pPr>
            <w:r>
              <w:rPr>
                <w:rFonts w:hint="eastAsia"/>
                <w:sz w:val="24"/>
              </w:rPr>
              <w:t xml:space="preserve">非金属废料和碎屑加工处理 </w:t>
            </w:r>
            <w:r>
              <w:rPr>
                <w:sz w:val="24"/>
              </w:rPr>
              <w:t>422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31" w:hRule="atLeast"/>
          <w:jc w:val="center"/>
        </w:trPr>
        <w:tc>
          <w:tcPr>
            <w:tcW w:w="1833" w:type="dxa"/>
            <w:gridSpan w:val="2"/>
            <w:tcMar>
              <w:top w:w="16" w:type="dxa"/>
              <w:left w:w="16" w:type="dxa"/>
              <w:right w:w="16" w:type="dxa"/>
            </w:tcMar>
            <w:vAlign w:val="center"/>
          </w:tcPr>
          <w:p>
            <w:pPr>
              <w:adjustRightInd w:val="0"/>
              <w:snapToGrid w:val="0"/>
              <w:jc w:val="center"/>
              <w:rPr>
                <w:rFonts w:cs="宋体"/>
                <w:sz w:val="24"/>
              </w:rPr>
            </w:pPr>
            <w:r>
              <w:rPr>
                <w:rFonts w:hint="eastAsia" w:cs="宋体"/>
                <w:sz w:val="24"/>
              </w:rPr>
              <w:t>建设性质</w:t>
            </w:r>
          </w:p>
        </w:tc>
        <w:tc>
          <w:tcPr>
            <w:tcW w:w="1985" w:type="dxa"/>
            <w:vAlign w:val="center"/>
          </w:tcPr>
          <w:p>
            <w:pPr>
              <w:jc w:val="left"/>
              <w:rPr>
                <w:rFonts w:cs="宋体"/>
                <w:sz w:val="24"/>
              </w:rPr>
            </w:pPr>
            <w:r>
              <w:rPr>
                <w:rFonts w:hint="eastAsia" w:cs="宋体"/>
                <w:sz w:val="24"/>
              </w:rPr>
              <w:sym w:font="Wingdings 2" w:char="F052"/>
            </w:r>
            <w:r>
              <w:rPr>
                <w:rFonts w:hint="eastAsia" w:cs="宋体"/>
                <w:sz w:val="24"/>
              </w:rPr>
              <w:t>新建（迁建）</w:t>
            </w:r>
          </w:p>
          <w:p>
            <w:pPr>
              <w:jc w:val="left"/>
              <w:rPr>
                <w:rFonts w:cs="宋体"/>
                <w:sz w:val="24"/>
              </w:rPr>
            </w:pPr>
            <w:r>
              <w:rPr>
                <w:rFonts w:hint="eastAsia" w:cs="宋体"/>
                <w:sz w:val="24"/>
              </w:rPr>
              <w:sym w:font="Wingdings 2" w:char="F0A3"/>
            </w:r>
            <w:r>
              <w:rPr>
                <w:rFonts w:hint="eastAsia" w:cs="宋体"/>
                <w:sz w:val="24"/>
              </w:rPr>
              <w:t>改建</w:t>
            </w:r>
          </w:p>
          <w:p>
            <w:pPr>
              <w:jc w:val="left"/>
              <w:rPr>
                <w:rFonts w:cs="宋体"/>
                <w:sz w:val="24"/>
              </w:rPr>
            </w:pPr>
            <w:r>
              <w:rPr>
                <w:rFonts w:hint="eastAsia" w:cs="宋体"/>
                <w:sz w:val="24"/>
              </w:rPr>
              <w:sym w:font="Wingdings 2" w:char="00A3"/>
            </w:r>
            <w:r>
              <w:rPr>
                <w:rFonts w:hint="eastAsia" w:cs="宋体"/>
                <w:sz w:val="24"/>
              </w:rPr>
              <w:t>扩建</w:t>
            </w:r>
          </w:p>
          <w:p>
            <w:pPr>
              <w:jc w:val="left"/>
              <w:rPr>
                <w:rFonts w:cs="宋体"/>
                <w:sz w:val="24"/>
              </w:rPr>
            </w:pPr>
            <w:r>
              <w:rPr>
                <w:rFonts w:hint="eastAsia" w:cs="宋体"/>
                <w:sz w:val="24"/>
              </w:rPr>
              <w:sym w:font="Wingdings 2" w:char="00A3"/>
            </w:r>
            <w:r>
              <w:rPr>
                <w:rFonts w:hint="eastAsia" w:cs="宋体"/>
                <w:sz w:val="24"/>
              </w:rPr>
              <w:t>技术改造</w:t>
            </w:r>
          </w:p>
        </w:tc>
        <w:tc>
          <w:tcPr>
            <w:tcW w:w="1984" w:type="dxa"/>
            <w:vAlign w:val="center"/>
          </w:tcPr>
          <w:p>
            <w:pPr>
              <w:adjustRightInd w:val="0"/>
              <w:snapToGrid w:val="0"/>
              <w:jc w:val="center"/>
              <w:rPr>
                <w:rFonts w:cs="宋体"/>
                <w:sz w:val="24"/>
              </w:rPr>
            </w:pPr>
            <w:r>
              <w:rPr>
                <w:rFonts w:hint="eastAsia" w:cs="宋体"/>
                <w:sz w:val="24"/>
              </w:rPr>
              <w:t>建设项目</w:t>
            </w:r>
          </w:p>
          <w:p>
            <w:pPr>
              <w:adjustRightInd w:val="0"/>
              <w:snapToGrid w:val="0"/>
              <w:jc w:val="center"/>
              <w:rPr>
                <w:rFonts w:cs="宋体"/>
                <w:sz w:val="24"/>
              </w:rPr>
            </w:pPr>
            <w:r>
              <w:rPr>
                <w:rFonts w:hint="eastAsia" w:cs="宋体"/>
                <w:sz w:val="24"/>
              </w:rPr>
              <w:t>申报情形</w:t>
            </w:r>
          </w:p>
        </w:tc>
        <w:tc>
          <w:tcPr>
            <w:tcW w:w="3684" w:type="dxa"/>
            <w:vAlign w:val="center"/>
          </w:tcPr>
          <w:p>
            <w:pPr>
              <w:jc w:val="left"/>
              <w:rPr>
                <w:rFonts w:cs="宋体"/>
                <w:sz w:val="24"/>
              </w:rPr>
            </w:pPr>
            <w:r>
              <w:rPr>
                <w:rFonts w:hint="eastAsia" w:cs="宋体"/>
                <w:sz w:val="24"/>
              </w:rPr>
              <w:sym w:font="Wingdings 2" w:char="F052"/>
            </w:r>
            <w:r>
              <w:rPr>
                <w:rFonts w:hint="eastAsia" w:cs="宋体"/>
                <w:sz w:val="24"/>
              </w:rPr>
              <w:t>首次申报项目</w:t>
            </w:r>
          </w:p>
          <w:p>
            <w:pPr>
              <w:jc w:val="left"/>
              <w:rPr>
                <w:rFonts w:cs="宋体"/>
                <w:sz w:val="24"/>
              </w:rPr>
            </w:pPr>
            <w:r>
              <w:rPr>
                <w:rFonts w:hint="eastAsia" w:cs="宋体"/>
                <w:sz w:val="24"/>
              </w:rPr>
              <w:sym w:font="Wingdings 2" w:char="00A3"/>
            </w:r>
            <w:r>
              <w:rPr>
                <w:rFonts w:hint="eastAsia" w:cs="宋体"/>
                <w:sz w:val="24"/>
              </w:rPr>
              <w:t>不予批准后再次申报项目</w:t>
            </w:r>
          </w:p>
          <w:p>
            <w:pPr>
              <w:jc w:val="left"/>
              <w:rPr>
                <w:rFonts w:cs="宋体"/>
                <w:sz w:val="24"/>
              </w:rPr>
            </w:pPr>
            <w:r>
              <w:rPr>
                <w:rFonts w:hint="eastAsia" w:cs="宋体"/>
                <w:sz w:val="24"/>
              </w:rPr>
              <w:sym w:font="Wingdings 2" w:char="00A3"/>
            </w:r>
            <w:r>
              <w:rPr>
                <w:rFonts w:hint="eastAsia" w:cs="宋体"/>
                <w:sz w:val="24"/>
              </w:rPr>
              <w:t>超五年重新审核项目</w:t>
            </w:r>
          </w:p>
          <w:p>
            <w:pPr>
              <w:jc w:val="left"/>
              <w:rPr>
                <w:rFonts w:cs="宋体"/>
                <w:sz w:val="24"/>
              </w:rPr>
            </w:pPr>
            <w:r>
              <w:rPr>
                <w:rFonts w:hint="eastAsia" w:cs="宋体"/>
                <w:sz w:val="24"/>
              </w:rPr>
              <w:sym w:font="Wingdings 2" w:char="00A3"/>
            </w:r>
            <w:r>
              <w:rPr>
                <w:rFonts w:hint="eastAsia" w:cs="宋体"/>
                <w:sz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5" w:hRule="atLeast"/>
          <w:jc w:val="center"/>
        </w:trPr>
        <w:tc>
          <w:tcPr>
            <w:tcW w:w="1833" w:type="dxa"/>
            <w:gridSpan w:val="2"/>
            <w:tcMar>
              <w:top w:w="16" w:type="dxa"/>
              <w:left w:w="16" w:type="dxa"/>
              <w:right w:w="16" w:type="dxa"/>
            </w:tcMar>
            <w:vAlign w:val="center"/>
          </w:tcPr>
          <w:p>
            <w:pPr>
              <w:adjustRightInd w:val="0"/>
              <w:snapToGrid w:val="0"/>
              <w:jc w:val="center"/>
              <w:rPr>
                <w:rFonts w:cs="宋体"/>
                <w:sz w:val="24"/>
              </w:rPr>
            </w:pPr>
            <w:r>
              <w:rPr>
                <w:rFonts w:hint="eastAsia" w:cs="宋体"/>
                <w:sz w:val="24"/>
              </w:rPr>
              <w:t>项目审批（核准</w:t>
            </w:r>
            <w:r>
              <w:rPr>
                <w:rFonts w:cs="宋体"/>
                <w:sz w:val="24"/>
              </w:rPr>
              <w:t>/</w:t>
            </w:r>
          </w:p>
          <w:p>
            <w:pPr>
              <w:adjustRightInd w:val="0"/>
              <w:snapToGrid w:val="0"/>
              <w:jc w:val="center"/>
              <w:rPr>
                <w:rFonts w:cs="宋体"/>
                <w:sz w:val="24"/>
              </w:rPr>
            </w:pPr>
            <w:r>
              <w:rPr>
                <w:rFonts w:hint="eastAsia" w:cs="宋体"/>
                <w:sz w:val="24"/>
              </w:rPr>
              <w:t>备案）部门</w:t>
            </w:r>
          </w:p>
        </w:tc>
        <w:tc>
          <w:tcPr>
            <w:tcW w:w="1985" w:type="dxa"/>
            <w:vAlign w:val="center"/>
          </w:tcPr>
          <w:p>
            <w:pPr>
              <w:adjustRightInd w:val="0"/>
              <w:snapToGrid w:val="0"/>
              <w:jc w:val="center"/>
              <w:rPr>
                <w:rFonts w:cs="宋体"/>
                <w:sz w:val="24"/>
              </w:rPr>
            </w:pPr>
            <w:r>
              <w:rPr>
                <w:rFonts w:hint="eastAsia" w:cs="宋体"/>
                <w:sz w:val="24"/>
              </w:rPr>
              <w:t>沙湾区发展和改革局</w:t>
            </w:r>
          </w:p>
        </w:tc>
        <w:tc>
          <w:tcPr>
            <w:tcW w:w="1984" w:type="dxa"/>
            <w:vAlign w:val="center"/>
          </w:tcPr>
          <w:p>
            <w:pPr>
              <w:adjustRightInd w:val="0"/>
              <w:snapToGrid w:val="0"/>
              <w:jc w:val="center"/>
              <w:rPr>
                <w:rFonts w:cs="宋体"/>
                <w:sz w:val="24"/>
              </w:rPr>
            </w:pPr>
            <w:r>
              <w:rPr>
                <w:rFonts w:hint="eastAsia" w:cs="宋体"/>
                <w:sz w:val="24"/>
              </w:rPr>
              <w:t>项目审批（核准</w:t>
            </w:r>
            <w:r>
              <w:rPr>
                <w:rFonts w:cs="宋体"/>
                <w:sz w:val="24"/>
              </w:rPr>
              <w:t>/</w:t>
            </w:r>
          </w:p>
          <w:p>
            <w:pPr>
              <w:adjustRightInd w:val="0"/>
              <w:snapToGrid w:val="0"/>
              <w:jc w:val="center"/>
              <w:rPr>
                <w:rFonts w:cs="宋体"/>
                <w:sz w:val="24"/>
              </w:rPr>
            </w:pPr>
            <w:r>
              <w:rPr>
                <w:rFonts w:hint="eastAsia" w:cs="宋体"/>
                <w:sz w:val="24"/>
              </w:rPr>
              <w:t>备案）文号</w:t>
            </w:r>
          </w:p>
        </w:tc>
        <w:tc>
          <w:tcPr>
            <w:tcW w:w="3684" w:type="dxa"/>
            <w:vAlign w:val="center"/>
          </w:tcPr>
          <w:p>
            <w:pPr>
              <w:adjustRightInd w:val="0"/>
              <w:snapToGrid w:val="0"/>
              <w:jc w:val="center"/>
              <w:rPr>
                <w:rFonts w:cs="宋体"/>
                <w:sz w:val="24"/>
              </w:rPr>
            </w:pPr>
            <w:r>
              <w:rPr>
                <w:rFonts w:hint="eastAsia" w:cs="宋体"/>
                <w:sz w:val="24"/>
              </w:rPr>
              <w:t>川投资备【2210-511111-04-01-819912】FGQB-0220号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35" w:hRule="atLeast"/>
          <w:jc w:val="center"/>
        </w:trPr>
        <w:tc>
          <w:tcPr>
            <w:tcW w:w="1833" w:type="dxa"/>
            <w:gridSpan w:val="2"/>
            <w:tcMar>
              <w:top w:w="16" w:type="dxa"/>
              <w:left w:w="16" w:type="dxa"/>
              <w:right w:w="16" w:type="dxa"/>
            </w:tcMar>
            <w:vAlign w:val="center"/>
          </w:tcPr>
          <w:p>
            <w:pPr>
              <w:adjustRightInd w:val="0"/>
              <w:snapToGrid w:val="0"/>
              <w:jc w:val="center"/>
              <w:rPr>
                <w:rFonts w:cs="宋体"/>
                <w:sz w:val="24"/>
              </w:rPr>
            </w:pPr>
            <w:r>
              <w:rPr>
                <w:rFonts w:hint="eastAsia" w:cs="宋体"/>
                <w:sz w:val="24"/>
              </w:rPr>
              <w:t>总投资（万元）</w:t>
            </w:r>
          </w:p>
        </w:tc>
        <w:tc>
          <w:tcPr>
            <w:tcW w:w="1985" w:type="dxa"/>
            <w:vAlign w:val="center"/>
          </w:tcPr>
          <w:p>
            <w:pPr>
              <w:adjustRightInd w:val="0"/>
              <w:snapToGrid w:val="0"/>
              <w:jc w:val="center"/>
              <w:rPr>
                <w:rFonts w:cs="宋体"/>
                <w:sz w:val="24"/>
              </w:rPr>
            </w:pPr>
            <w:r>
              <w:rPr>
                <w:rFonts w:hint="eastAsia" w:cs="宋体"/>
                <w:sz w:val="24"/>
              </w:rPr>
              <w:t>7</w:t>
            </w:r>
            <w:r>
              <w:rPr>
                <w:rFonts w:cs="宋体"/>
                <w:sz w:val="24"/>
              </w:rPr>
              <w:t>000.0</w:t>
            </w:r>
          </w:p>
        </w:tc>
        <w:tc>
          <w:tcPr>
            <w:tcW w:w="1984" w:type="dxa"/>
            <w:tcMar>
              <w:top w:w="16" w:type="dxa"/>
              <w:left w:w="16" w:type="dxa"/>
              <w:right w:w="16" w:type="dxa"/>
            </w:tcMar>
            <w:vAlign w:val="center"/>
          </w:tcPr>
          <w:p>
            <w:pPr>
              <w:adjustRightInd w:val="0"/>
              <w:snapToGrid w:val="0"/>
              <w:jc w:val="center"/>
              <w:rPr>
                <w:rFonts w:cs="宋体"/>
                <w:sz w:val="24"/>
              </w:rPr>
            </w:pPr>
            <w:r>
              <w:rPr>
                <w:rFonts w:hint="eastAsia" w:cs="宋体"/>
                <w:sz w:val="24"/>
              </w:rPr>
              <w:t>环保投资（万元）</w:t>
            </w:r>
          </w:p>
        </w:tc>
        <w:tc>
          <w:tcPr>
            <w:tcW w:w="3684" w:type="dxa"/>
            <w:vAlign w:val="center"/>
          </w:tcPr>
          <w:p>
            <w:pPr>
              <w:adjustRightInd w:val="0"/>
              <w:snapToGrid w:val="0"/>
              <w:jc w:val="center"/>
              <w:rPr>
                <w:rFonts w:cs="宋体"/>
                <w:sz w:val="24"/>
              </w:rPr>
            </w:pPr>
            <w:r>
              <w:rPr>
                <w:rFonts w:cs="宋体"/>
                <w:sz w:val="24"/>
              </w:rPr>
              <w:t>196.0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5" w:hRule="atLeast"/>
          <w:jc w:val="center"/>
        </w:trPr>
        <w:tc>
          <w:tcPr>
            <w:tcW w:w="1833" w:type="dxa"/>
            <w:gridSpan w:val="2"/>
            <w:tcMar>
              <w:top w:w="16" w:type="dxa"/>
              <w:left w:w="16" w:type="dxa"/>
              <w:right w:w="16" w:type="dxa"/>
            </w:tcMar>
            <w:vAlign w:val="center"/>
          </w:tcPr>
          <w:p>
            <w:pPr>
              <w:adjustRightInd w:val="0"/>
              <w:snapToGrid w:val="0"/>
              <w:jc w:val="center"/>
              <w:rPr>
                <w:rFonts w:cs="宋体"/>
                <w:sz w:val="24"/>
              </w:rPr>
            </w:pPr>
            <w:r>
              <w:rPr>
                <w:rFonts w:hint="eastAsia" w:cs="宋体"/>
                <w:sz w:val="24"/>
              </w:rPr>
              <w:t>环保投资占比（</w:t>
            </w:r>
            <w:r>
              <w:rPr>
                <w:rFonts w:cs="宋体"/>
                <w:sz w:val="24"/>
              </w:rPr>
              <w:t>%</w:t>
            </w:r>
            <w:r>
              <w:rPr>
                <w:rFonts w:hint="eastAsia" w:cs="宋体"/>
                <w:sz w:val="24"/>
              </w:rPr>
              <w:t>）</w:t>
            </w:r>
          </w:p>
        </w:tc>
        <w:tc>
          <w:tcPr>
            <w:tcW w:w="1985" w:type="dxa"/>
            <w:vAlign w:val="center"/>
          </w:tcPr>
          <w:p>
            <w:pPr>
              <w:adjustRightInd w:val="0"/>
              <w:snapToGrid w:val="0"/>
              <w:jc w:val="center"/>
              <w:rPr>
                <w:rFonts w:cs="宋体"/>
                <w:sz w:val="24"/>
              </w:rPr>
            </w:pPr>
            <w:r>
              <w:rPr>
                <w:rFonts w:cs="宋体"/>
                <w:sz w:val="24"/>
              </w:rPr>
              <w:t>2.8%</w:t>
            </w:r>
          </w:p>
        </w:tc>
        <w:tc>
          <w:tcPr>
            <w:tcW w:w="1984" w:type="dxa"/>
            <w:tcMar>
              <w:top w:w="16" w:type="dxa"/>
              <w:left w:w="16" w:type="dxa"/>
              <w:right w:w="16" w:type="dxa"/>
            </w:tcMar>
            <w:vAlign w:val="center"/>
          </w:tcPr>
          <w:p>
            <w:pPr>
              <w:adjustRightInd w:val="0"/>
              <w:snapToGrid w:val="0"/>
              <w:jc w:val="center"/>
              <w:rPr>
                <w:rFonts w:cs="宋体"/>
                <w:sz w:val="24"/>
              </w:rPr>
            </w:pPr>
            <w:r>
              <w:rPr>
                <w:rFonts w:hint="eastAsia" w:cs="宋体"/>
                <w:sz w:val="24"/>
              </w:rPr>
              <w:t>施工工期</w:t>
            </w:r>
          </w:p>
        </w:tc>
        <w:tc>
          <w:tcPr>
            <w:tcW w:w="3684" w:type="dxa"/>
            <w:vAlign w:val="center"/>
          </w:tcPr>
          <w:p>
            <w:pPr>
              <w:adjustRightInd w:val="0"/>
              <w:snapToGrid w:val="0"/>
              <w:jc w:val="center"/>
              <w:rPr>
                <w:rFonts w:cs="宋体"/>
                <w:sz w:val="24"/>
              </w:rPr>
            </w:pPr>
            <w:r>
              <w:rPr>
                <w:rFonts w:hint="eastAsia" w:cs="宋体"/>
                <w:sz w:val="24"/>
              </w:rPr>
              <w:t>4个月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497" w:hRule="atLeast"/>
          <w:jc w:val="center"/>
        </w:trPr>
        <w:tc>
          <w:tcPr>
            <w:tcW w:w="1833" w:type="dxa"/>
            <w:gridSpan w:val="2"/>
            <w:tcMar>
              <w:top w:w="16" w:type="dxa"/>
              <w:left w:w="16" w:type="dxa"/>
              <w:right w:w="16" w:type="dxa"/>
            </w:tcMar>
            <w:vAlign w:val="center"/>
          </w:tcPr>
          <w:p>
            <w:pPr>
              <w:adjustRightInd w:val="0"/>
              <w:snapToGrid w:val="0"/>
              <w:jc w:val="center"/>
              <w:rPr>
                <w:rFonts w:cs="宋体"/>
                <w:sz w:val="24"/>
              </w:rPr>
            </w:pPr>
            <w:r>
              <w:rPr>
                <w:rFonts w:hint="eastAsia" w:cs="宋体"/>
                <w:sz w:val="24"/>
              </w:rPr>
              <w:t>是否开工建设</w:t>
            </w:r>
          </w:p>
        </w:tc>
        <w:tc>
          <w:tcPr>
            <w:tcW w:w="1985" w:type="dxa"/>
            <w:vAlign w:val="center"/>
          </w:tcPr>
          <w:p>
            <w:pPr>
              <w:adjustRightInd w:val="0"/>
              <w:snapToGrid w:val="0"/>
              <w:rPr>
                <w:rFonts w:cs="宋体"/>
                <w:sz w:val="24"/>
              </w:rPr>
            </w:pPr>
            <w:r>
              <w:rPr>
                <w:rFonts w:hint="eastAsia" w:cs="宋体"/>
                <w:sz w:val="24"/>
              </w:rPr>
              <w:sym w:font="Wingdings 2" w:char="F052"/>
            </w:r>
            <w:r>
              <w:rPr>
                <w:rFonts w:hint="eastAsia" w:cs="宋体"/>
                <w:sz w:val="24"/>
              </w:rPr>
              <w:t>否</w:t>
            </w:r>
          </w:p>
          <w:p>
            <w:pPr>
              <w:adjustRightInd w:val="0"/>
              <w:snapToGrid w:val="0"/>
              <w:rPr>
                <w:rFonts w:cs="宋体"/>
                <w:sz w:val="24"/>
              </w:rPr>
            </w:pPr>
            <w:r>
              <w:rPr>
                <w:rFonts w:hint="eastAsia" w:cs="宋体"/>
                <w:sz w:val="24"/>
              </w:rPr>
              <w:sym w:font="Wingdings 2" w:char="00A3"/>
            </w:r>
            <w:r>
              <w:rPr>
                <w:rFonts w:hint="eastAsia" w:cs="宋体"/>
                <w:sz w:val="24"/>
              </w:rPr>
              <w:t>是：</w:t>
            </w:r>
            <w:r>
              <w:rPr>
                <w:rFonts w:hint="eastAsia" w:cs="宋体"/>
                <w:sz w:val="24"/>
                <w:u w:val="single"/>
              </w:rPr>
              <w:t xml:space="preserve">             </w:t>
            </w:r>
          </w:p>
        </w:tc>
        <w:tc>
          <w:tcPr>
            <w:tcW w:w="1984" w:type="dxa"/>
            <w:tcMar>
              <w:top w:w="16" w:type="dxa"/>
              <w:left w:w="16" w:type="dxa"/>
              <w:right w:w="16" w:type="dxa"/>
            </w:tcMar>
            <w:vAlign w:val="center"/>
          </w:tcPr>
          <w:p>
            <w:pPr>
              <w:adjustRightInd w:val="0"/>
              <w:snapToGrid w:val="0"/>
              <w:jc w:val="center"/>
              <w:rPr>
                <w:rFonts w:cs="宋体"/>
                <w:spacing w:val="-6"/>
                <w:sz w:val="24"/>
              </w:rPr>
            </w:pPr>
            <w:r>
              <w:rPr>
                <w:rFonts w:hint="eastAsia" w:cs="宋体"/>
                <w:spacing w:val="-6"/>
                <w:sz w:val="24"/>
              </w:rPr>
              <w:t>用地（用海）</w:t>
            </w:r>
          </w:p>
          <w:p>
            <w:pPr>
              <w:adjustRightInd w:val="0"/>
              <w:snapToGrid w:val="0"/>
              <w:jc w:val="center"/>
              <w:rPr>
                <w:rFonts w:cs="宋体"/>
                <w:sz w:val="24"/>
              </w:rPr>
            </w:pPr>
            <w:r>
              <w:rPr>
                <w:rFonts w:hint="eastAsia" w:cs="宋体"/>
                <w:spacing w:val="-6"/>
                <w:sz w:val="24"/>
              </w:rPr>
              <w:t>面积（</w:t>
            </w:r>
            <w:r>
              <w:rPr>
                <w:rFonts w:cs="宋体"/>
                <w:spacing w:val="-6"/>
                <w:sz w:val="24"/>
              </w:rPr>
              <w:t>m</w:t>
            </w:r>
            <w:r>
              <w:rPr>
                <w:rFonts w:cs="宋体"/>
                <w:spacing w:val="-6"/>
                <w:sz w:val="24"/>
                <w:vertAlign w:val="superscript"/>
              </w:rPr>
              <w:t>2</w:t>
            </w:r>
            <w:r>
              <w:rPr>
                <w:rFonts w:hint="eastAsia" w:cs="宋体"/>
                <w:spacing w:val="-6"/>
                <w:sz w:val="24"/>
              </w:rPr>
              <w:t>）</w:t>
            </w:r>
          </w:p>
        </w:tc>
        <w:tc>
          <w:tcPr>
            <w:tcW w:w="3684" w:type="dxa"/>
            <w:vAlign w:val="center"/>
          </w:tcPr>
          <w:p>
            <w:pPr>
              <w:adjustRightInd w:val="0"/>
              <w:snapToGrid w:val="0"/>
              <w:jc w:val="center"/>
              <w:rPr>
                <w:rFonts w:cs="宋体"/>
                <w:sz w:val="24"/>
              </w:rPr>
            </w:pPr>
            <w:r>
              <w:rPr>
                <w:rFonts w:cs="宋体"/>
                <w:sz w:val="24"/>
              </w:rPr>
              <w:t>3400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2032" w:hRule="atLeast"/>
          <w:jc w:val="center"/>
        </w:trPr>
        <w:tc>
          <w:tcPr>
            <w:tcW w:w="699" w:type="dxa"/>
            <w:vAlign w:val="center"/>
          </w:tcPr>
          <w:p>
            <w:pPr>
              <w:autoSpaceDE w:val="0"/>
              <w:autoSpaceDN w:val="0"/>
              <w:adjustRightInd w:val="0"/>
              <w:snapToGrid w:val="0"/>
              <w:jc w:val="center"/>
              <w:rPr>
                <w:rFonts w:cs="宋体"/>
                <w:kern w:val="0"/>
                <w:sz w:val="24"/>
              </w:rPr>
            </w:pPr>
            <w:r>
              <w:rPr>
                <w:rFonts w:hint="eastAsia" w:cs="宋体"/>
                <w:kern w:val="0"/>
                <w:sz w:val="24"/>
              </w:rPr>
              <w:t>专项评价设置情况</w:t>
            </w:r>
          </w:p>
        </w:tc>
        <w:tc>
          <w:tcPr>
            <w:tcW w:w="8787" w:type="dxa"/>
            <w:gridSpan w:val="4"/>
          </w:tcPr>
          <w:tbl>
            <w:tblPr>
              <w:tblStyle w:val="14"/>
              <w:tblW w:w="8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588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5" w:type="dxa"/>
                  <w:tcBorders>
                    <w:top w:val="single" w:color="auto" w:sz="4" w:space="0"/>
                  </w:tcBorders>
                  <w:vAlign w:val="center"/>
                </w:tcPr>
                <w:p>
                  <w:pPr>
                    <w:pStyle w:val="36"/>
                    <w:rPr>
                      <w:color w:val="000000"/>
                    </w:rPr>
                  </w:pPr>
                  <w:r>
                    <w:rPr>
                      <w:rFonts w:hint="eastAsia"/>
                      <w:color w:val="000000"/>
                    </w:rPr>
                    <w:t>专项评价类别</w:t>
                  </w:r>
                </w:p>
              </w:tc>
              <w:tc>
                <w:tcPr>
                  <w:tcW w:w="5883" w:type="dxa"/>
                  <w:tcBorders>
                    <w:top w:val="single" w:color="auto" w:sz="4" w:space="0"/>
                  </w:tcBorders>
                  <w:vAlign w:val="center"/>
                </w:tcPr>
                <w:p>
                  <w:pPr>
                    <w:pStyle w:val="36"/>
                    <w:rPr>
                      <w:color w:val="000000"/>
                    </w:rPr>
                  </w:pPr>
                  <w:r>
                    <w:rPr>
                      <w:rFonts w:hint="eastAsia"/>
                      <w:color w:val="000000"/>
                    </w:rPr>
                    <w:t>设置原则</w:t>
                  </w:r>
                </w:p>
              </w:tc>
              <w:tc>
                <w:tcPr>
                  <w:tcW w:w="1134" w:type="dxa"/>
                  <w:tcBorders>
                    <w:top w:val="single" w:color="auto" w:sz="4" w:space="0"/>
                  </w:tcBorders>
                  <w:vAlign w:val="center"/>
                </w:tcPr>
                <w:p>
                  <w:pPr>
                    <w:pStyle w:val="36"/>
                    <w:rPr>
                      <w:color w:val="000000"/>
                    </w:rPr>
                  </w:pPr>
                  <w:r>
                    <w:rPr>
                      <w:rFonts w:hint="eastAsia"/>
                      <w:color w:val="000000"/>
                    </w:rPr>
                    <w:t>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5" w:type="dxa"/>
                  <w:vAlign w:val="center"/>
                </w:tcPr>
                <w:p>
                  <w:pPr>
                    <w:pStyle w:val="36"/>
                    <w:rPr>
                      <w:color w:val="000000"/>
                    </w:rPr>
                  </w:pPr>
                  <w:r>
                    <w:rPr>
                      <w:rFonts w:hint="eastAsia"/>
                      <w:color w:val="000000"/>
                    </w:rPr>
                    <w:t>大气</w:t>
                  </w:r>
                </w:p>
              </w:tc>
              <w:tc>
                <w:tcPr>
                  <w:tcW w:w="5883" w:type="dxa"/>
                  <w:vAlign w:val="center"/>
                </w:tcPr>
                <w:p>
                  <w:pPr>
                    <w:pStyle w:val="36"/>
                    <w:rPr>
                      <w:color w:val="000000"/>
                    </w:rPr>
                  </w:pPr>
                  <w:r>
                    <w:rPr>
                      <w:rFonts w:hint="eastAsia"/>
                      <w:color w:val="000000"/>
                    </w:rPr>
                    <w:t>排放废气含有毒有害污染物</w:t>
                  </w:r>
                  <w:r>
                    <w:rPr>
                      <w:rFonts w:hint="eastAsia"/>
                      <w:color w:val="000000"/>
                      <w:vertAlign w:val="superscript"/>
                    </w:rPr>
                    <w:t>1</w:t>
                  </w:r>
                  <w:r>
                    <w:rPr>
                      <w:rFonts w:hint="eastAsia"/>
                      <w:color w:val="000000"/>
                    </w:rPr>
                    <w:t>、二噁英、苯并[a]芘、氰化物、氯气且场界外500米范围内有环境空气保护目标</w:t>
                  </w:r>
                  <w:r>
                    <w:rPr>
                      <w:rFonts w:hint="eastAsia"/>
                      <w:color w:val="000000"/>
                      <w:vertAlign w:val="superscript"/>
                    </w:rPr>
                    <w:t>2</w:t>
                  </w:r>
                  <w:r>
                    <w:rPr>
                      <w:rFonts w:hint="eastAsia"/>
                      <w:color w:val="000000"/>
                    </w:rPr>
                    <w:t>的建设项目</w:t>
                  </w:r>
                </w:p>
              </w:tc>
              <w:tc>
                <w:tcPr>
                  <w:tcW w:w="1134" w:type="dxa"/>
                  <w:vAlign w:val="center"/>
                </w:tcPr>
                <w:p>
                  <w:pPr>
                    <w:pStyle w:val="36"/>
                    <w:rPr>
                      <w:color w:val="000000"/>
                    </w:rPr>
                  </w:pPr>
                  <w:r>
                    <w:rPr>
                      <w:rFonts w:hint="eastAsia"/>
                      <w:color w:val="000000"/>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5" w:type="dxa"/>
                  <w:vAlign w:val="center"/>
                </w:tcPr>
                <w:p>
                  <w:pPr>
                    <w:pStyle w:val="36"/>
                    <w:rPr>
                      <w:color w:val="000000"/>
                    </w:rPr>
                  </w:pPr>
                  <w:r>
                    <w:rPr>
                      <w:rFonts w:hint="eastAsia"/>
                      <w:color w:val="000000"/>
                    </w:rPr>
                    <w:t>地表水</w:t>
                  </w:r>
                </w:p>
              </w:tc>
              <w:tc>
                <w:tcPr>
                  <w:tcW w:w="5883" w:type="dxa"/>
                  <w:vAlign w:val="center"/>
                </w:tcPr>
                <w:p>
                  <w:pPr>
                    <w:pStyle w:val="36"/>
                    <w:rPr>
                      <w:color w:val="000000"/>
                    </w:rPr>
                  </w:pPr>
                  <w:r>
                    <w:rPr>
                      <w:rFonts w:hint="eastAsia"/>
                      <w:color w:val="000000"/>
                    </w:rPr>
                    <w:t>新增工业废水直排建设项目（槽罐车外送污水处理厂的除外）；新增废水直排的污水集中处理厂</w:t>
                  </w:r>
                </w:p>
              </w:tc>
              <w:tc>
                <w:tcPr>
                  <w:tcW w:w="1134" w:type="dxa"/>
                  <w:vAlign w:val="center"/>
                </w:tcPr>
                <w:p>
                  <w:pPr>
                    <w:pStyle w:val="36"/>
                    <w:rPr>
                      <w:color w:val="000000"/>
                    </w:rPr>
                  </w:pPr>
                  <w:r>
                    <w:rPr>
                      <w:rFonts w:hint="eastAsia"/>
                      <w:color w:val="000000"/>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5" w:type="dxa"/>
                  <w:vAlign w:val="center"/>
                </w:tcPr>
                <w:p>
                  <w:pPr>
                    <w:pStyle w:val="36"/>
                    <w:rPr>
                      <w:color w:val="000000"/>
                    </w:rPr>
                  </w:pPr>
                  <w:r>
                    <w:rPr>
                      <w:rFonts w:hint="eastAsia"/>
                      <w:color w:val="000000"/>
                    </w:rPr>
                    <w:t>环境风险</w:t>
                  </w:r>
                </w:p>
              </w:tc>
              <w:tc>
                <w:tcPr>
                  <w:tcW w:w="5883" w:type="dxa"/>
                  <w:vAlign w:val="center"/>
                </w:tcPr>
                <w:p>
                  <w:pPr>
                    <w:pStyle w:val="36"/>
                    <w:rPr>
                      <w:color w:val="000000"/>
                    </w:rPr>
                  </w:pPr>
                  <w:r>
                    <w:rPr>
                      <w:rFonts w:hint="eastAsia"/>
                      <w:color w:val="000000"/>
                    </w:rPr>
                    <w:t>有毒有害和易燃易爆危险物质存储量超过临界量</w:t>
                  </w:r>
                  <w:r>
                    <w:rPr>
                      <w:rFonts w:hint="eastAsia"/>
                      <w:color w:val="000000"/>
                      <w:vertAlign w:val="superscript"/>
                    </w:rPr>
                    <w:t>3</w:t>
                  </w:r>
                  <w:r>
                    <w:rPr>
                      <w:rFonts w:hint="eastAsia"/>
                      <w:color w:val="000000"/>
                    </w:rPr>
                    <w:t>的建设项目</w:t>
                  </w:r>
                </w:p>
              </w:tc>
              <w:tc>
                <w:tcPr>
                  <w:tcW w:w="1134" w:type="dxa"/>
                  <w:vAlign w:val="center"/>
                </w:tcPr>
                <w:p>
                  <w:pPr>
                    <w:pStyle w:val="36"/>
                    <w:rPr>
                      <w:color w:val="000000"/>
                    </w:rPr>
                  </w:pPr>
                  <w:r>
                    <w:rPr>
                      <w:rFonts w:hint="eastAsia"/>
                      <w:color w:val="000000"/>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5" w:type="dxa"/>
                  <w:vAlign w:val="center"/>
                </w:tcPr>
                <w:p>
                  <w:pPr>
                    <w:pStyle w:val="36"/>
                    <w:rPr>
                      <w:color w:val="000000"/>
                    </w:rPr>
                  </w:pPr>
                  <w:r>
                    <w:rPr>
                      <w:rFonts w:hint="eastAsia"/>
                      <w:color w:val="000000"/>
                    </w:rPr>
                    <w:t>生态</w:t>
                  </w:r>
                </w:p>
              </w:tc>
              <w:tc>
                <w:tcPr>
                  <w:tcW w:w="5883" w:type="dxa"/>
                  <w:vAlign w:val="center"/>
                </w:tcPr>
                <w:p>
                  <w:pPr>
                    <w:pStyle w:val="36"/>
                    <w:rPr>
                      <w:color w:val="000000"/>
                    </w:rPr>
                  </w:pPr>
                  <w:r>
                    <w:rPr>
                      <w:rFonts w:hint="eastAsia"/>
                      <w:color w:val="000000"/>
                    </w:rPr>
                    <w:t>取水口下游500米范围内有重要水生生物的自然产卵场、索饵场、越冬场和洄游通道的新增河道取水的污染类建设项目</w:t>
                  </w:r>
                </w:p>
              </w:tc>
              <w:tc>
                <w:tcPr>
                  <w:tcW w:w="1134" w:type="dxa"/>
                  <w:vAlign w:val="center"/>
                </w:tcPr>
                <w:p>
                  <w:pPr>
                    <w:pStyle w:val="36"/>
                    <w:rPr>
                      <w:color w:val="000000"/>
                    </w:rPr>
                  </w:pPr>
                  <w:r>
                    <w:rPr>
                      <w:rFonts w:hint="eastAsia"/>
                      <w:color w:val="000000"/>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5" w:type="dxa"/>
                  <w:vAlign w:val="center"/>
                </w:tcPr>
                <w:p>
                  <w:pPr>
                    <w:pStyle w:val="36"/>
                    <w:rPr>
                      <w:color w:val="000000"/>
                    </w:rPr>
                  </w:pPr>
                  <w:r>
                    <w:rPr>
                      <w:rFonts w:hint="eastAsia"/>
                      <w:color w:val="000000"/>
                    </w:rPr>
                    <w:t>海洋</w:t>
                  </w:r>
                </w:p>
              </w:tc>
              <w:tc>
                <w:tcPr>
                  <w:tcW w:w="5883" w:type="dxa"/>
                  <w:vAlign w:val="center"/>
                </w:tcPr>
                <w:p>
                  <w:pPr>
                    <w:pStyle w:val="36"/>
                    <w:rPr>
                      <w:color w:val="000000"/>
                    </w:rPr>
                  </w:pPr>
                  <w:r>
                    <w:rPr>
                      <w:rFonts w:hint="eastAsia"/>
                      <w:color w:val="000000"/>
                    </w:rPr>
                    <w:t>直接向海排放污染物的海洋工程建设项目</w:t>
                  </w:r>
                </w:p>
              </w:tc>
              <w:tc>
                <w:tcPr>
                  <w:tcW w:w="1134" w:type="dxa"/>
                  <w:tcBorders>
                    <w:bottom w:val="single" w:color="auto" w:sz="4" w:space="0"/>
                  </w:tcBorders>
                  <w:vAlign w:val="center"/>
                </w:tcPr>
                <w:p>
                  <w:pPr>
                    <w:pStyle w:val="36"/>
                    <w:rPr>
                      <w:color w:val="000000"/>
                    </w:rPr>
                  </w:pPr>
                  <w:r>
                    <w:rPr>
                      <w:rFonts w:hint="eastAsia"/>
                      <w:color w:val="000000"/>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82" w:type="dxa"/>
                  <w:gridSpan w:val="3"/>
                  <w:tcBorders>
                    <w:bottom w:val="single" w:color="auto" w:sz="4" w:space="0"/>
                  </w:tcBorders>
                  <w:vAlign w:val="center"/>
                </w:tcPr>
                <w:p>
                  <w:pPr>
                    <w:pStyle w:val="36"/>
                    <w:jc w:val="left"/>
                    <w:rPr>
                      <w:color w:val="000000"/>
                    </w:rPr>
                  </w:pPr>
                  <w:r>
                    <w:rPr>
                      <w:color w:val="000000"/>
                    </w:rPr>
                    <w:t>注：1.废气中有毒有害污染物指纳入《有毒有害大气污染物名录》的污染物（不包括无排放标准的污染物）。</w:t>
                  </w:r>
                </w:p>
                <w:p>
                  <w:pPr>
                    <w:pStyle w:val="36"/>
                    <w:jc w:val="left"/>
                    <w:rPr>
                      <w:color w:val="000000"/>
                    </w:rPr>
                  </w:pPr>
                  <w:r>
                    <w:rPr>
                      <w:color w:val="000000"/>
                    </w:rPr>
                    <w:t>2.环境空气保护目标指自然保护区、风景名胜区、居住区、文化区和农村地区中人群较集中的区域。</w:t>
                  </w:r>
                </w:p>
                <w:p>
                  <w:pPr>
                    <w:rPr>
                      <w:color w:val="000000"/>
                    </w:rPr>
                  </w:pPr>
                  <w:r>
                    <w:rPr>
                      <w:color w:val="000000"/>
                    </w:rPr>
                    <w:t>3.临界量及其计算方法可参考《建设项目环境风险评价技术导则》（HJ169）附录B、附录C。</w:t>
                  </w:r>
                </w:p>
              </w:tc>
            </w:tr>
          </w:tbl>
          <w:p>
            <w:pPr>
              <w:autoSpaceDE w:val="0"/>
              <w:autoSpaceDN w:val="0"/>
              <w:adjustRightInd w:val="0"/>
              <w:snapToGrid w:val="0"/>
              <w:spacing w:before="120" w:beforeLines="50" w:line="360" w:lineRule="auto"/>
              <w:ind w:firstLine="480" w:firstLineChars="200"/>
              <w:rPr>
                <w:rFonts w:cs="宋体"/>
                <w:kern w:val="0"/>
                <w:sz w:val="24"/>
              </w:rPr>
            </w:pPr>
            <w:r>
              <w:rPr>
                <w:rFonts w:hint="eastAsia" w:cs="宋体"/>
                <w:kern w:val="0"/>
                <w:sz w:val="24"/>
              </w:rPr>
              <w:t>拟建项目位于</w:t>
            </w:r>
            <w:r>
              <w:rPr>
                <w:rFonts w:hint="eastAsia" w:cs="宋体"/>
                <w:sz w:val="24"/>
              </w:rPr>
              <w:t>四川省乐山市沙湾区嘉农镇王场村</w:t>
            </w:r>
            <w:r>
              <w:rPr>
                <w:sz w:val="24"/>
              </w:rPr>
              <w:t>民生不锈钢产业园嘉农组团</w:t>
            </w:r>
            <w:r>
              <w:rPr>
                <w:rFonts w:hint="eastAsia" w:cs="宋体"/>
                <w:kern w:val="0"/>
                <w:sz w:val="24"/>
              </w:rPr>
              <w:t>。项目运营期大气污染物不涉及有毒有害气体的排放；本项目废水主要为生产废水和员工生活污水。生产废水全部回用于生产或自然蒸发损耗；生活污水依托附近既有污水处理设施处理。根据工程分析，本项目不涉及有毒有害和易燃易爆危险物质，因此本项目不设置专项评价；本项目生产及生活用水来源于自来水，不涉及河道取水，因此本项目不涉及生态评价。综上，本项目不涉及专项评价的设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021" w:hRule="atLeast"/>
          <w:jc w:val="center"/>
        </w:trPr>
        <w:tc>
          <w:tcPr>
            <w:tcW w:w="699" w:type="dxa"/>
            <w:vAlign w:val="center"/>
          </w:tcPr>
          <w:p>
            <w:pPr>
              <w:autoSpaceDE w:val="0"/>
              <w:autoSpaceDN w:val="0"/>
              <w:adjustRightInd w:val="0"/>
              <w:snapToGrid w:val="0"/>
              <w:jc w:val="center"/>
              <w:rPr>
                <w:rFonts w:cs="宋体"/>
                <w:kern w:val="0"/>
                <w:sz w:val="24"/>
              </w:rPr>
            </w:pPr>
            <w:r>
              <w:rPr>
                <w:rFonts w:hint="eastAsia" w:cs="宋体"/>
                <w:sz w:val="24"/>
              </w:rPr>
              <w:t>规划情况</w:t>
            </w:r>
          </w:p>
        </w:tc>
        <w:tc>
          <w:tcPr>
            <w:tcW w:w="8787" w:type="dxa"/>
            <w:gridSpan w:val="4"/>
          </w:tcPr>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本项目位于乐山（沙湾）不锈钢产业园区中的</w:t>
            </w:r>
            <w:r>
              <w:rPr>
                <w:sz w:val="24"/>
              </w:rPr>
              <w:t>民生不锈钢产业园嘉农组团</w:t>
            </w:r>
            <w:r>
              <w:rPr>
                <w:rFonts w:hint="eastAsia" w:cs="宋体"/>
                <w:kern w:val="0"/>
                <w:sz w:val="24"/>
              </w:rPr>
              <w:t>。</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2008年4月17日，乐山市发展和改革委员会以乐发改函[2008]16号文正式批准成立“乐山沙湾工业园区”，2009年12月26日乐山市工业集中区建设发展工作领导小组办公室同意“乐山沙湾工业园区”更名为“乐山（沙湾）冶金建材产业园区”，并在原有“乐山沙湾工业园区”区域范围的基础上扩大四至界范围。调整后四至界范围如下：乐山（沙湾）冶金建材产业园区规划面积27.09平方公里，位于乐山市沙湾区嘉农镇、太平镇，由不锈钢民生产业园、钢铁钒钛循环经济产业园两大片区构成。2013年7月10日，根据《乐山市沙湾区人民政府关于产业园区更名的公告》（乐沙府公告[2013]5号）乐山（沙湾）冶金建材产业园区更名为乐山（沙湾）不锈钢产业园区。</w:t>
            </w:r>
          </w:p>
          <w:p>
            <w:pPr>
              <w:autoSpaceDE w:val="0"/>
              <w:autoSpaceDN w:val="0"/>
              <w:adjustRightInd w:val="0"/>
              <w:snapToGrid w:val="0"/>
              <w:spacing w:line="360" w:lineRule="auto"/>
              <w:ind w:firstLine="480" w:firstLineChars="200"/>
              <w:rPr>
                <w:rFonts w:cs="宋体"/>
                <w:kern w:val="0"/>
                <w:sz w:val="24"/>
              </w:rPr>
            </w:pPr>
            <w:r>
              <w:rPr>
                <w:sz w:val="24"/>
              </w:rPr>
              <w:t>根据规划：园区共分为三个组团，分别为钒钛钢铁循环经济组团、民生不锈钢产业园嘉农组团、民生不锈钢产业园太平组团</w:t>
            </w:r>
            <w:r>
              <w:rPr>
                <w:rFonts w:hint="eastAsia"/>
                <w:sz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335" w:hRule="atLeast"/>
          <w:jc w:val="center"/>
        </w:trPr>
        <w:tc>
          <w:tcPr>
            <w:tcW w:w="699" w:type="dxa"/>
            <w:vAlign w:val="center"/>
          </w:tcPr>
          <w:p>
            <w:pPr>
              <w:adjustRightInd w:val="0"/>
              <w:snapToGrid w:val="0"/>
              <w:jc w:val="center"/>
              <w:rPr>
                <w:rFonts w:cs="宋体"/>
                <w:sz w:val="24"/>
              </w:rPr>
            </w:pPr>
            <w:r>
              <w:rPr>
                <w:rFonts w:hint="eastAsia" w:cs="宋体"/>
                <w:sz w:val="24"/>
              </w:rPr>
              <w:t>规划环境影响评价情况</w:t>
            </w:r>
          </w:p>
        </w:tc>
        <w:tc>
          <w:tcPr>
            <w:tcW w:w="8787" w:type="dxa"/>
            <w:gridSpan w:val="4"/>
          </w:tcPr>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（1）规划环境影响评价文件名称：《乐山（沙湾）冶金建材产业园区规划环境影响报告书》</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召集审查机关：乐山市环境保护局</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审查文件名称及文号：</w:t>
            </w:r>
            <w:r>
              <w:rPr>
                <w:rFonts w:cs="宋体"/>
                <w:kern w:val="0"/>
                <w:sz w:val="24"/>
              </w:rPr>
              <w:t>《</w:t>
            </w:r>
            <w:r>
              <w:rPr>
                <w:rFonts w:hint="eastAsia" w:cs="宋体"/>
                <w:kern w:val="0"/>
                <w:sz w:val="24"/>
              </w:rPr>
              <w:t>关于&lt;乐山（沙湾）冶金建材产业园区规划环境影响报告书</w:t>
            </w:r>
            <w:r>
              <w:rPr>
                <w:rFonts w:cs="宋体"/>
                <w:kern w:val="0"/>
                <w:sz w:val="24"/>
              </w:rPr>
              <w:t>&gt;</w:t>
            </w:r>
            <w:r>
              <w:rPr>
                <w:rFonts w:hint="eastAsia" w:cs="宋体"/>
                <w:kern w:val="0"/>
                <w:sz w:val="24"/>
              </w:rPr>
              <w:t>的审查意见</w:t>
            </w:r>
            <w:r>
              <w:rPr>
                <w:rFonts w:cs="宋体"/>
                <w:kern w:val="0"/>
                <w:sz w:val="24"/>
              </w:rPr>
              <w:t>》</w:t>
            </w:r>
            <w:r>
              <w:rPr>
                <w:rFonts w:hint="eastAsia" w:cs="宋体"/>
                <w:kern w:val="0"/>
                <w:sz w:val="24"/>
              </w:rPr>
              <w:t>（乐市环环[</w:t>
            </w:r>
            <w:r>
              <w:rPr>
                <w:rFonts w:cs="宋体"/>
                <w:kern w:val="0"/>
                <w:sz w:val="24"/>
              </w:rPr>
              <w:t>2010</w:t>
            </w:r>
            <w:r>
              <w:rPr>
                <w:rFonts w:hint="eastAsia" w:cs="宋体"/>
                <w:kern w:val="0"/>
                <w:sz w:val="24"/>
              </w:rPr>
              <w:t>]</w:t>
            </w:r>
            <w:r>
              <w:rPr>
                <w:rFonts w:cs="宋体"/>
                <w:kern w:val="0"/>
                <w:sz w:val="24"/>
              </w:rPr>
              <w:t>136号</w:t>
            </w:r>
            <w:r>
              <w:rPr>
                <w:rFonts w:hint="eastAsia" w:cs="宋体"/>
                <w:kern w:val="0"/>
                <w:sz w:val="24"/>
              </w:rPr>
              <w:t>）</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（2）环境影响跟踪评价文件名称：《乐山（沙湾）不锈钢产业园区环境影响跟踪评价报告书》</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召集审查机关：乐山市生态环境局</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审查文件名称及文号：《关于印发&lt;乐山（沙湾）不锈钢产业园区环境影响跟踪评价报告书审查意见</w:t>
            </w:r>
            <w:r>
              <w:rPr>
                <w:rFonts w:cs="宋体"/>
                <w:kern w:val="0"/>
                <w:sz w:val="24"/>
              </w:rPr>
              <w:t>&gt;</w:t>
            </w:r>
            <w:r>
              <w:rPr>
                <w:rFonts w:hint="eastAsia" w:cs="宋体"/>
                <w:kern w:val="0"/>
                <w:sz w:val="24"/>
              </w:rPr>
              <w:t>的函》（乐市环函[</w:t>
            </w:r>
            <w:r>
              <w:rPr>
                <w:rFonts w:cs="宋体"/>
                <w:kern w:val="0"/>
                <w:sz w:val="24"/>
              </w:rPr>
              <w:t>2019]226</w:t>
            </w:r>
            <w:r>
              <w:rPr>
                <w:rFonts w:hint="eastAsia" w:cs="宋体"/>
                <w:kern w:val="0"/>
                <w:sz w:val="24"/>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30" w:hRule="atLeast"/>
          <w:jc w:val="center"/>
        </w:trPr>
        <w:tc>
          <w:tcPr>
            <w:tcW w:w="699" w:type="dxa"/>
            <w:vAlign w:val="center"/>
          </w:tcPr>
          <w:p>
            <w:pPr>
              <w:autoSpaceDE w:val="0"/>
              <w:autoSpaceDN w:val="0"/>
              <w:adjustRightInd w:val="0"/>
              <w:snapToGrid w:val="0"/>
              <w:jc w:val="center"/>
              <w:rPr>
                <w:rFonts w:cs="宋体"/>
                <w:kern w:val="0"/>
                <w:sz w:val="24"/>
              </w:rPr>
            </w:pPr>
            <w:r>
              <w:rPr>
                <w:rFonts w:hint="eastAsia" w:cs="宋体"/>
                <w:kern w:val="0"/>
                <w:sz w:val="24"/>
              </w:rPr>
              <w:t>规划及规划环境影响评价符合性分析</w:t>
            </w:r>
          </w:p>
        </w:tc>
        <w:tc>
          <w:tcPr>
            <w:tcW w:w="8787" w:type="dxa"/>
            <w:gridSpan w:val="4"/>
          </w:tcPr>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本项目为新建砂石加工项目，位于乐山（沙湾）不锈钢产业园区中的</w:t>
            </w:r>
            <w:r>
              <w:rPr>
                <w:sz w:val="24"/>
              </w:rPr>
              <w:t>民生不锈钢产业园嘉农组团</w:t>
            </w:r>
            <w:r>
              <w:rPr>
                <w:rFonts w:hint="eastAsia"/>
                <w:sz w:val="24"/>
              </w:rPr>
              <w:t>。根据园区用地布置规划图可知，本项目所在区域用地性质为工业用地。</w:t>
            </w:r>
          </w:p>
          <w:p>
            <w:pPr>
              <w:autoSpaceDE w:val="0"/>
              <w:autoSpaceDN w:val="0"/>
              <w:adjustRightInd w:val="0"/>
              <w:snapToGrid w:val="0"/>
              <w:spacing w:line="360" w:lineRule="auto"/>
              <w:ind w:firstLine="482" w:firstLineChars="200"/>
              <w:rPr>
                <w:rFonts w:cs="宋体"/>
                <w:kern w:val="0"/>
                <w:sz w:val="24"/>
              </w:rPr>
            </w:pPr>
            <w:r>
              <w:rPr>
                <w:rFonts w:hint="eastAsia" w:cs="宋体"/>
                <w:b/>
                <w:kern w:val="0"/>
                <w:sz w:val="24"/>
              </w:rPr>
              <w:t>园区规划范围：</w:t>
            </w:r>
            <w:r>
              <w:rPr>
                <w:rFonts w:hint="eastAsia" w:cs="宋体"/>
                <w:kern w:val="0"/>
                <w:sz w:val="24"/>
              </w:rPr>
              <w:t>根据已批复的《乐山（沙湾）冶金建材产业园区规划环境影响报告书》，不锈钢民生产业园规划范围为：东至太平镇当店村外缘、月儿坝村外缘、马胡埂村外缘；南至嘉农镇新园村外缘、魏坝村外缘，太平镇杜家桥村外缘、马胡埂村外缘；西至嘉农镇燎原村外缘、双槐树村外缘、白岩村外缘、新兴村外缘；北至嘉农镇燎原村外缘、太平镇肖店村外缘。</w:t>
            </w:r>
            <w:r>
              <w:rPr>
                <w:sz w:val="24"/>
                <w:szCs w:val="28"/>
              </w:rPr>
              <w:t>规划面积为11.62平方公里。</w:t>
            </w:r>
          </w:p>
          <w:p>
            <w:pPr>
              <w:spacing w:line="360" w:lineRule="auto"/>
              <w:ind w:firstLine="482" w:firstLineChars="200"/>
              <w:rPr>
                <w:sz w:val="24"/>
              </w:rPr>
            </w:pPr>
            <w:r>
              <w:rPr>
                <w:rFonts w:hint="eastAsia" w:cs="宋体"/>
                <w:b/>
                <w:kern w:val="0"/>
                <w:sz w:val="24"/>
              </w:rPr>
              <w:t>园区产业定位：</w:t>
            </w:r>
            <w:r>
              <w:rPr>
                <w:rFonts w:hint="eastAsia" w:cs="宋体"/>
                <w:kern w:val="0"/>
                <w:sz w:val="24"/>
              </w:rPr>
              <w:t>根据已批复的《乐山（沙湾）冶金建材产业园区规划环境影响报告书》，</w:t>
            </w:r>
            <w:r>
              <w:rPr>
                <w:sz w:val="24"/>
              </w:rPr>
              <w:t>民生不锈钢产业园嘉农组团</w:t>
            </w:r>
            <w:r>
              <w:rPr>
                <w:rFonts w:hint="eastAsia" w:cs="宋体"/>
                <w:kern w:val="0"/>
                <w:sz w:val="24"/>
              </w:rPr>
              <w:t>的产业定位为：</w:t>
            </w:r>
            <w:r>
              <w:rPr>
                <w:b/>
                <w:sz w:val="24"/>
                <w:u w:val="single"/>
              </w:rPr>
              <w:t>冶金产品下游产品加工、机械制造加工、建材、物流。以西南不锈钢公司、天华机械制造为龙头，壮大发展以不锈钢为代表的冶金产品下游产品加工产业：以特种水泥、水泥制品、新型墙体材料为代表的建材产业；加快发展以现代物流为代表的生产性服务业；并与钢铁钒钛循环经济产业园整体联动发展，共同打造成西南重要的冶金建材基地。</w:t>
            </w:r>
          </w:p>
          <w:p>
            <w:pPr>
              <w:autoSpaceDE w:val="0"/>
              <w:autoSpaceDN w:val="0"/>
              <w:adjustRightInd w:val="0"/>
              <w:snapToGrid w:val="0"/>
              <w:spacing w:line="360" w:lineRule="auto"/>
              <w:ind w:firstLine="480" w:firstLineChars="200"/>
              <w:rPr>
                <w:rFonts w:cs="宋体"/>
                <w:kern w:val="0"/>
                <w:sz w:val="24"/>
              </w:rPr>
            </w:pPr>
            <w:r>
              <w:rPr>
                <w:rFonts w:cs="宋体"/>
                <w:kern w:val="0"/>
                <w:sz w:val="24"/>
              </w:rPr>
              <w:t>项目与</w:t>
            </w:r>
            <w:r>
              <w:rPr>
                <w:rFonts w:hint="eastAsia" w:cs="宋体"/>
                <w:kern w:val="0"/>
                <w:sz w:val="24"/>
              </w:rPr>
              <w:t>《乐山（沙湾）冶金建材产业园区规划环境影响报告书》</w:t>
            </w:r>
            <w:r>
              <w:rPr>
                <w:rFonts w:cs="宋体"/>
                <w:kern w:val="0"/>
                <w:sz w:val="24"/>
              </w:rPr>
              <w:t>及其规划环评审查意见相关符合性如表下表所示</w:t>
            </w:r>
            <w:r>
              <w:rPr>
                <w:rFonts w:hint="eastAsia" w:cs="宋体"/>
                <w:kern w:val="0"/>
                <w:sz w:val="24"/>
              </w:rPr>
              <w:t>。</w:t>
            </w:r>
          </w:p>
          <w:p>
            <w:pPr>
              <w:pStyle w:val="40"/>
              <w:spacing w:line="240" w:lineRule="auto"/>
            </w:pPr>
            <w:r>
              <w:rPr>
                <w:rFonts w:hint="eastAsia"/>
              </w:rPr>
              <w:t>表1</w:t>
            </w:r>
            <w:r>
              <w:t>-1</w:t>
            </w:r>
            <w:r>
              <w:rPr>
                <w:rFonts w:hint="eastAsia"/>
              </w:rPr>
              <w:t xml:space="preserve"> 本项目与民生不锈钢产业园嘉农组团园区规划环评要求符合性分析</w:t>
            </w:r>
          </w:p>
          <w:tbl>
            <w:tblPr>
              <w:tblStyle w:val="14"/>
              <w:tblW w:w="85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95"/>
              <w:gridCol w:w="4744"/>
              <w:gridCol w:w="2126"/>
              <w:gridCol w:w="87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539" w:type="dxa"/>
                  <w:gridSpan w:val="2"/>
                  <w:vAlign w:val="center"/>
                </w:tcPr>
                <w:p>
                  <w:pPr>
                    <w:pStyle w:val="36"/>
                    <w:rPr>
                      <w:b/>
                    </w:rPr>
                  </w:pPr>
                  <w:r>
                    <w:rPr>
                      <w:rFonts w:hint="eastAsia"/>
                      <w:b/>
                    </w:rPr>
                    <w:t>规划环评报告书及审查意见</w:t>
                  </w:r>
                </w:p>
              </w:tc>
              <w:tc>
                <w:tcPr>
                  <w:tcW w:w="2126" w:type="dxa"/>
                  <w:vAlign w:val="center"/>
                </w:tcPr>
                <w:p>
                  <w:pPr>
                    <w:pStyle w:val="36"/>
                    <w:rPr>
                      <w:b/>
                    </w:rPr>
                  </w:pPr>
                  <w:r>
                    <w:rPr>
                      <w:rFonts w:hint="eastAsia"/>
                      <w:b/>
                    </w:rPr>
                    <w:t>本项目情况</w:t>
                  </w:r>
                </w:p>
              </w:tc>
              <w:tc>
                <w:tcPr>
                  <w:tcW w:w="873" w:type="dxa"/>
                  <w:vAlign w:val="center"/>
                </w:tcPr>
                <w:p>
                  <w:pPr>
                    <w:autoSpaceDE w:val="0"/>
                    <w:autoSpaceDN w:val="0"/>
                    <w:adjustRightInd w:val="0"/>
                    <w:snapToGrid w:val="0"/>
                    <w:jc w:val="center"/>
                    <w:rPr>
                      <w:rFonts w:cs="宋体"/>
                      <w:b/>
                      <w:kern w:val="0"/>
                      <w:sz w:val="24"/>
                    </w:rPr>
                  </w:pPr>
                  <w:r>
                    <w:rPr>
                      <w:rFonts w:hint="eastAsia"/>
                      <w:b/>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795" w:type="dxa"/>
                  <w:vAlign w:val="center"/>
                </w:tcPr>
                <w:p>
                  <w:pPr>
                    <w:jc w:val="center"/>
                    <w:rPr>
                      <w:iCs/>
                      <w:szCs w:val="21"/>
                    </w:rPr>
                  </w:pPr>
                  <w:r>
                    <w:rPr>
                      <w:rFonts w:hint="eastAsia"/>
                      <w:iCs/>
                      <w:szCs w:val="21"/>
                    </w:rPr>
                    <w:t>产业</w:t>
                  </w:r>
                </w:p>
                <w:p>
                  <w:pPr>
                    <w:pStyle w:val="36"/>
                  </w:pPr>
                  <w:r>
                    <w:rPr>
                      <w:rFonts w:hint="eastAsia"/>
                      <w:iCs/>
                    </w:rPr>
                    <w:t>定位</w:t>
                  </w:r>
                </w:p>
              </w:tc>
              <w:tc>
                <w:tcPr>
                  <w:tcW w:w="4744" w:type="dxa"/>
                  <w:vAlign w:val="center"/>
                </w:tcPr>
                <w:p>
                  <w:pPr>
                    <w:pStyle w:val="36"/>
                    <w:jc w:val="both"/>
                    <w:rPr>
                      <w:iCs/>
                    </w:rPr>
                  </w:pPr>
                  <w:r>
                    <w:rPr>
                      <w:rFonts w:hint="eastAsia"/>
                      <w:iCs/>
                    </w:rPr>
                    <w:t>冶金产品下游产品加工、机械制造加工、建材、物流。以西南不锈钢公司、天华机械制造为龙头，壮大发展以不锈钢为代表的冶金产品下游产品加工产业：以特种水泥、水泥制品、新型墙体材料为代表的建材产业；加快发展以现代物流为代表的生产性服务业；并与钢铁钒钛循环经济产业园整体联动发展，共同打造成西南重要的冶金建材基地。</w:t>
                  </w:r>
                </w:p>
              </w:tc>
              <w:tc>
                <w:tcPr>
                  <w:tcW w:w="2126" w:type="dxa"/>
                  <w:vAlign w:val="center"/>
                </w:tcPr>
                <w:p>
                  <w:pPr>
                    <w:pStyle w:val="36"/>
                    <w:jc w:val="both"/>
                  </w:pPr>
                  <w:r>
                    <w:rPr>
                      <w:rFonts w:hint="eastAsia"/>
                      <w:iCs/>
                    </w:rPr>
                    <w:t>本项目为新建砂石加工项目，属于建材行业。</w:t>
                  </w:r>
                </w:p>
              </w:tc>
              <w:tc>
                <w:tcPr>
                  <w:tcW w:w="873" w:type="dxa"/>
                  <w:vAlign w:val="center"/>
                </w:tcPr>
                <w:p>
                  <w:pPr>
                    <w:pStyle w:val="36"/>
                  </w:pPr>
                  <w:r>
                    <w:rPr>
                      <w:rFonts w:hint="eastAsia"/>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795" w:type="dxa"/>
                  <w:vAlign w:val="center"/>
                </w:tcPr>
                <w:p>
                  <w:pPr>
                    <w:pStyle w:val="36"/>
                  </w:pPr>
                  <w:r>
                    <w:rPr>
                      <w:rFonts w:hint="eastAsia"/>
                    </w:rPr>
                    <w:t>入园产业名录</w:t>
                  </w:r>
                </w:p>
              </w:tc>
              <w:tc>
                <w:tcPr>
                  <w:tcW w:w="4744" w:type="dxa"/>
                  <w:vAlign w:val="center"/>
                </w:tcPr>
                <w:p>
                  <w:pPr>
                    <w:pStyle w:val="36"/>
                    <w:jc w:val="both"/>
                  </w:pPr>
                  <w:r>
                    <w:rPr>
                      <w:rFonts w:hint="eastAsia"/>
                    </w:rPr>
                    <w:t>禁止引入的企业：</w:t>
                  </w:r>
                </w:p>
                <w:p>
                  <w:pPr>
                    <w:pStyle w:val="36"/>
                    <w:jc w:val="both"/>
                  </w:pPr>
                  <w:r>
                    <w:rPr>
                      <w:rFonts w:hint="eastAsia"/>
                    </w:rPr>
                    <w:t>禁止向园区引进引水量大、排水量大的企业；</w:t>
                  </w:r>
                </w:p>
                <w:p>
                  <w:pPr>
                    <w:pStyle w:val="36"/>
                    <w:jc w:val="both"/>
                  </w:pPr>
                  <w:r>
                    <w:rPr>
                      <w:rFonts w:hint="eastAsia"/>
                    </w:rPr>
                    <w:t>禁止污染物排放现状超标且无整改措施的企业入园区；</w:t>
                  </w:r>
                </w:p>
                <w:p>
                  <w:pPr>
                    <w:pStyle w:val="36"/>
                    <w:jc w:val="both"/>
                  </w:pPr>
                  <w:r>
                    <w:rPr>
                      <w:rFonts w:hint="eastAsia"/>
                    </w:rPr>
                    <w:t>禁止引入与规划主导产业相制约的企业，确保园区布局合理性。</w:t>
                  </w:r>
                </w:p>
                <w:p>
                  <w:pPr>
                    <w:pStyle w:val="36"/>
                    <w:jc w:val="both"/>
                  </w:pPr>
                  <w:r>
                    <w:rPr>
                      <w:rFonts w:hint="eastAsia"/>
                    </w:rPr>
                    <w:t>禁止引入企业类型：制浆造纸、生物医药、制革、印染、基础化工等水污染和大气污染严重的项目。</w:t>
                  </w:r>
                </w:p>
              </w:tc>
              <w:tc>
                <w:tcPr>
                  <w:tcW w:w="2126" w:type="dxa"/>
                  <w:vAlign w:val="center"/>
                </w:tcPr>
                <w:p>
                  <w:pPr>
                    <w:rPr>
                      <w:rFonts w:eastAsiaTheme="minorEastAsia"/>
                      <w:iCs/>
                      <w:szCs w:val="21"/>
                    </w:rPr>
                  </w:pPr>
                  <w:r>
                    <w:rPr>
                      <w:rFonts w:hint="eastAsia"/>
                      <w:iCs/>
                      <w:szCs w:val="21"/>
                    </w:rPr>
                    <w:t>本项目为新建砂石加工项目，不属于禁止引入的企业类型；用水量，为循环用水，不外排；项目污染物排放采取相关措施后能控制在标准范围内。</w:t>
                  </w:r>
                </w:p>
              </w:tc>
              <w:tc>
                <w:tcPr>
                  <w:tcW w:w="873" w:type="dxa"/>
                  <w:vAlign w:val="center"/>
                </w:tcPr>
                <w:p>
                  <w:pPr>
                    <w:pStyle w:val="36"/>
                  </w:pPr>
                  <w:r>
                    <w:rPr>
                      <w:rFonts w:hint="eastAsia"/>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pPr>
                    <w:pStyle w:val="36"/>
                  </w:pPr>
                  <w:r>
                    <w:rPr>
                      <w:rFonts w:hint="eastAsia"/>
                    </w:rPr>
                    <w:t>清洁生产门槛</w:t>
                  </w:r>
                </w:p>
              </w:tc>
              <w:tc>
                <w:tcPr>
                  <w:tcW w:w="4744" w:type="dxa"/>
                  <w:vAlign w:val="center"/>
                </w:tcPr>
                <w:p>
                  <w:pPr>
                    <w:pStyle w:val="36"/>
                    <w:jc w:val="both"/>
                  </w:pPr>
                  <w:r>
                    <w:rPr>
                      <w:rFonts w:hint="eastAsia"/>
                      <w:iCs/>
                    </w:rPr>
                    <w:t>入园企业必须采用国际、国内先进水平的生产工艺、设备及污染治理技术，能耗、物耗、水耗等均应达到相应行业的清洁生产水平二级或国内先进水平。</w:t>
                  </w:r>
                </w:p>
              </w:tc>
              <w:tc>
                <w:tcPr>
                  <w:tcW w:w="2126" w:type="dxa"/>
                  <w:vAlign w:val="center"/>
                </w:tcPr>
                <w:p>
                  <w:pPr>
                    <w:rPr>
                      <w:iCs/>
                      <w:szCs w:val="21"/>
                    </w:rPr>
                  </w:pPr>
                  <w:r>
                    <w:rPr>
                      <w:rFonts w:hint="eastAsia"/>
                      <w:iCs/>
                      <w:szCs w:val="21"/>
                    </w:rPr>
                    <w:t>本项目清洁生产水平达清洁生产标准二级标准要求。</w:t>
                  </w:r>
                </w:p>
              </w:tc>
              <w:tc>
                <w:tcPr>
                  <w:tcW w:w="873" w:type="dxa"/>
                  <w:vAlign w:val="center"/>
                </w:tcPr>
                <w:p>
                  <w:pPr>
                    <w:pStyle w:val="36"/>
                  </w:pPr>
                  <w:r>
                    <w:rPr>
                      <w:rFonts w:hint="eastAsia"/>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795" w:type="dxa"/>
                  <w:vMerge w:val="restart"/>
                  <w:vAlign w:val="center"/>
                </w:tcPr>
                <w:p>
                  <w:pPr>
                    <w:pStyle w:val="36"/>
                  </w:pPr>
                  <w:r>
                    <w:rPr>
                      <w:rFonts w:hint="eastAsia"/>
                    </w:rPr>
                    <w:t>环境影响减缓措施</w:t>
                  </w:r>
                </w:p>
              </w:tc>
              <w:tc>
                <w:tcPr>
                  <w:tcW w:w="4744" w:type="dxa"/>
                  <w:vAlign w:val="center"/>
                </w:tcPr>
                <w:p>
                  <w:pPr>
                    <w:rPr>
                      <w:szCs w:val="21"/>
                    </w:rPr>
                  </w:pPr>
                  <w:r>
                    <w:rPr>
                      <w:rFonts w:hint="eastAsia"/>
                      <w:szCs w:val="21"/>
                    </w:rPr>
                    <w:t>（1）鼓励采用天然气等清洁能源，减少燃煤使用量；</w:t>
                  </w:r>
                </w:p>
                <w:p>
                  <w:pPr>
                    <w:rPr>
                      <w:szCs w:val="21"/>
                    </w:rPr>
                  </w:pPr>
                  <w:r>
                    <w:rPr>
                      <w:rFonts w:hint="eastAsia"/>
                      <w:szCs w:val="21"/>
                    </w:rPr>
                    <w:t>（2）对园区规模以上食堂应安装净化效率高的油烟净化设施，确保油烟达标排放；</w:t>
                  </w:r>
                </w:p>
                <w:p>
                  <w:pPr>
                    <w:rPr>
                      <w:szCs w:val="21"/>
                    </w:rPr>
                  </w:pPr>
                  <w:r>
                    <w:rPr>
                      <w:rFonts w:hint="eastAsia"/>
                      <w:szCs w:val="21"/>
                    </w:rPr>
                    <w:t>（</w:t>
                  </w:r>
                  <w:r>
                    <w:rPr>
                      <w:szCs w:val="21"/>
                    </w:rPr>
                    <w:t>3</w:t>
                  </w:r>
                  <w:r>
                    <w:rPr>
                      <w:rFonts w:hint="eastAsia"/>
                      <w:szCs w:val="21"/>
                    </w:rPr>
                    <w:t>）企业应加强脱硫、除尘大气污染防治设施的维护、管理，减少大气污染</w:t>
                  </w:r>
                </w:p>
              </w:tc>
              <w:tc>
                <w:tcPr>
                  <w:tcW w:w="2126" w:type="dxa"/>
                  <w:vAlign w:val="center"/>
                </w:tcPr>
                <w:p>
                  <w:pPr>
                    <w:rPr>
                      <w:iCs/>
                      <w:szCs w:val="21"/>
                    </w:rPr>
                  </w:pPr>
                  <w:r>
                    <w:rPr>
                      <w:rFonts w:hint="eastAsia"/>
                      <w:iCs/>
                      <w:szCs w:val="21"/>
                    </w:rPr>
                    <w:t>项目使用能源主要为电能；厂内不设食堂；大气污染物主要为无组织粉尘，通过合理措施治理后能实现达标排放</w:t>
                  </w:r>
                </w:p>
              </w:tc>
              <w:tc>
                <w:tcPr>
                  <w:tcW w:w="873" w:type="dxa"/>
                  <w:vAlign w:val="center"/>
                </w:tcPr>
                <w:p>
                  <w:pPr>
                    <w:pStyle w:val="36"/>
                  </w:pPr>
                  <w:r>
                    <w:rPr>
                      <w:rFonts w:hint="eastAsia"/>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Merge w:val="continue"/>
                  <w:vAlign w:val="center"/>
                </w:tcPr>
                <w:p>
                  <w:pPr>
                    <w:pStyle w:val="36"/>
                  </w:pPr>
                </w:p>
              </w:tc>
              <w:tc>
                <w:tcPr>
                  <w:tcW w:w="4744" w:type="dxa"/>
                  <w:vAlign w:val="center"/>
                </w:tcPr>
                <w:p>
                  <w:pPr>
                    <w:rPr>
                      <w:szCs w:val="21"/>
                    </w:rPr>
                  </w:pPr>
                  <w:r>
                    <w:rPr>
                      <w:rFonts w:hint="eastAsia"/>
                      <w:szCs w:val="21"/>
                    </w:rPr>
                    <w:t>园区产生的工业废水在各自企业厂区内收集后，进入企业自建的污水处理设施处理达到《污水综合排放标准》（GB8978-1996）一级标准及企业相关行业标准后，在尽可能综合利用，提高循环使用率的前提下，达标排放。</w:t>
                  </w:r>
                </w:p>
                <w:p>
                  <w:pPr>
                    <w:rPr>
                      <w:szCs w:val="21"/>
                    </w:rPr>
                  </w:pPr>
                  <w:r>
                    <w:rPr>
                      <w:rFonts w:hint="eastAsia"/>
                      <w:szCs w:val="21"/>
                    </w:rPr>
                    <w:t>园区生活污水在嘉农镇污水处理厂和沙湾城市污水处理厂投入运行后，由污水管网收集至污水处理厂处理后达《城镇污水处理厂污染物排放标准》（GB18918-2002）一级A标准后，排入大渡河左岸河道</w:t>
                  </w:r>
                </w:p>
              </w:tc>
              <w:tc>
                <w:tcPr>
                  <w:tcW w:w="2126" w:type="dxa"/>
                  <w:vAlign w:val="center"/>
                </w:tcPr>
                <w:p>
                  <w:pPr>
                    <w:rPr>
                      <w:iCs/>
                      <w:szCs w:val="21"/>
                    </w:rPr>
                  </w:pPr>
                  <w:r>
                    <w:rPr>
                      <w:rFonts w:hint="eastAsia"/>
                      <w:iCs/>
                      <w:szCs w:val="21"/>
                    </w:rPr>
                    <w:t>项目生产废水全部回用于生产或自然蒸发损耗；生活污水</w:t>
                  </w:r>
                  <w:r>
                    <w:rPr>
                      <w:rFonts w:hint="eastAsia"/>
                    </w:rPr>
                    <w:t>依托附近既有污水处理设施处理</w:t>
                  </w:r>
                </w:p>
              </w:tc>
              <w:tc>
                <w:tcPr>
                  <w:tcW w:w="873" w:type="dxa"/>
                  <w:vAlign w:val="center"/>
                </w:tcPr>
                <w:p>
                  <w:pPr>
                    <w:pStyle w:val="36"/>
                  </w:pPr>
                  <w:r>
                    <w:rPr>
                      <w:rFonts w:hint="eastAsia"/>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795" w:type="dxa"/>
                  <w:vMerge w:val="continue"/>
                  <w:vAlign w:val="center"/>
                </w:tcPr>
                <w:p>
                  <w:pPr>
                    <w:pStyle w:val="36"/>
                  </w:pPr>
                </w:p>
              </w:tc>
              <w:tc>
                <w:tcPr>
                  <w:tcW w:w="4744" w:type="dxa"/>
                  <w:vAlign w:val="center"/>
                </w:tcPr>
                <w:p>
                  <w:pPr>
                    <w:rPr>
                      <w:szCs w:val="21"/>
                    </w:rPr>
                  </w:pPr>
                  <w:r>
                    <w:rPr>
                      <w:rFonts w:hint="eastAsia"/>
                      <w:szCs w:val="21"/>
                    </w:rPr>
                    <w:t>入驻企业通过选用低噪声设备、基础减震、隔声、消声等措施，确保厂界噪声达标</w:t>
                  </w:r>
                </w:p>
              </w:tc>
              <w:tc>
                <w:tcPr>
                  <w:tcW w:w="2126" w:type="dxa"/>
                  <w:vAlign w:val="center"/>
                </w:tcPr>
                <w:p>
                  <w:pPr>
                    <w:rPr>
                      <w:szCs w:val="21"/>
                    </w:rPr>
                  </w:pPr>
                  <w:r>
                    <w:rPr>
                      <w:rFonts w:hint="eastAsia"/>
                      <w:szCs w:val="21"/>
                    </w:rPr>
                    <w:t>本项目通过采取选用低噪声设备、基础减震、隔声等措施，厂界噪声能够做到达标排放</w:t>
                  </w:r>
                </w:p>
              </w:tc>
              <w:tc>
                <w:tcPr>
                  <w:tcW w:w="873" w:type="dxa"/>
                  <w:vAlign w:val="center"/>
                </w:tcPr>
                <w:p>
                  <w:pPr>
                    <w:pStyle w:val="36"/>
                  </w:pPr>
                  <w:r>
                    <w:rPr>
                      <w:rFonts w:hint="eastAsia"/>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795" w:type="dxa"/>
                  <w:vMerge w:val="continue"/>
                  <w:vAlign w:val="center"/>
                </w:tcPr>
                <w:p>
                  <w:pPr>
                    <w:pStyle w:val="36"/>
                  </w:pPr>
                </w:p>
              </w:tc>
              <w:tc>
                <w:tcPr>
                  <w:tcW w:w="4744" w:type="dxa"/>
                  <w:vAlign w:val="center"/>
                </w:tcPr>
                <w:p>
                  <w:pPr>
                    <w:rPr>
                      <w:szCs w:val="21"/>
                    </w:rPr>
                  </w:pPr>
                  <w:r>
                    <w:rPr>
                      <w:rFonts w:hint="eastAsia"/>
                      <w:szCs w:val="21"/>
                    </w:rPr>
                    <w:t>（1）生活垃圾应由环卫部门进行统一收集、处理，不得随意堆放；</w:t>
                  </w:r>
                </w:p>
                <w:p>
                  <w:pPr>
                    <w:rPr>
                      <w:szCs w:val="21"/>
                    </w:rPr>
                  </w:pPr>
                  <w:r>
                    <w:rPr>
                      <w:rFonts w:hint="eastAsia"/>
                      <w:szCs w:val="21"/>
                    </w:rPr>
                    <w:t>（2）一般工业固废，各企业应加强对内部固废的收集、贮存、运输、处置的管理；</w:t>
                  </w:r>
                </w:p>
                <w:p>
                  <w:pPr>
                    <w:rPr>
                      <w:szCs w:val="21"/>
                    </w:rPr>
                  </w:pPr>
                  <w:r>
                    <w:rPr>
                      <w:rFonts w:hint="eastAsia"/>
                      <w:szCs w:val="21"/>
                    </w:rPr>
                    <w:t>（3）危险废物必须按照国家有关法律法规处置，明确妥善的最终去向</w:t>
                  </w:r>
                </w:p>
              </w:tc>
              <w:tc>
                <w:tcPr>
                  <w:tcW w:w="2126" w:type="dxa"/>
                  <w:vAlign w:val="center"/>
                </w:tcPr>
                <w:p>
                  <w:pPr>
                    <w:rPr>
                      <w:iCs/>
                      <w:szCs w:val="21"/>
                    </w:rPr>
                  </w:pPr>
                  <w:r>
                    <w:rPr>
                      <w:rFonts w:hint="eastAsia"/>
                      <w:szCs w:val="21"/>
                    </w:rPr>
                    <w:t>项目固废处置合理，去向明确，不会造成二次污染</w:t>
                  </w:r>
                </w:p>
              </w:tc>
              <w:tc>
                <w:tcPr>
                  <w:tcW w:w="873" w:type="dxa"/>
                  <w:vAlign w:val="center"/>
                </w:tcPr>
                <w:p>
                  <w:pPr>
                    <w:pStyle w:val="36"/>
                  </w:pPr>
                  <w:r>
                    <w:rPr>
                      <w:rFonts w:hint="eastAsia"/>
                    </w:rPr>
                    <w:t>符合</w:t>
                  </w:r>
                </w:p>
              </w:tc>
            </w:tr>
          </w:tbl>
          <w:p>
            <w:pPr>
              <w:autoSpaceDE w:val="0"/>
              <w:autoSpaceDN w:val="0"/>
              <w:adjustRightInd w:val="0"/>
              <w:snapToGrid w:val="0"/>
              <w:spacing w:before="120" w:beforeLines="50" w:line="360" w:lineRule="auto"/>
              <w:ind w:firstLine="480" w:firstLineChars="200"/>
              <w:rPr>
                <w:rFonts w:cs="宋体"/>
                <w:kern w:val="0"/>
                <w:sz w:val="24"/>
              </w:rPr>
            </w:pPr>
            <w:r>
              <w:rPr>
                <w:rFonts w:hint="eastAsia" w:cs="宋体"/>
                <w:kern w:val="0"/>
                <w:sz w:val="24"/>
              </w:rPr>
              <w:t>综上，本项目与已批复的《乐山（沙湾）冶金建材产业园区规划环境影响报告书》相符合。</w:t>
            </w:r>
          </w:p>
          <w:p>
            <w:pPr>
              <w:autoSpaceDE w:val="0"/>
              <w:autoSpaceDN w:val="0"/>
              <w:adjustRightInd w:val="0"/>
              <w:snapToGrid w:val="0"/>
              <w:spacing w:line="360" w:lineRule="auto"/>
              <w:ind w:firstLine="480" w:firstLineChars="200"/>
              <w:rPr>
                <w:rFonts w:cs="宋体"/>
                <w:kern w:val="0"/>
                <w:sz w:val="24"/>
              </w:rPr>
            </w:pPr>
            <w:r>
              <w:rPr>
                <w:rFonts w:cs="宋体"/>
                <w:kern w:val="0"/>
                <w:sz w:val="24"/>
              </w:rPr>
              <w:t>项目与</w:t>
            </w:r>
            <w:r>
              <w:rPr>
                <w:rFonts w:hint="eastAsia" w:cs="宋体"/>
                <w:kern w:val="0"/>
                <w:sz w:val="24"/>
              </w:rPr>
              <w:t>《乐山（沙湾）不锈钢产业园区环境影响跟踪评价报告书》</w:t>
            </w:r>
            <w:r>
              <w:rPr>
                <w:rFonts w:cs="宋体"/>
                <w:kern w:val="0"/>
                <w:sz w:val="24"/>
              </w:rPr>
              <w:t>及其审查意见相关符合性如表下表所示</w:t>
            </w:r>
            <w:r>
              <w:rPr>
                <w:rFonts w:hint="eastAsia" w:cs="宋体"/>
                <w:kern w:val="0"/>
                <w:sz w:val="24"/>
              </w:rPr>
              <w:t>。</w:t>
            </w:r>
          </w:p>
          <w:p>
            <w:pPr>
              <w:pStyle w:val="40"/>
              <w:spacing w:line="240" w:lineRule="auto"/>
            </w:pPr>
            <w:r>
              <w:rPr>
                <w:rFonts w:hint="eastAsia"/>
              </w:rPr>
              <w:t>表1</w:t>
            </w:r>
            <w:r>
              <w:t>-2</w:t>
            </w:r>
            <w:r>
              <w:rPr>
                <w:rFonts w:hint="eastAsia"/>
              </w:rPr>
              <w:t xml:space="preserve"> 本项目与环境影响跟踪评价要求符合性分析</w:t>
            </w:r>
          </w:p>
          <w:tbl>
            <w:tblPr>
              <w:tblStyle w:val="14"/>
              <w:tblW w:w="862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2"/>
              <w:gridCol w:w="4939"/>
              <w:gridCol w:w="2126"/>
              <w:gridCol w:w="90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591" w:type="dxa"/>
                  <w:gridSpan w:val="2"/>
                  <w:vAlign w:val="center"/>
                </w:tcPr>
                <w:p>
                  <w:pPr>
                    <w:pStyle w:val="36"/>
                    <w:rPr>
                      <w:b/>
                    </w:rPr>
                  </w:pPr>
                  <w:r>
                    <w:rPr>
                      <w:rFonts w:hint="eastAsia"/>
                      <w:b/>
                    </w:rPr>
                    <w:t>跟踪评价报告书及审查意见</w:t>
                  </w:r>
                </w:p>
              </w:tc>
              <w:tc>
                <w:tcPr>
                  <w:tcW w:w="2126" w:type="dxa"/>
                  <w:vAlign w:val="center"/>
                </w:tcPr>
                <w:p>
                  <w:pPr>
                    <w:pStyle w:val="36"/>
                    <w:rPr>
                      <w:b/>
                    </w:rPr>
                  </w:pPr>
                  <w:r>
                    <w:rPr>
                      <w:rFonts w:hint="eastAsia"/>
                      <w:b/>
                    </w:rPr>
                    <w:t>本项目情况</w:t>
                  </w:r>
                </w:p>
              </w:tc>
              <w:tc>
                <w:tcPr>
                  <w:tcW w:w="903" w:type="dxa"/>
                  <w:vAlign w:val="center"/>
                </w:tcPr>
                <w:p>
                  <w:pPr>
                    <w:autoSpaceDE w:val="0"/>
                    <w:autoSpaceDN w:val="0"/>
                    <w:adjustRightInd w:val="0"/>
                    <w:snapToGrid w:val="0"/>
                    <w:jc w:val="center"/>
                    <w:rPr>
                      <w:rFonts w:cs="宋体"/>
                      <w:b/>
                      <w:kern w:val="0"/>
                      <w:sz w:val="24"/>
                    </w:rPr>
                  </w:pPr>
                  <w:r>
                    <w:rPr>
                      <w:rFonts w:hint="eastAsia"/>
                      <w:b/>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52" w:type="dxa"/>
                  <w:vMerge w:val="restart"/>
                  <w:vAlign w:val="center"/>
                </w:tcPr>
                <w:p>
                  <w:pPr>
                    <w:pStyle w:val="36"/>
                  </w:pPr>
                  <w:r>
                    <w:rPr>
                      <w:rFonts w:hint="eastAsia"/>
                    </w:rPr>
                    <w:t>负面准入清单</w:t>
                  </w:r>
                </w:p>
              </w:tc>
              <w:tc>
                <w:tcPr>
                  <w:tcW w:w="4939" w:type="dxa"/>
                  <w:vAlign w:val="center"/>
                </w:tcPr>
                <w:p>
                  <w:pPr>
                    <w:pStyle w:val="36"/>
                    <w:jc w:val="both"/>
                  </w:pPr>
                  <w:r>
                    <w:rPr>
                      <w:rFonts w:hint="eastAsia"/>
                    </w:rPr>
                    <w:t>禁止类：</w:t>
                  </w:r>
                </w:p>
                <w:p>
                  <w:pPr>
                    <w:pStyle w:val="36"/>
                    <w:jc w:val="both"/>
                  </w:pPr>
                  <w:r>
                    <w:rPr>
                      <w:rFonts w:hint="eastAsia"/>
                    </w:rPr>
                    <w:t>1、不符合国家现行产业政策及乐山市环境准入要求的项目，清洁生产水平低于二级水平的项目。</w:t>
                  </w:r>
                </w:p>
                <w:p>
                  <w:pPr>
                    <w:pStyle w:val="36"/>
                    <w:jc w:val="both"/>
                  </w:pPr>
                  <w:r>
                    <w:rPr>
                      <w:rFonts w:hint="eastAsia"/>
                    </w:rPr>
                    <w:t>2、与园区产业定位及《中共四川省委关于全面推动高质量发展的决定》不相符的石油化工、煤化工、制浆造纸、生物医药发酵制药、印染、制革、基础化工、水泥、火电等项目。</w:t>
                  </w:r>
                </w:p>
                <w:p>
                  <w:pPr>
                    <w:pStyle w:val="36"/>
                    <w:jc w:val="both"/>
                  </w:pPr>
                  <w:r>
                    <w:rPr>
                      <w:rFonts w:hint="eastAsia"/>
                    </w:rPr>
                    <w:t>3、国家明令禁止的“十五小”“新五小”企业及工艺设备落后、产品滞销、污染严重，且污染物不能进行有效治理的项目。</w:t>
                  </w:r>
                </w:p>
                <w:p>
                  <w:pPr>
                    <w:pStyle w:val="36"/>
                    <w:jc w:val="both"/>
                  </w:pPr>
                  <w:r>
                    <w:rPr>
                      <w:rFonts w:hint="eastAsia"/>
                    </w:rPr>
                    <w:t>4、禁止新建焦化项目、硫酸生产项目、盐酸生产项目、电石法工艺路线PVC生产项目等大气污染严重项目。</w:t>
                  </w:r>
                </w:p>
                <w:p>
                  <w:pPr>
                    <w:pStyle w:val="36"/>
                    <w:jc w:val="both"/>
                  </w:pPr>
                  <w:r>
                    <w:rPr>
                      <w:rFonts w:hint="eastAsia"/>
                    </w:rPr>
                    <w:t>5、电子元器件行业：禁止引入印制电路板制造项目。</w:t>
                  </w:r>
                </w:p>
                <w:p>
                  <w:pPr>
                    <w:pStyle w:val="36"/>
                    <w:jc w:val="both"/>
                  </w:pPr>
                  <w:r>
                    <w:t>6</w:t>
                  </w:r>
                  <w:r>
                    <w:rPr>
                      <w:rFonts w:hint="eastAsia"/>
                    </w:rPr>
                    <w:t>、化学原料及化学品制造：基本化学原料制造、农药制造。</w:t>
                  </w:r>
                </w:p>
                <w:p>
                  <w:pPr>
                    <w:pStyle w:val="36"/>
                    <w:jc w:val="both"/>
                  </w:pPr>
                  <w:r>
                    <w:rPr>
                      <w:rFonts w:hint="eastAsia"/>
                    </w:rPr>
                    <w:t>7、化学纤维制造、橡胶制品业中的轮胎制造，建材制造中的水泥、平板玻璃、石棉、石墨制造。</w:t>
                  </w:r>
                </w:p>
                <w:p>
                  <w:pPr>
                    <w:pStyle w:val="36"/>
                    <w:jc w:val="both"/>
                  </w:pPr>
                  <w:r>
                    <w:rPr>
                      <w:rFonts w:hint="eastAsia"/>
                    </w:rPr>
                    <w:t>8、其它不符合国家产业政策，不符合园区产业定位的企业。</w:t>
                  </w:r>
                </w:p>
                <w:p>
                  <w:pPr>
                    <w:pStyle w:val="36"/>
                    <w:jc w:val="both"/>
                  </w:pPr>
                  <w:r>
                    <w:rPr>
                      <w:rFonts w:hint="eastAsia"/>
                    </w:rPr>
                    <w:t>9、其他水污染物排放量大、废水处理难度大、排放有毒有害及铅、汞、六价铬等重金属废水的项目。</w:t>
                  </w:r>
                </w:p>
              </w:tc>
              <w:tc>
                <w:tcPr>
                  <w:tcW w:w="2126" w:type="dxa"/>
                  <w:vAlign w:val="center"/>
                </w:tcPr>
                <w:p>
                  <w:pPr>
                    <w:rPr>
                      <w:rFonts w:eastAsiaTheme="minorEastAsia"/>
                      <w:iCs/>
                      <w:szCs w:val="21"/>
                    </w:rPr>
                  </w:pPr>
                  <w:r>
                    <w:rPr>
                      <w:rFonts w:hint="eastAsia"/>
                      <w:iCs/>
                      <w:szCs w:val="21"/>
                    </w:rPr>
                    <w:t>本项目为新建砂石加工项目，符合</w:t>
                  </w:r>
                  <w:r>
                    <w:rPr>
                      <w:rFonts w:hint="eastAsia"/>
                    </w:rPr>
                    <w:t>国家现行产业政策及乐山市环境准入要求，</w:t>
                  </w:r>
                  <w:r>
                    <w:rPr>
                      <w:rFonts w:hint="eastAsia"/>
                      <w:iCs/>
                      <w:szCs w:val="21"/>
                    </w:rPr>
                    <w:t>项目清洁生产水平达清洁生产标准二级标准要求；项目无落后设备，产生污染物通过治理后能达标排放，无废水排放。因此本项目不属于禁止类</w:t>
                  </w:r>
                </w:p>
              </w:tc>
              <w:tc>
                <w:tcPr>
                  <w:tcW w:w="903" w:type="dxa"/>
                  <w:vAlign w:val="center"/>
                </w:tcPr>
                <w:p>
                  <w:pPr>
                    <w:pStyle w:val="36"/>
                  </w:pPr>
                  <w:r>
                    <w:rPr>
                      <w:rFonts w:hint="eastAsia"/>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52" w:type="dxa"/>
                  <w:vMerge w:val="continue"/>
                  <w:vAlign w:val="center"/>
                </w:tcPr>
                <w:p>
                  <w:pPr>
                    <w:pStyle w:val="36"/>
                  </w:pPr>
                </w:p>
              </w:tc>
              <w:tc>
                <w:tcPr>
                  <w:tcW w:w="4939" w:type="dxa"/>
                  <w:vAlign w:val="center"/>
                </w:tcPr>
                <w:p>
                  <w:pPr>
                    <w:pStyle w:val="36"/>
                    <w:jc w:val="both"/>
                  </w:pPr>
                  <w:r>
                    <w:rPr>
                      <w:rFonts w:hint="eastAsia"/>
                    </w:rPr>
                    <w:t>限制类：</w:t>
                  </w:r>
                </w:p>
                <w:p>
                  <w:pPr>
                    <w:pStyle w:val="36"/>
                    <w:jc w:val="both"/>
                  </w:pPr>
                  <w:r>
                    <w:rPr>
                      <w:rFonts w:hint="eastAsia"/>
                    </w:rPr>
                    <w:t>严格限制</w:t>
                  </w:r>
                  <w:r>
                    <w:t>Ⅲ</w:t>
                  </w:r>
                  <w:r>
                    <w:rPr>
                      <w:rFonts w:hint="eastAsia"/>
                    </w:rPr>
                    <w:t>类工业及未落实减排计划的新增大量烟(粉)尘排放项目入园。根据《国务院关于化解产能严重过剩矛盾的指导意见》(国发[2013]41号)、《四川省人民政府关于化解产能过剩矛盾促进产业结构调整的实施意见》（川府发[2014]10号）相关要求，严格限制违规新增钢铁、水泥产能。</w:t>
                  </w:r>
                </w:p>
              </w:tc>
              <w:tc>
                <w:tcPr>
                  <w:tcW w:w="2126" w:type="dxa"/>
                  <w:vAlign w:val="center"/>
                </w:tcPr>
                <w:p>
                  <w:pPr>
                    <w:rPr>
                      <w:iCs/>
                      <w:szCs w:val="21"/>
                    </w:rPr>
                  </w:pPr>
                  <w:r>
                    <w:rPr>
                      <w:rFonts w:hint="eastAsia"/>
                      <w:iCs/>
                      <w:szCs w:val="21"/>
                    </w:rPr>
                    <w:t>本项目为新建砂石加工项目，符合</w:t>
                  </w:r>
                  <w:r>
                    <w:rPr>
                      <w:rFonts w:hint="eastAsia"/>
                    </w:rPr>
                    <w:t>国家现行产业政策；</w:t>
                  </w:r>
                  <w:r>
                    <w:rPr>
                      <w:rFonts w:hint="eastAsia"/>
                      <w:iCs/>
                      <w:szCs w:val="21"/>
                    </w:rPr>
                    <w:t>项目产生无组织粉尘通过合理措施治理能达标排放；项目产品不包含钢铁和水泥。因此项目不属于限制类</w:t>
                  </w:r>
                </w:p>
              </w:tc>
              <w:tc>
                <w:tcPr>
                  <w:tcW w:w="903" w:type="dxa"/>
                  <w:vAlign w:val="center"/>
                </w:tcPr>
                <w:p>
                  <w:pPr>
                    <w:pStyle w:val="36"/>
                  </w:pPr>
                  <w:r>
                    <w:rPr>
                      <w:rFonts w:hint="eastAsia"/>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52" w:type="dxa"/>
                  <w:vAlign w:val="center"/>
                </w:tcPr>
                <w:p>
                  <w:pPr>
                    <w:pStyle w:val="36"/>
                  </w:pPr>
                  <w:r>
                    <w:rPr>
                      <w:rFonts w:hint="eastAsia"/>
                    </w:rPr>
                    <w:t>清洁生产门槛</w:t>
                  </w:r>
                </w:p>
              </w:tc>
              <w:tc>
                <w:tcPr>
                  <w:tcW w:w="4939" w:type="dxa"/>
                  <w:vAlign w:val="center"/>
                </w:tcPr>
                <w:p>
                  <w:pPr>
                    <w:pStyle w:val="36"/>
                    <w:jc w:val="both"/>
                  </w:pPr>
                  <w:r>
                    <w:rPr>
                      <w:rFonts w:hint="eastAsia"/>
                      <w:iCs/>
                    </w:rPr>
                    <w:t>入园企业必须采取先进水平的生产工艺、设备及污染治理技术，清洁生产水平应达到国际、国内先进水平。</w:t>
                  </w:r>
                </w:p>
              </w:tc>
              <w:tc>
                <w:tcPr>
                  <w:tcW w:w="2126" w:type="dxa"/>
                  <w:vAlign w:val="center"/>
                </w:tcPr>
                <w:p>
                  <w:pPr>
                    <w:rPr>
                      <w:iCs/>
                      <w:szCs w:val="21"/>
                    </w:rPr>
                  </w:pPr>
                  <w:r>
                    <w:rPr>
                      <w:rFonts w:hint="eastAsia"/>
                      <w:iCs/>
                      <w:szCs w:val="21"/>
                    </w:rPr>
                    <w:t>本项目清洁生产水平达清洁生产标准二级标准要求</w:t>
                  </w:r>
                </w:p>
              </w:tc>
              <w:tc>
                <w:tcPr>
                  <w:tcW w:w="903" w:type="dxa"/>
                  <w:vAlign w:val="center"/>
                </w:tcPr>
                <w:p>
                  <w:pPr>
                    <w:pStyle w:val="36"/>
                  </w:pPr>
                  <w:r>
                    <w:rPr>
                      <w:rFonts w:hint="eastAsia"/>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52" w:type="dxa"/>
                  <w:vAlign w:val="center"/>
                </w:tcPr>
                <w:p>
                  <w:pPr>
                    <w:autoSpaceDE w:val="0"/>
                    <w:autoSpaceDN w:val="0"/>
                    <w:adjustRightInd w:val="0"/>
                    <w:snapToGrid w:val="0"/>
                    <w:jc w:val="center"/>
                    <w:rPr>
                      <w:rFonts w:ascii="宋体" w:hAnsi="宋体" w:cs="宋体"/>
                      <w:kern w:val="0"/>
                      <w:szCs w:val="21"/>
                    </w:rPr>
                  </w:pPr>
                  <w:r>
                    <w:rPr>
                      <w:rFonts w:hint="eastAsia" w:ascii="宋体" w:hAnsi="宋体" w:cs="宋体"/>
                      <w:kern w:val="0"/>
                      <w:szCs w:val="21"/>
                    </w:rPr>
                    <w:t>后续规划实施建议</w:t>
                  </w:r>
                </w:p>
              </w:tc>
              <w:tc>
                <w:tcPr>
                  <w:tcW w:w="4939" w:type="dxa"/>
                  <w:vAlign w:val="center"/>
                </w:tcPr>
                <w:p>
                  <w:pPr>
                    <w:rPr>
                      <w:szCs w:val="21"/>
                    </w:rPr>
                  </w:pPr>
                  <w:r>
                    <w:rPr>
                      <w:rFonts w:hint="eastAsia"/>
                      <w:szCs w:val="21"/>
                    </w:rPr>
                    <w:t>严格控制高污染燃料总量，不再新增燃煤锅炉及燃煤设施，不新增加区域煤炭消费总量；按省市蓝天保卫战要求，加快实施钢铁、水泥等行业大气污染排放深度治理改造。严控新建、扩建涉大气污染物排放的污染项目，对新增大气污染物排放的项目采取2倍替代削减，确保区域环境空气质量持续改善。合理调整优化区域运输结构，推动钢铁、水泥等行业大宗物料以铁路运输为主，降低公路运输量。</w:t>
                  </w:r>
                </w:p>
              </w:tc>
              <w:tc>
                <w:tcPr>
                  <w:tcW w:w="2126" w:type="dxa"/>
                  <w:vAlign w:val="center"/>
                </w:tcPr>
                <w:p>
                  <w:pPr>
                    <w:rPr>
                      <w:color w:val="0070C0"/>
                      <w:szCs w:val="21"/>
                    </w:rPr>
                  </w:pPr>
                  <w:r>
                    <w:rPr>
                      <w:rFonts w:hint="eastAsia"/>
                      <w:szCs w:val="21"/>
                    </w:rPr>
                    <w:t>本项目为新建砂石加工项目，主要使用电能，不使用燃煤，不涉及锅炉；</w:t>
                  </w:r>
                  <w:r>
                    <w:rPr>
                      <w:rFonts w:hint="eastAsia"/>
                      <w:iCs/>
                      <w:szCs w:val="21"/>
                    </w:rPr>
                    <w:t>大气污染物主要为无组织粉尘，通过合理措施治理后能实现达标排放</w:t>
                  </w:r>
                </w:p>
              </w:tc>
              <w:tc>
                <w:tcPr>
                  <w:tcW w:w="903" w:type="dxa"/>
                  <w:vAlign w:val="center"/>
                </w:tcPr>
                <w:p>
                  <w:pPr>
                    <w:pStyle w:val="36"/>
                  </w:pPr>
                  <w:r>
                    <w:rPr>
                      <w:rFonts w:hint="eastAsia"/>
                    </w:rPr>
                    <w:t>符合</w:t>
                  </w:r>
                </w:p>
              </w:tc>
            </w:tr>
          </w:tbl>
          <w:p>
            <w:pPr>
              <w:autoSpaceDE w:val="0"/>
              <w:autoSpaceDN w:val="0"/>
              <w:adjustRightInd w:val="0"/>
              <w:snapToGrid w:val="0"/>
              <w:spacing w:before="120" w:beforeLines="50" w:line="360" w:lineRule="auto"/>
              <w:ind w:firstLine="480" w:firstLineChars="200"/>
              <w:rPr>
                <w:rFonts w:cs="宋体"/>
                <w:kern w:val="0"/>
                <w:sz w:val="24"/>
              </w:rPr>
            </w:pPr>
            <w:r>
              <w:rPr>
                <w:rFonts w:hint="eastAsia" w:cs="宋体"/>
                <w:kern w:val="0"/>
                <w:sz w:val="24"/>
              </w:rPr>
              <w:t>综上，本项目与已批复的《乐山（沙湾）不锈钢产业园区环境影响跟踪评价报告书》相符合。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021" w:hRule="atLeast"/>
          <w:jc w:val="center"/>
        </w:trPr>
        <w:tc>
          <w:tcPr>
            <w:tcW w:w="699" w:type="dxa"/>
            <w:vAlign w:val="center"/>
          </w:tcPr>
          <w:p>
            <w:pPr>
              <w:autoSpaceDE w:val="0"/>
              <w:autoSpaceDN w:val="0"/>
              <w:adjustRightInd w:val="0"/>
              <w:snapToGrid w:val="0"/>
              <w:jc w:val="center"/>
              <w:rPr>
                <w:rFonts w:cs="宋体"/>
                <w:kern w:val="0"/>
                <w:sz w:val="24"/>
              </w:rPr>
            </w:pPr>
            <w:r>
              <w:rPr>
                <w:rFonts w:hint="eastAsia" w:cs="宋体"/>
                <w:kern w:val="0"/>
                <w:sz w:val="24"/>
              </w:rPr>
              <w:t>其他符合性分析</w:t>
            </w:r>
          </w:p>
        </w:tc>
        <w:tc>
          <w:tcPr>
            <w:tcW w:w="8787" w:type="dxa"/>
            <w:gridSpan w:val="4"/>
          </w:tcPr>
          <w:p>
            <w:pPr>
              <w:autoSpaceDE w:val="0"/>
              <w:autoSpaceDN w:val="0"/>
              <w:adjustRightInd w:val="0"/>
              <w:snapToGrid w:val="0"/>
              <w:spacing w:line="360" w:lineRule="auto"/>
              <w:ind w:firstLine="482" w:firstLineChars="200"/>
              <w:rPr>
                <w:rFonts w:cs="宋体"/>
                <w:b/>
                <w:kern w:val="0"/>
                <w:sz w:val="24"/>
              </w:rPr>
            </w:pPr>
            <w:r>
              <w:rPr>
                <w:rFonts w:hint="eastAsia" w:cs="宋体"/>
                <w:b/>
                <w:kern w:val="0"/>
                <w:sz w:val="24"/>
              </w:rPr>
              <w:t>1、产业政策的符合性</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本项目为新建砂石加工项目，属于</w:t>
            </w:r>
            <w:r>
              <w:rPr>
                <w:rFonts w:hint="eastAsia" w:cs="宋体"/>
                <w:sz w:val="24"/>
              </w:rPr>
              <w:t>C</w:t>
            </w:r>
            <w:r>
              <w:rPr>
                <w:rFonts w:cs="宋体"/>
                <w:sz w:val="24"/>
              </w:rPr>
              <w:t xml:space="preserve">3099 </w:t>
            </w:r>
            <w:r>
              <w:rPr>
                <w:rFonts w:hint="eastAsia" w:cs="宋体"/>
                <w:sz w:val="24"/>
              </w:rPr>
              <w:t>其他非金属矿物质制品制造</w:t>
            </w:r>
            <w:r>
              <w:rPr>
                <w:rFonts w:hint="eastAsia" w:cs="宋体"/>
                <w:kern w:val="0"/>
                <w:sz w:val="24"/>
              </w:rPr>
              <w:t>，利用“乐山市沙湾区铜河资源绿色建材加工厂项目-土石方工程”施工期间所产生的可利用废弃物进行砂石加工，其来源为河道清淤所产生的砂石，成分与河沙相同。根据《产业结构调整指导目录（2019年本）》（中华人民共和国</w:t>
            </w:r>
            <w:r>
              <w:rPr>
                <w:rFonts w:hint="eastAsia" w:cs="宋体"/>
                <w:kern w:val="0"/>
                <w:sz w:val="24"/>
                <w:lang w:eastAsia="zh-CN"/>
              </w:rPr>
              <w:t>国家</w:t>
            </w:r>
            <w:r>
              <w:rPr>
                <w:rFonts w:hint="eastAsia" w:cs="宋体"/>
                <w:kern w:val="0"/>
                <w:sz w:val="24"/>
              </w:rPr>
              <w:t>发展和改革委员会令第29号），本项目的生产工艺、设备、产品均不属于产业政策中的鼓励类、限制类和淘汰类，因此本项目属于允许类。</w:t>
            </w:r>
          </w:p>
          <w:p>
            <w:pPr>
              <w:autoSpaceDE w:val="0"/>
              <w:autoSpaceDN w:val="0"/>
              <w:adjustRightInd w:val="0"/>
              <w:snapToGrid w:val="0"/>
              <w:spacing w:line="360" w:lineRule="auto"/>
              <w:ind w:firstLine="480" w:firstLineChars="200"/>
              <w:rPr>
                <w:rFonts w:cs="宋体"/>
                <w:kern w:val="0"/>
                <w:sz w:val="24"/>
                <w:vertAlign w:val="subscript"/>
              </w:rPr>
            </w:pPr>
            <w:r>
              <w:rPr>
                <w:rFonts w:hint="eastAsia" w:cs="宋体"/>
                <w:kern w:val="0"/>
                <w:sz w:val="24"/>
              </w:rPr>
              <w:t>同时，本项目于2022年10月21日在沙湾区发展和改革局立项备案，备案号：川投资备【2210-511111-04-01-819912】FGQB-0220号。</w:t>
            </w:r>
          </w:p>
          <w:p>
            <w:pPr>
              <w:pStyle w:val="38"/>
              <w:ind w:firstLine="482"/>
              <w:rPr>
                <w:b/>
                <w:color w:val="000000"/>
                <w:kern w:val="0"/>
              </w:rPr>
            </w:pPr>
            <w:r>
              <w:rPr>
                <w:rFonts w:hint="eastAsia"/>
                <w:b/>
                <w:color w:val="000000"/>
                <w:kern w:val="0"/>
              </w:rPr>
              <w:t>2、选址合理性分析</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本项目为新建砂石加工项目，位于乐山（沙湾）不锈钢产业园区中的</w:t>
            </w:r>
            <w:r>
              <w:rPr>
                <w:sz w:val="24"/>
              </w:rPr>
              <w:t>民生不锈钢产业园嘉农组团</w:t>
            </w:r>
            <w:r>
              <w:rPr>
                <w:rFonts w:hint="eastAsia"/>
                <w:sz w:val="24"/>
              </w:rPr>
              <w:t>，在</w:t>
            </w:r>
            <w:r>
              <w:rPr>
                <w:rFonts w:hint="eastAsia" w:cs="宋体"/>
                <w:kern w:val="0"/>
                <w:sz w:val="24"/>
              </w:rPr>
              <w:t>“乐山市沙湾区铜河资源绿色建材加工厂项目-土石方工程”施工期间所产生的可利用废弃物堆场内建设</w:t>
            </w:r>
            <w:r>
              <w:rPr>
                <w:rFonts w:hint="eastAsia"/>
                <w:sz w:val="24"/>
              </w:rPr>
              <w:t>。根据园区用地布置规划图可知，本项目所在区域用地性质为工业用地。</w:t>
            </w:r>
          </w:p>
          <w:p>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sz w:val="24"/>
              </w:rPr>
              <w:t>根据现场踏勘，本项目所在厂区周边为已建、在建或待建企业和农村，外环境关系简单，</w:t>
            </w:r>
            <w:r>
              <w:rPr>
                <w:color w:val="000000" w:themeColor="text1"/>
                <w:sz w:val="24"/>
                <w14:textFill>
                  <w14:solidFill>
                    <w14:schemeClr w14:val="tx1"/>
                  </w14:solidFill>
                </w14:textFill>
              </w:rPr>
              <w:t>项目外环境关系见下表。</w:t>
            </w:r>
          </w:p>
          <w:p>
            <w:pPr>
              <w:autoSpaceDE w:val="0"/>
              <w:autoSpaceDN w:val="0"/>
              <w:adjustRightInd w:val="0"/>
              <w:snapToGrid w:val="0"/>
              <w:jc w:val="center"/>
              <w:rPr>
                <w:rFonts w:cs="宋体"/>
                <w:b/>
                <w:kern w:val="0"/>
              </w:rPr>
            </w:pPr>
            <w:r>
              <w:rPr>
                <w:rFonts w:hint="eastAsia"/>
                <w:b/>
                <w:color w:val="000000" w:themeColor="text1"/>
                <w14:textFill>
                  <w14:solidFill>
                    <w14:schemeClr w14:val="tx1"/>
                  </w14:solidFill>
                </w14:textFill>
              </w:rPr>
              <w:t>表1</w:t>
            </w: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 xml:space="preserve"> 项目外环境关系一览表</w:t>
            </w:r>
          </w:p>
          <w:tbl>
            <w:tblPr>
              <w:tblStyle w:val="1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5"/>
              <w:gridCol w:w="3535"/>
              <w:gridCol w:w="2140"/>
              <w:gridCol w:w="214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b/>
                      <w:kern w:val="0"/>
                      <w:szCs w:val="21"/>
                    </w:rPr>
                  </w:pPr>
                  <w:r>
                    <w:rPr>
                      <w:rFonts w:hint="eastAsia" w:cs="宋体"/>
                      <w:b/>
                      <w:kern w:val="0"/>
                      <w:szCs w:val="21"/>
                    </w:rPr>
                    <w:t>序号</w:t>
                  </w:r>
                </w:p>
              </w:tc>
              <w:tc>
                <w:tcPr>
                  <w:tcW w:w="3535" w:type="dxa"/>
                  <w:vAlign w:val="center"/>
                </w:tcPr>
                <w:p>
                  <w:pPr>
                    <w:autoSpaceDE w:val="0"/>
                    <w:autoSpaceDN w:val="0"/>
                    <w:adjustRightInd w:val="0"/>
                    <w:snapToGrid w:val="0"/>
                    <w:jc w:val="center"/>
                    <w:rPr>
                      <w:rFonts w:cs="宋体"/>
                      <w:b/>
                      <w:kern w:val="0"/>
                      <w:szCs w:val="21"/>
                    </w:rPr>
                  </w:pPr>
                  <w:r>
                    <w:rPr>
                      <w:rFonts w:hint="eastAsia" w:cs="宋体"/>
                      <w:b/>
                      <w:kern w:val="0"/>
                      <w:szCs w:val="21"/>
                    </w:rPr>
                    <w:t>名称</w:t>
                  </w:r>
                </w:p>
              </w:tc>
              <w:tc>
                <w:tcPr>
                  <w:tcW w:w="2140" w:type="dxa"/>
                  <w:vAlign w:val="center"/>
                </w:tcPr>
                <w:p>
                  <w:pPr>
                    <w:autoSpaceDE w:val="0"/>
                    <w:autoSpaceDN w:val="0"/>
                    <w:adjustRightInd w:val="0"/>
                    <w:snapToGrid w:val="0"/>
                    <w:jc w:val="center"/>
                    <w:rPr>
                      <w:rFonts w:cs="宋体"/>
                      <w:b/>
                      <w:kern w:val="0"/>
                      <w:szCs w:val="21"/>
                    </w:rPr>
                  </w:pPr>
                  <w:r>
                    <w:rPr>
                      <w:rFonts w:hint="eastAsia" w:cs="宋体"/>
                      <w:b/>
                      <w:kern w:val="0"/>
                      <w:szCs w:val="21"/>
                    </w:rPr>
                    <w:t>方位</w:t>
                  </w:r>
                </w:p>
              </w:tc>
              <w:tc>
                <w:tcPr>
                  <w:tcW w:w="2141" w:type="dxa"/>
                  <w:vAlign w:val="center"/>
                </w:tcPr>
                <w:p>
                  <w:pPr>
                    <w:autoSpaceDE w:val="0"/>
                    <w:autoSpaceDN w:val="0"/>
                    <w:adjustRightInd w:val="0"/>
                    <w:snapToGrid w:val="0"/>
                    <w:jc w:val="center"/>
                    <w:rPr>
                      <w:rFonts w:cs="宋体"/>
                      <w:b/>
                      <w:kern w:val="0"/>
                      <w:szCs w:val="21"/>
                    </w:rPr>
                  </w:pPr>
                  <w:r>
                    <w:rPr>
                      <w:rFonts w:hint="eastAsia" w:cs="宋体"/>
                      <w:b/>
                      <w:kern w:val="0"/>
                      <w:szCs w:val="21"/>
                    </w:rPr>
                    <w:t>距离（m）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齐安村</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NE</w:t>
                  </w:r>
                </w:p>
              </w:tc>
              <w:tc>
                <w:tcPr>
                  <w:tcW w:w="2141" w:type="dxa"/>
                  <w:vAlign w:val="center"/>
                </w:tcPr>
                <w:p>
                  <w:pPr>
                    <w:autoSpaceDE w:val="0"/>
                    <w:autoSpaceDN w:val="0"/>
                    <w:adjustRightInd w:val="0"/>
                    <w:snapToGrid w:val="0"/>
                    <w:jc w:val="center"/>
                    <w:rPr>
                      <w:rFonts w:cs="宋体"/>
                      <w:kern w:val="0"/>
                      <w:szCs w:val="21"/>
                    </w:rPr>
                  </w:pPr>
                  <w:r>
                    <w:rPr>
                      <w:rFonts w:hint="eastAsia"/>
                      <w:color w:val="000000"/>
                      <w:szCs w:val="21"/>
                    </w:rPr>
                    <w:t>5</w:t>
                  </w:r>
                  <w:r>
                    <w:rPr>
                      <w:color w:val="000000"/>
                      <w:szCs w:val="21"/>
                    </w:rPr>
                    <w:t>32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2</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四川钢联不锈钢有限公司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NE</w:t>
                  </w:r>
                </w:p>
              </w:tc>
              <w:tc>
                <w:tcPr>
                  <w:tcW w:w="2141" w:type="dxa"/>
                  <w:vAlign w:val="center"/>
                </w:tcPr>
                <w:p>
                  <w:pPr>
                    <w:autoSpaceDE w:val="0"/>
                    <w:autoSpaceDN w:val="0"/>
                    <w:adjustRightInd w:val="0"/>
                    <w:snapToGrid w:val="0"/>
                    <w:jc w:val="center"/>
                    <w:rPr>
                      <w:rFonts w:cs="宋体"/>
                      <w:kern w:val="0"/>
                      <w:szCs w:val="21"/>
                    </w:rPr>
                  </w:pPr>
                  <w:r>
                    <w:rPr>
                      <w:rFonts w:cs="宋体"/>
                      <w:kern w:val="0"/>
                      <w:szCs w:val="21"/>
                    </w:rPr>
                    <w:t>276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3</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乐山市嘉蓝图科技有限公司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E</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5</w:t>
                  </w:r>
                  <w:r>
                    <w:rPr>
                      <w:rFonts w:cs="宋体"/>
                      <w:kern w:val="0"/>
                      <w:szCs w:val="21"/>
                    </w:rPr>
                    <w:t>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4</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升源灯具安装工程有限公司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E</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6</w:t>
                  </w:r>
                  <w:r>
                    <w:rPr>
                      <w:rFonts w:cs="宋体"/>
                      <w:kern w:val="0"/>
                      <w:szCs w:val="21"/>
                    </w:rPr>
                    <w:t>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5</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乐艺非金属有限责任公司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SE</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72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6</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星辰机械设备有限公司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SE</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31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7</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乐山四海迈城建材有限公司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SE</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32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8</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王场村</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9</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苏沙路</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0</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乐山市方大工业发展有限公司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06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1</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乐山永丰机械制造有限公司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5</w:t>
                  </w:r>
                  <w:r>
                    <w:rPr>
                      <w:rFonts w:cs="宋体"/>
                      <w:kern w:val="0"/>
                      <w:szCs w:val="21"/>
                    </w:rPr>
                    <w:t>19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2</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新兴村</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5</w:t>
                  </w:r>
                  <w:r>
                    <w:rPr>
                      <w:rFonts w:cs="宋体"/>
                      <w:kern w:val="0"/>
                      <w:szCs w:val="21"/>
                    </w:rPr>
                    <w:t>58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cs="宋体"/>
                      <w:kern w:val="0"/>
                      <w:szCs w:val="21"/>
                    </w:rPr>
                    <w:t>13</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散居住户约1</w:t>
                  </w:r>
                  <w:r>
                    <w:rPr>
                      <w:color w:val="000000"/>
                      <w:szCs w:val="21"/>
                    </w:rPr>
                    <w:t>8</w:t>
                  </w:r>
                  <w:r>
                    <w:rPr>
                      <w:rFonts w:hint="eastAsia"/>
                      <w:color w:val="000000"/>
                      <w:szCs w:val="21"/>
                    </w:rPr>
                    <w:t>户</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2</w:t>
                  </w:r>
                  <w:r>
                    <w:rPr>
                      <w:rFonts w:cs="宋体"/>
                      <w:kern w:val="0"/>
                      <w:szCs w:val="21"/>
                    </w:rPr>
                    <w:t>24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4</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散居住户2户</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NW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5</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散居住户1户</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NW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4</w:t>
                  </w:r>
                  <w:r>
                    <w:rPr>
                      <w:rFonts w:cs="宋体"/>
                      <w:kern w:val="0"/>
                      <w:szCs w:val="21"/>
                    </w:rPr>
                    <w:t>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6</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散居住户1户</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NW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5</w:t>
                  </w:r>
                  <w:r>
                    <w:rPr>
                      <w:rFonts w:cs="宋体"/>
                      <w:kern w:val="0"/>
                      <w:szCs w:val="21"/>
                    </w:rP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7</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大渡河</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8</w:t>
                  </w:r>
                  <w:r>
                    <w:rPr>
                      <w:rFonts w:cs="宋体"/>
                      <w:kern w:val="0"/>
                      <w:szCs w:val="21"/>
                    </w:rPr>
                    <w:t>00</w:t>
                  </w:r>
                </w:p>
              </w:tc>
            </w:tr>
          </w:tbl>
          <w:p>
            <w:pPr>
              <w:pStyle w:val="38"/>
              <w:wordWrap/>
              <w:spacing w:before="120" w:beforeLines="50"/>
              <w:ind w:firstLine="480"/>
              <w:jc w:val="both"/>
            </w:pPr>
            <w:r>
              <w:rPr>
                <w:rFonts w:hint="eastAsia"/>
              </w:rPr>
              <w:t>同时，项目评价范围内无自然保护区、风景游览区、名胜古迹、生活饮用水源地、生态脆弱敏感区和其他需要特殊保护的环境敏感目标，外环境关系较为简单。并且项目东南面紧邻苏沙路，方便成品的运输。</w:t>
            </w:r>
          </w:p>
          <w:p>
            <w:pPr>
              <w:pStyle w:val="38"/>
              <w:ind w:firstLine="480"/>
              <w:jc w:val="both"/>
            </w:pPr>
            <w:r>
              <w:rPr>
                <w:rFonts w:hint="eastAsia"/>
              </w:rPr>
              <w:t>项目生产废水循环使用，不外排；生活污水依托附近既有污水处理设施处理；项目废气产生主要为粉尘，通过搭建厂房、洒水降尘以减少粉尘排放；项目固废得到合理处置；对产噪设备采取了相应隔声减振措施，不会对区域声环境质量造成明显影响。因此，在采取本评价提出的污染防治措施后，项目对周边环境的影响可接受，与周边环境基本相容。</w:t>
            </w:r>
          </w:p>
          <w:p>
            <w:pPr>
              <w:pStyle w:val="38"/>
              <w:wordWrap/>
              <w:ind w:firstLine="480"/>
              <w:jc w:val="both"/>
              <w:rPr>
                <w:color w:val="000000"/>
                <w:kern w:val="0"/>
              </w:rPr>
            </w:pPr>
            <w:r>
              <w:rPr>
                <w:rFonts w:hint="eastAsia"/>
              </w:rPr>
              <w:t>综上所述，本项目建设对周围环境影响较小，与外环境相容，项目选址合理。</w:t>
            </w:r>
          </w:p>
          <w:p>
            <w:pPr>
              <w:autoSpaceDE w:val="0"/>
              <w:autoSpaceDN w:val="0"/>
              <w:adjustRightInd w:val="0"/>
              <w:snapToGrid w:val="0"/>
              <w:spacing w:line="360" w:lineRule="auto"/>
              <w:ind w:firstLine="482" w:firstLineChars="200"/>
              <w:rPr>
                <w:rFonts w:cs="宋体"/>
                <w:b/>
                <w:kern w:val="0"/>
                <w:sz w:val="24"/>
              </w:rPr>
            </w:pPr>
            <w:r>
              <w:rPr>
                <w:rFonts w:hint="eastAsia" w:cs="宋体"/>
                <w:b/>
                <w:kern w:val="0"/>
                <w:sz w:val="24"/>
              </w:rPr>
              <w:t>3、土地利用符合性分析</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本项目位于乐山（沙湾）不锈钢产业园区中的</w:t>
            </w:r>
            <w:r>
              <w:rPr>
                <w:sz w:val="24"/>
              </w:rPr>
              <w:t>民生不锈钢产业园嘉农组团</w:t>
            </w:r>
            <w:r>
              <w:rPr>
                <w:rFonts w:hint="eastAsia" w:cs="宋体"/>
                <w:kern w:val="0"/>
                <w:sz w:val="24"/>
              </w:rPr>
              <w:t>，为新建项目，占地面积约</w:t>
            </w:r>
            <w:r>
              <w:rPr>
                <w:rFonts w:cs="宋体"/>
                <w:kern w:val="0"/>
                <w:sz w:val="24"/>
              </w:rPr>
              <w:t>3400</w:t>
            </w:r>
            <w:r>
              <w:rPr>
                <w:rFonts w:hint="eastAsia" w:cs="宋体"/>
                <w:kern w:val="0"/>
                <w:sz w:val="24"/>
              </w:rPr>
              <w:t>m</w:t>
            </w:r>
            <w:r>
              <w:rPr>
                <w:rFonts w:cs="宋体"/>
                <w:kern w:val="0"/>
                <w:sz w:val="24"/>
                <w:vertAlign w:val="superscript"/>
              </w:rPr>
              <w:t>2</w:t>
            </w:r>
            <w:r>
              <w:rPr>
                <w:rFonts w:hint="eastAsia" w:cs="宋体"/>
                <w:kern w:val="0"/>
                <w:sz w:val="24"/>
              </w:rPr>
              <w:t>，为租用</w:t>
            </w:r>
            <w:r>
              <w:rPr>
                <w:rFonts w:hint="eastAsia" w:cs="宋体"/>
                <w:bCs/>
                <w:sz w:val="24"/>
              </w:rPr>
              <w:t>乐山市沙湾区铜河资源投资运营有限公司闲置土地建设</w:t>
            </w:r>
            <w:r>
              <w:rPr>
                <w:rFonts w:hint="eastAsia" w:cs="宋体"/>
                <w:kern w:val="0"/>
                <w:sz w:val="24"/>
              </w:rPr>
              <w:t>。根据乐山（沙湾）不锈钢产业园区土地利用规划图，本项目所在地属于规划的工业用地范畴。根据乐山（沙湾）不锈钢产业园区土地利用规划图，本项目所在处的地类（用途）为工业用地，因此，本项目用地性质合理。</w:t>
            </w:r>
          </w:p>
          <w:p>
            <w:pPr>
              <w:autoSpaceDE w:val="0"/>
              <w:autoSpaceDN w:val="0"/>
              <w:adjustRightInd w:val="0"/>
              <w:snapToGrid w:val="0"/>
              <w:spacing w:line="360" w:lineRule="auto"/>
              <w:ind w:firstLine="482" w:firstLineChars="200"/>
              <w:rPr>
                <w:b/>
                <w:sz w:val="24"/>
              </w:rPr>
            </w:pPr>
            <w:r>
              <w:rPr>
                <w:rFonts w:hint="eastAsia" w:cs="宋体"/>
                <w:b/>
                <w:kern w:val="0"/>
                <w:sz w:val="24"/>
              </w:rPr>
              <w:t>4、</w:t>
            </w:r>
            <w:r>
              <w:rPr>
                <w:rFonts w:hint="eastAsia"/>
                <w:b/>
                <w:sz w:val="24"/>
              </w:rPr>
              <w:t>与《乐山市打赢蓝天保卫战等九个实施方案》（乐府发[2019</w:t>
            </w:r>
            <w:r>
              <w:rPr>
                <w:b/>
                <w:sz w:val="24"/>
              </w:rPr>
              <w:t>]</w:t>
            </w:r>
            <w:r>
              <w:rPr>
                <w:rFonts w:hint="eastAsia"/>
                <w:b/>
                <w:sz w:val="24"/>
              </w:rPr>
              <w:t>4号）的符合性分析</w:t>
            </w:r>
          </w:p>
          <w:p>
            <w:pPr>
              <w:autoSpaceDE w:val="0"/>
              <w:autoSpaceDN w:val="0"/>
              <w:adjustRightInd w:val="0"/>
              <w:snapToGrid w:val="0"/>
              <w:spacing w:line="360" w:lineRule="auto"/>
              <w:ind w:firstLine="480" w:firstLineChars="200"/>
              <w:rPr>
                <w:sz w:val="24"/>
              </w:rPr>
            </w:pPr>
            <w:r>
              <w:rPr>
                <w:rFonts w:hint="eastAsia"/>
                <w:sz w:val="24"/>
              </w:rPr>
              <w:t>本项目与《乐山市打赢蓝天保卫战等九个实施方案》（乐府发[2019</w:t>
            </w:r>
            <w:r>
              <w:rPr>
                <w:sz w:val="24"/>
              </w:rPr>
              <w:t>]</w:t>
            </w:r>
            <w:r>
              <w:rPr>
                <w:rFonts w:hint="eastAsia"/>
                <w:sz w:val="24"/>
              </w:rPr>
              <w:t>4号）的符合性分析如下表所示。</w:t>
            </w:r>
          </w:p>
          <w:p>
            <w:pPr>
              <w:autoSpaceDE w:val="0"/>
              <w:autoSpaceDN w:val="0"/>
              <w:adjustRightInd w:val="0"/>
              <w:snapToGrid w:val="0"/>
              <w:jc w:val="center"/>
              <w:rPr>
                <w:b/>
              </w:rPr>
            </w:pPr>
            <w:r>
              <w:rPr>
                <w:rFonts w:hint="eastAsia"/>
                <w:b/>
              </w:rPr>
              <w:t>表1</w:t>
            </w:r>
            <w:r>
              <w:rPr>
                <w:b/>
              </w:rPr>
              <w:t xml:space="preserve">-4 </w:t>
            </w:r>
            <w:r>
              <w:rPr>
                <w:rFonts w:hint="eastAsia"/>
                <w:b/>
              </w:rPr>
              <w:t>项目与《乐山市打赢蓝天保卫战等九个实施方案》符合性分析</w:t>
            </w:r>
          </w:p>
          <w:tbl>
            <w:tblPr>
              <w:tblStyle w:val="14"/>
              <w:tblW w:w="853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95"/>
              <w:gridCol w:w="2670"/>
              <w:gridCol w:w="86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995"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方案要求</w:t>
                  </w:r>
                </w:p>
              </w:tc>
              <w:tc>
                <w:tcPr>
                  <w:tcW w:w="2670"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本项目</w:t>
                  </w:r>
                </w:p>
              </w:tc>
              <w:tc>
                <w:tcPr>
                  <w:tcW w:w="866"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995" w:type="dxa"/>
                  <w:vAlign w:val="center"/>
                </w:tcPr>
                <w:p>
                  <w:pPr>
                    <w:pStyle w:val="38"/>
                    <w:spacing w:line="240" w:lineRule="auto"/>
                    <w:ind w:firstLine="0" w:firstLineChars="0"/>
                    <w:jc w:val="both"/>
                    <w:rPr>
                      <w:color w:val="000000"/>
                      <w:sz w:val="21"/>
                      <w:szCs w:val="21"/>
                    </w:rPr>
                  </w:pPr>
                  <w:r>
                    <w:rPr>
                      <w:rFonts w:hint="eastAsia"/>
                      <w:color w:val="000000"/>
                      <w:sz w:val="21"/>
                      <w:szCs w:val="21"/>
                    </w:rPr>
                    <w:t>全面整治全市砂石开采加工行业，2019年全面完成中心城区砂石行业退出，全市保留的砂石生产加工企业应当建设封闭式厂房，杜绝露天加工，配套建设自动喷淋、除尘设施，使用清洁能源，科学制定重污染天气预防与应急预案落实方案，重污染天气期间除保障抢险工程、重大民生工程外，停止生产加工。</w:t>
                  </w:r>
                </w:p>
              </w:tc>
              <w:tc>
                <w:tcPr>
                  <w:tcW w:w="2670" w:type="dxa"/>
                  <w:vAlign w:val="center"/>
                </w:tcPr>
                <w:p>
                  <w:pPr>
                    <w:pStyle w:val="38"/>
                    <w:spacing w:line="240" w:lineRule="auto"/>
                    <w:ind w:firstLine="0" w:firstLineChars="0"/>
                    <w:jc w:val="both"/>
                    <w:rPr>
                      <w:color w:val="000000"/>
                      <w:sz w:val="21"/>
                      <w:szCs w:val="21"/>
                    </w:rPr>
                  </w:pPr>
                  <w:r>
                    <w:rPr>
                      <w:rFonts w:hint="eastAsia"/>
                      <w:sz w:val="21"/>
                    </w:rPr>
                    <w:t>本项目位于乐山（沙湾）不锈钢产业园区中的民生不锈钢产业园嘉农组团，不属于中心城区范围，项目主要生产设备位于封闭厂房内，使用雾炮机洒水降尘。本评价要求项目重污染天气期间应按当地政府要求进行处置。</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995" w:type="dxa"/>
                  <w:vAlign w:val="center"/>
                </w:tcPr>
                <w:p>
                  <w:pPr>
                    <w:pStyle w:val="38"/>
                    <w:spacing w:line="240" w:lineRule="auto"/>
                    <w:ind w:firstLine="0" w:firstLineChars="0"/>
                    <w:jc w:val="both"/>
                    <w:rPr>
                      <w:color w:val="000000"/>
                      <w:sz w:val="21"/>
                      <w:szCs w:val="21"/>
                    </w:rPr>
                  </w:pPr>
                  <w:r>
                    <w:rPr>
                      <w:rFonts w:hint="eastAsia"/>
                      <w:color w:val="000000"/>
                      <w:sz w:val="21"/>
                      <w:szCs w:val="21"/>
                    </w:rPr>
                    <w:t>加快推进污泥无害化处理。开展污泥处理情况排查，列出污泥无害化处理清单，制定实施污泥处理设施建设、改造方案，确保到2020年底前建成污染处理处置设施，污泥无害化处理率达到90%以上。</w:t>
                  </w:r>
                </w:p>
              </w:tc>
              <w:tc>
                <w:tcPr>
                  <w:tcW w:w="2670" w:type="dxa"/>
                  <w:vAlign w:val="center"/>
                </w:tcPr>
                <w:p>
                  <w:pPr>
                    <w:pStyle w:val="38"/>
                    <w:spacing w:line="240" w:lineRule="auto"/>
                    <w:ind w:firstLine="0" w:firstLineChars="0"/>
                    <w:jc w:val="both"/>
                    <w:rPr>
                      <w:sz w:val="21"/>
                    </w:rPr>
                  </w:pPr>
                  <w:r>
                    <w:rPr>
                      <w:rFonts w:hint="eastAsia"/>
                      <w:sz w:val="21"/>
                    </w:rPr>
                    <w:t>本项目浓密罐内污泥与河沙成分相同，产生污泥经压滤机压滤脱水后按政府要求堆放至指定地点，可达到无害化处理。</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995" w:type="dxa"/>
                  <w:vAlign w:val="center"/>
                </w:tcPr>
                <w:p>
                  <w:pPr>
                    <w:pStyle w:val="38"/>
                    <w:spacing w:line="240" w:lineRule="auto"/>
                    <w:ind w:firstLine="0" w:firstLineChars="0"/>
                    <w:jc w:val="both"/>
                    <w:rPr>
                      <w:color w:val="000000"/>
                      <w:sz w:val="21"/>
                      <w:szCs w:val="21"/>
                    </w:rPr>
                  </w:pPr>
                  <w:r>
                    <w:rPr>
                      <w:rFonts w:hint="eastAsia"/>
                      <w:color w:val="000000"/>
                      <w:sz w:val="21"/>
                      <w:szCs w:val="21"/>
                    </w:rPr>
                    <w:t>加强水资源节约。实行重点扶持，集中投入，强力推动节水型社会建设。推广节水灌溉，建立节水型农业。抓好工业节水，提高水重复利用率。在水资源合理配置的前提下，以供定需控制用水量增长，合理调整流域内生产及工矿企业的布局。积极推进城市再生水利用设施建设，促进节水减排。</w:t>
                  </w:r>
                </w:p>
              </w:tc>
              <w:tc>
                <w:tcPr>
                  <w:tcW w:w="2670" w:type="dxa"/>
                  <w:vAlign w:val="center"/>
                </w:tcPr>
                <w:p>
                  <w:pPr>
                    <w:pStyle w:val="38"/>
                    <w:spacing w:line="240" w:lineRule="auto"/>
                    <w:ind w:firstLine="0" w:firstLineChars="0"/>
                    <w:jc w:val="both"/>
                    <w:rPr>
                      <w:sz w:val="21"/>
                    </w:rPr>
                  </w:pPr>
                  <w:r>
                    <w:rPr>
                      <w:rFonts w:hint="eastAsia"/>
                      <w:sz w:val="21"/>
                    </w:rPr>
                    <w:t>项目洗砂废水全部循环使用；项目无生产废水排放。可达到节水减排要求。</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bl>
          <w:p>
            <w:pPr>
              <w:autoSpaceDE w:val="0"/>
              <w:autoSpaceDN w:val="0"/>
              <w:adjustRightInd w:val="0"/>
              <w:snapToGrid w:val="0"/>
              <w:spacing w:before="120" w:beforeLines="50" w:line="360" w:lineRule="auto"/>
              <w:ind w:firstLine="480" w:firstLineChars="200"/>
              <w:rPr>
                <w:sz w:val="24"/>
              </w:rPr>
            </w:pPr>
            <w:r>
              <w:rPr>
                <w:rFonts w:hint="eastAsia"/>
                <w:sz w:val="24"/>
              </w:rPr>
              <w:t>由上表可知，项目符合《乐山市打赢蓝天保卫战等九个实施方案》（乐府发[2019</w:t>
            </w:r>
            <w:r>
              <w:rPr>
                <w:sz w:val="24"/>
              </w:rPr>
              <w:t>]</w:t>
            </w:r>
            <w:r>
              <w:rPr>
                <w:rFonts w:hint="eastAsia"/>
                <w:sz w:val="24"/>
              </w:rPr>
              <w:t>4号）中的相关要求。</w:t>
            </w:r>
          </w:p>
          <w:p>
            <w:pPr>
              <w:autoSpaceDE w:val="0"/>
              <w:autoSpaceDN w:val="0"/>
              <w:adjustRightInd w:val="0"/>
              <w:snapToGrid w:val="0"/>
              <w:spacing w:line="360" w:lineRule="auto"/>
              <w:ind w:firstLine="482" w:firstLineChars="200"/>
              <w:rPr>
                <w:b/>
                <w:sz w:val="24"/>
              </w:rPr>
            </w:pPr>
            <w:r>
              <w:rPr>
                <w:rFonts w:hint="eastAsia"/>
                <w:b/>
                <w:sz w:val="24"/>
              </w:rPr>
              <w:t>5、项目与《国务院关于印发大气污染防治行动计划的通知》（国发〔2013〕37号）符合性分析</w:t>
            </w:r>
          </w:p>
          <w:p>
            <w:pPr>
              <w:autoSpaceDE w:val="0"/>
              <w:autoSpaceDN w:val="0"/>
              <w:adjustRightInd w:val="0"/>
              <w:snapToGrid w:val="0"/>
              <w:spacing w:line="360" w:lineRule="auto"/>
              <w:ind w:firstLine="480" w:firstLineChars="200"/>
              <w:rPr>
                <w:sz w:val="24"/>
              </w:rPr>
            </w:pPr>
            <w:r>
              <w:rPr>
                <w:rFonts w:hint="eastAsia"/>
                <w:sz w:val="24"/>
              </w:rPr>
              <w:t>项目与《国务院关于印发大气污染防治行动计划的通知》（国发〔2013〕37号）符合性分析如下表所示。</w:t>
            </w:r>
          </w:p>
          <w:p>
            <w:pPr>
              <w:autoSpaceDE w:val="0"/>
              <w:autoSpaceDN w:val="0"/>
              <w:adjustRightInd w:val="0"/>
              <w:snapToGrid w:val="0"/>
              <w:jc w:val="center"/>
              <w:rPr>
                <w:b/>
              </w:rPr>
            </w:pPr>
            <w:r>
              <w:rPr>
                <w:rFonts w:hint="eastAsia"/>
                <w:b/>
              </w:rPr>
              <w:t>表1</w:t>
            </w:r>
            <w:r>
              <w:rPr>
                <w:b/>
              </w:rPr>
              <w:t xml:space="preserve">-5 </w:t>
            </w:r>
            <w:r>
              <w:rPr>
                <w:rFonts w:hint="eastAsia"/>
                <w:b/>
              </w:rPr>
              <w:t>项目与国务院关于印发大气污染防治行动计划的通知》符合性分析</w:t>
            </w:r>
          </w:p>
          <w:tbl>
            <w:tblPr>
              <w:tblStyle w:val="14"/>
              <w:tblW w:w="853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13"/>
              <w:gridCol w:w="4252"/>
              <w:gridCol w:w="86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3413"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方案要求</w:t>
                  </w:r>
                </w:p>
              </w:tc>
              <w:tc>
                <w:tcPr>
                  <w:tcW w:w="4252"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本项目</w:t>
                  </w:r>
                </w:p>
              </w:tc>
              <w:tc>
                <w:tcPr>
                  <w:tcW w:w="866"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3413" w:type="dxa"/>
                  <w:vAlign w:val="center"/>
                </w:tcPr>
                <w:p>
                  <w:pPr>
                    <w:pStyle w:val="61"/>
                    <w:jc w:val="both"/>
                    <w:rPr>
                      <w:rFonts w:cs="Times New Roman"/>
                      <w:bCs/>
                      <w:color w:val="auto"/>
                    </w:rPr>
                  </w:pPr>
                  <w:r>
                    <w:rPr>
                      <w:rFonts w:hint="eastAsia"/>
                      <w:bCs/>
                      <w:color w:val="auto"/>
                      <w:lang w:val="en-US"/>
                    </w:rPr>
                    <w:t>（</w:t>
                  </w:r>
                  <w:r>
                    <w:rPr>
                      <w:rFonts w:hint="eastAsia"/>
                      <w:bCs/>
                      <w:color w:val="auto"/>
                    </w:rPr>
                    <w:t>二</w:t>
                  </w:r>
                  <w:r>
                    <w:rPr>
                      <w:rFonts w:hint="eastAsia"/>
                      <w:bCs/>
                      <w:color w:val="auto"/>
                      <w:lang w:val="en-US"/>
                    </w:rPr>
                    <w:t>）</w:t>
                  </w:r>
                  <w:r>
                    <w:rPr>
                      <w:rFonts w:hint="eastAsia"/>
                      <w:bCs/>
                      <w:color w:val="auto"/>
                    </w:rPr>
                    <w:t>深化面源污染治理。综合整治城市扬尘。大型煤堆、料堆要实现封闭储存或建设防风抑尘设施。</w:t>
                  </w:r>
                </w:p>
              </w:tc>
              <w:tc>
                <w:tcPr>
                  <w:tcW w:w="4252" w:type="dxa"/>
                  <w:vAlign w:val="center"/>
                </w:tcPr>
                <w:p>
                  <w:pPr>
                    <w:pStyle w:val="38"/>
                    <w:spacing w:line="240" w:lineRule="auto"/>
                    <w:ind w:firstLine="0" w:firstLineChars="0"/>
                    <w:jc w:val="both"/>
                    <w:rPr>
                      <w:color w:val="000000"/>
                      <w:sz w:val="21"/>
                      <w:szCs w:val="21"/>
                    </w:rPr>
                  </w:pPr>
                  <w:r>
                    <w:rPr>
                      <w:rFonts w:hint="eastAsia"/>
                      <w:sz w:val="21"/>
                    </w:rPr>
                    <w:t>本项目对堆场周围进行围挡，配备雾炮机洒水；堆料上方覆盖防尘网。满足防风抑尘的功能。</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bl>
          <w:p>
            <w:pPr>
              <w:autoSpaceDE w:val="0"/>
              <w:autoSpaceDN w:val="0"/>
              <w:adjustRightInd w:val="0"/>
              <w:snapToGrid w:val="0"/>
              <w:spacing w:before="120" w:beforeLines="50" w:line="360" w:lineRule="auto"/>
              <w:ind w:firstLine="480" w:firstLineChars="200"/>
              <w:rPr>
                <w:sz w:val="24"/>
              </w:rPr>
            </w:pPr>
            <w:r>
              <w:rPr>
                <w:rFonts w:hint="eastAsia"/>
                <w:sz w:val="24"/>
              </w:rPr>
              <w:t>由上表可知，项目符合《国务院关于印发大气污染防治行动计划的通知》（国发〔2013〕37号）中的相关要求。</w:t>
            </w:r>
          </w:p>
          <w:p>
            <w:pPr>
              <w:autoSpaceDE w:val="0"/>
              <w:autoSpaceDN w:val="0"/>
              <w:adjustRightInd w:val="0"/>
              <w:snapToGrid w:val="0"/>
              <w:spacing w:line="360" w:lineRule="auto"/>
              <w:ind w:firstLine="482" w:firstLineChars="200"/>
              <w:rPr>
                <w:b/>
                <w:sz w:val="24"/>
              </w:rPr>
            </w:pPr>
            <w:r>
              <w:rPr>
                <w:b/>
                <w:sz w:val="24"/>
              </w:rPr>
              <w:t>6</w:t>
            </w:r>
            <w:r>
              <w:rPr>
                <w:rFonts w:hint="eastAsia"/>
                <w:b/>
                <w:sz w:val="24"/>
              </w:rPr>
              <w:t>、项目与《四川省〈中华人民共和国大气污染防治法〉实施办法》（2018年修订）符合性分析</w:t>
            </w:r>
          </w:p>
          <w:p>
            <w:pPr>
              <w:autoSpaceDE w:val="0"/>
              <w:autoSpaceDN w:val="0"/>
              <w:adjustRightInd w:val="0"/>
              <w:snapToGrid w:val="0"/>
              <w:spacing w:line="360" w:lineRule="auto"/>
              <w:ind w:firstLine="480" w:firstLineChars="200"/>
              <w:rPr>
                <w:sz w:val="24"/>
              </w:rPr>
            </w:pPr>
            <w:r>
              <w:rPr>
                <w:rFonts w:hint="eastAsia"/>
                <w:sz w:val="24"/>
              </w:rPr>
              <w:t>项目与《四川省〈中华人民共和国大气污染防治法〉实施办法》（2018年修订）符合性分析如下表所示。</w:t>
            </w:r>
          </w:p>
          <w:p>
            <w:pPr>
              <w:autoSpaceDE w:val="0"/>
              <w:autoSpaceDN w:val="0"/>
              <w:adjustRightInd w:val="0"/>
              <w:snapToGrid w:val="0"/>
              <w:jc w:val="center"/>
              <w:rPr>
                <w:b/>
              </w:rPr>
            </w:pPr>
            <w:r>
              <w:rPr>
                <w:rFonts w:hint="eastAsia"/>
                <w:b/>
              </w:rPr>
              <w:t>表1</w:t>
            </w:r>
            <w:r>
              <w:rPr>
                <w:b/>
              </w:rPr>
              <w:t xml:space="preserve">-6 </w:t>
            </w:r>
            <w:r>
              <w:rPr>
                <w:rFonts w:hint="eastAsia"/>
                <w:b/>
              </w:rPr>
              <w:t>项目与国务院关于印发大气污染防治行动计划的通知》符合性分析</w:t>
            </w:r>
          </w:p>
          <w:tbl>
            <w:tblPr>
              <w:tblStyle w:val="14"/>
              <w:tblW w:w="853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80"/>
              <w:gridCol w:w="3685"/>
              <w:gridCol w:w="86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3980"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方案要求</w:t>
                  </w:r>
                </w:p>
              </w:tc>
              <w:tc>
                <w:tcPr>
                  <w:tcW w:w="3685"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本项目</w:t>
                  </w:r>
                </w:p>
              </w:tc>
              <w:tc>
                <w:tcPr>
                  <w:tcW w:w="866"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3980" w:type="dxa"/>
                  <w:vAlign w:val="center"/>
                </w:tcPr>
                <w:p>
                  <w:pPr>
                    <w:pStyle w:val="61"/>
                    <w:jc w:val="both"/>
                    <w:rPr>
                      <w:rFonts w:cs="Times New Roman"/>
                      <w:bCs/>
                      <w:color w:val="auto"/>
                    </w:rPr>
                  </w:pPr>
                  <w:r>
                    <w:rPr>
                      <w:rFonts w:hint="eastAsia"/>
                      <w:bCs/>
                      <w:color w:val="auto"/>
                      <w:lang w:val="en-US"/>
                    </w:rPr>
                    <w:t>第十四条 企业事业单位和其他生产经营者建设对大气环境有影响的项目，应当依法进行环境影响评价、公开环境影响评价文件；向大气排放污染物的，应当配套建设大气污染防治设施并正常使用，确保大气污染物达标排放，遵守重点大气污染物排放总量控制要求。</w:t>
                  </w:r>
                </w:p>
              </w:tc>
              <w:tc>
                <w:tcPr>
                  <w:tcW w:w="3685" w:type="dxa"/>
                  <w:vAlign w:val="center"/>
                </w:tcPr>
                <w:p>
                  <w:pPr>
                    <w:pStyle w:val="38"/>
                    <w:spacing w:line="240" w:lineRule="auto"/>
                    <w:ind w:firstLine="0" w:firstLineChars="0"/>
                    <w:jc w:val="both"/>
                    <w:rPr>
                      <w:color w:val="000000"/>
                      <w:sz w:val="21"/>
                      <w:szCs w:val="21"/>
                    </w:rPr>
                  </w:pPr>
                  <w:r>
                    <w:rPr>
                      <w:rFonts w:hint="eastAsia"/>
                      <w:color w:val="000000"/>
                      <w:sz w:val="21"/>
                      <w:szCs w:val="21"/>
                    </w:rPr>
                    <w:t>项目正在进行环境影响评价；项目生产过程全程湿法作业，并在封闭厂房内进行，同时配备雾炮机降尘；</w:t>
                  </w:r>
                  <w:r>
                    <w:rPr>
                      <w:rFonts w:hint="eastAsia"/>
                      <w:sz w:val="21"/>
                    </w:rPr>
                    <w:t>对堆场周围进行围挡，配备雾炮机洒水，堆料上方覆盖防尘网；对进出车辆进行冲洗。</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bl>
          <w:p>
            <w:pPr>
              <w:autoSpaceDE w:val="0"/>
              <w:autoSpaceDN w:val="0"/>
              <w:adjustRightInd w:val="0"/>
              <w:snapToGrid w:val="0"/>
              <w:spacing w:before="120" w:beforeLines="50" w:line="360" w:lineRule="auto"/>
              <w:ind w:firstLine="480" w:firstLineChars="200"/>
              <w:rPr>
                <w:sz w:val="24"/>
              </w:rPr>
            </w:pPr>
            <w:r>
              <w:rPr>
                <w:rFonts w:hint="eastAsia"/>
                <w:sz w:val="24"/>
              </w:rPr>
              <w:t>由上表可知，项目符合《四川省〈中华人民共和国大气污染防治法〉实施办法》（2018年修订）中的相关要求。</w:t>
            </w:r>
          </w:p>
          <w:p>
            <w:pPr>
              <w:autoSpaceDE w:val="0"/>
              <w:autoSpaceDN w:val="0"/>
              <w:adjustRightInd w:val="0"/>
              <w:snapToGrid w:val="0"/>
              <w:spacing w:line="360" w:lineRule="auto"/>
              <w:ind w:firstLine="482" w:firstLineChars="200"/>
              <w:rPr>
                <w:b/>
                <w:sz w:val="24"/>
              </w:rPr>
            </w:pPr>
            <w:r>
              <w:rPr>
                <w:b/>
                <w:sz w:val="24"/>
              </w:rPr>
              <w:t>7</w:t>
            </w:r>
            <w:r>
              <w:rPr>
                <w:rFonts w:hint="eastAsia"/>
                <w:b/>
                <w:sz w:val="24"/>
              </w:rPr>
              <w:t>、项目</w:t>
            </w:r>
            <w:r>
              <w:rPr>
                <w:b/>
                <w:bCs/>
                <w:sz w:val="24"/>
              </w:rPr>
              <w:t>与乐山市水务局、乐山市环境保护局文件《关于下发全市砂石加工场污染防治验收标准的通知》（乐水函〔2017〕330号）</w:t>
            </w:r>
            <w:r>
              <w:rPr>
                <w:rFonts w:hint="eastAsia"/>
                <w:b/>
                <w:sz w:val="24"/>
              </w:rPr>
              <w:t>符合性分析</w:t>
            </w:r>
          </w:p>
          <w:p>
            <w:pPr>
              <w:autoSpaceDE w:val="0"/>
              <w:autoSpaceDN w:val="0"/>
              <w:adjustRightInd w:val="0"/>
              <w:snapToGrid w:val="0"/>
              <w:spacing w:line="360" w:lineRule="auto"/>
              <w:ind w:firstLine="480" w:firstLineChars="200"/>
              <w:rPr>
                <w:szCs w:val="21"/>
              </w:rPr>
            </w:pPr>
            <w:r>
              <w:rPr>
                <w:rFonts w:hint="eastAsia"/>
                <w:sz w:val="24"/>
              </w:rPr>
              <w:t>项目与《关于下发全市砂石加工场污染防治验收标准的通知》（乐水函〔2017〕330号）符合性分析如下表所示。</w:t>
            </w:r>
          </w:p>
          <w:p>
            <w:pPr>
              <w:pStyle w:val="62"/>
              <w:widowControl/>
              <w:adjustRightInd/>
              <w:rPr>
                <w:rFonts w:cs="Times New Roman"/>
                <w:szCs w:val="21"/>
              </w:rPr>
            </w:pPr>
            <w:bookmarkStart w:id="2" w:name="_Ref26547785"/>
          </w:p>
          <w:p>
            <w:pPr>
              <w:pStyle w:val="62"/>
              <w:widowControl/>
              <w:adjustRightInd/>
              <w:rPr>
                <w:rFonts w:cs="Times New Roman"/>
                <w:szCs w:val="21"/>
              </w:rPr>
            </w:pPr>
          </w:p>
          <w:p>
            <w:pPr>
              <w:pStyle w:val="62"/>
              <w:widowControl/>
              <w:adjustRightInd/>
              <w:rPr>
                <w:rFonts w:cs="Times New Roman"/>
                <w:szCs w:val="21"/>
              </w:rPr>
            </w:pPr>
          </w:p>
          <w:p>
            <w:pPr>
              <w:pStyle w:val="62"/>
              <w:widowControl/>
              <w:adjustRightInd/>
              <w:rPr>
                <w:rFonts w:cs="Times New Roman"/>
                <w:szCs w:val="21"/>
              </w:rPr>
            </w:pPr>
            <w:r>
              <w:rPr>
                <w:rFonts w:hint="eastAsia" w:cs="Times New Roman"/>
                <w:szCs w:val="21"/>
              </w:rPr>
              <w:t>表1-</w:t>
            </w:r>
            <w:r>
              <w:rPr>
                <w:rFonts w:cs="Times New Roman"/>
                <w:szCs w:val="21"/>
              </w:rPr>
              <w:t>7</w:t>
            </w:r>
            <w:r>
              <w:rPr>
                <w:rFonts w:hint="eastAsia" w:cs="Times New Roman"/>
                <w:szCs w:val="21"/>
              </w:rPr>
              <w:t xml:space="preserve"> </w:t>
            </w:r>
            <w:r>
              <w:rPr>
                <w:rFonts w:cs="Times New Roman"/>
                <w:szCs w:val="21"/>
              </w:rPr>
              <w:t>与乐山市砂石加工场污染防治验收标准符合性</w:t>
            </w:r>
            <w:bookmarkEnd w:id="2"/>
          </w:p>
          <w:tbl>
            <w:tblPr>
              <w:tblStyle w:val="1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135"/>
              <w:gridCol w:w="2552"/>
              <w:gridCol w:w="2835"/>
              <w:gridCol w:w="87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2835" w:type="pct"/>
                  <w:gridSpan w:val="3"/>
                  <w:vAlign w:val="center"/>
                </w:tcPr>
                <w:p>
                  <w:pPr>
                    <w:jc w:val="center"/>
                    <w:rPr>
                      <w:b/>
                      <w:bCs/>
                      <w:szCs w:val="21"/>
                    </w:rPr>
                  </w:pPr>
                  <w:r>
                    <w:rPr>
                      <w:b/>
                      <w:bCs/>
                      <w:szCs w:val="21"/>
                    </w:rPr>
                    <w:t>乐水函〔2017〕330号污染防治验收标准</w:t>
                  </w:r>
                </w:p>
              </w:tc>
              <w:tc>
                <w:tcPr>
                  <w:tcW w:w="1654" w:type="pct"/>
                  <w:vMerge w:val="restart"/>
                  <w:vAlign w:val="center"/>
                </w:tcPr>
                <w:p>
                  <w:pPr>
                    <w:jc w:val="center"/>
                    <w:rPr>
                      <w:b/>
                      <w:bCs/>
                      <w:szCs w:val="21"/>
                    </w:rPr>
                  </w:pPr>
                  <w:r>
                    <w:rPr>
                      <w:b/>
                      <w:bCs/>
                      <w:szCs w:val="21"/>
                    </w:rPr>
                    <w:t>本项目治理措施</w:t>
                  </w:r>
                </w:p>
              </w:tc>
              <w:tc>
                <w:tcPr>
                  <w:tcW w:w="511" w:type="pct"/>
                  <w:vMerge w:val="restart"/>
                  <w:vAlign w:val="center"/>
                </w:tcPr>
                <w:p>
                  <w:pPr>
                    <w:jc w:val="center"/>
                    <w:rPr>
                      <w:b/>
                      <w:bCs/>
                      <w:szCs w:val="21"/>
                    </w:rPr>
                  </w:pPr>
                  <w:r>
                    <w:rPr>
                      <w:b/>
                      <w:bCs/>
                      <w:szCs w:val="21"/>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4" w:type="pct"/>
                  <w:vAlign w:val="center"/>
                </w:tcPr>
                <w:p>
                  <w:pPr>
                    <w:jc w:val="center"/>
                    <w:rPr>
                      <w:b/>
                      <w:bCs/>
                      <w:szCs w:val="21"/>
                    </w:rPr>
                  </w:pPr>
                  <w:r>
                    <w:rPr>
                      <w:b/>
                      <w:bCs/>
                      <w:szCs w:val="21"/>
                    </w:rPr>
                    <w:t>管理类别</w:t>
                  </w:r>
                </w:p>
              </w:tc>
              <w:tc>
                <w:tcPr>
                  <w:tcW w:w="662" w:type="pct"/>
                  <w:vAlign w:val="center"/>
                </w:tcPr>
                <w:p>
                  <w:pPr>
                    <w:jc w:val="center"/>
                    <w:rPr>
                      <w:b/>
                      <w:bCs/>
                      <w:szCs w:val="21"/>
                    </w:rPr>
                  </w:pPr>
                  <w:r>
                    <w:rPr>
                      <w:b/>
                      <w:bCs/>
                      <w:szCs w:val="21"/>
                    </w:rPr>
                    <w:t>环保设施</w:t>
                  </w:r>
                </w:p>
              </w:tc>
              <w:tc>
                <w:tcPr>
                  <w:tcW w:w="1489" w:type="pct"/>
                  <w:vAlign w:val="center"/>
                </w:tcPr>
                <w:p>
                  <w:pPr>
                    <w:jc w:val="center"/>
                    <w:rPr>
                      <w:b/>
                      <w:bCs/>
                      <w:szCs w:val="21"/>
                    </w:rPr>
                  </w:pPr>
                  <w:r>
                    <w:rPr>
                      <w:b/>
                      <w:bCs/>
                      <w:szCs w:val="21"/>
                    </w:rPr>
                    <w:t>环保控制要求</w:t>
                  </w:r>
                </w:p>
              </w:tc>
              <w:tc>
                <w:tcPr>
                  <w:tcW w:w="1654" w:type="pct"/>
                  <w:vMerge w:val="continue"/>
                  <w:vAlign w:val="center"/>
                </w:tcPr>
                <w:p>
                  <w:pPr>
                    <w:jc w:val="center"/>
                    <w:rPr>
                      <w:b/>
                      <w:bCs/>
                      <w:szCs w:val="21"/>
                    </w:rPr>
                  </w:pPr>
                </w:p>
              </w:tc>
              <w:tc>
                <w:tcPr>
                  <w:tcW w:w="511" w:type="pct"/>
                  <w:vMerge w:val="continue"/>
                  <w:vAlign w:val="center"/>
                </w:tcPr>
                <w:p>
                  <w:pPr>
                    <w:jc w:val="center"/>
                    <w:rPr>
                      <w:b/>
                      <w:bCs/>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restart"/>
                  <w:vAlign w:val="center"/>
                </w:tcPr>
                <w:p>
                  <w:pPr>
                    <w:jc w:val="center"/>
                    <w:rPr>
                      <w:b/>
                      <w:bCs/>
                      <w:szCs w:val="21"/>
                    </w:rPr>
                  </w:pPr>
                  <w:r>
                    <w:rPr>
                      <w:szCs w:val="21"/>
                    </w:rPr>
                    <w:t>原料堆场、成品料场</w:t>
                  </w:r>
                </w:p>
              </w:tc>
              <w:tc>
                <w:tcPr>
                  <w:tcW w:w="662" w:type="pct"/>
                  <w:vAlign w:val="center"/>
                </w:tcPr>
                <w:p>
                  <w:pPr>
                    <w:jc w:val="center"/>
                    <w:rPr>
                      <w:b/>
                      <w:bCs/>
                      <w:szCs w:val="21"/>
                    </w:rPr>
                  </w:pPr>
                  <w:r>
                    <w:rPr>
                      <w:bCs/>
                      <w:szCs w:val="21"/>
                    </w:rPr>
                    <w:t>堆料场四周打围封隔</w:t>
                  </w:r>
                </w:p>
              </w:tc>
              <w:tc>
                <w:tcPr>
                  <w:tcW w:w="1489" w:type="pct"/>
                  <w:vAlign w:val="center"/>
                </w:tcPr>
                <w:p>
                  <w:pPr>
                    <w:rPr>
                      <w:b/>
                      <w:bCs/>
                      <w:szCs w:val="21"/>
                    </w:rPr>
                  </w:pPr>
                  <w:r>
                    <w:rPr>
                      <w:bCs/>
                      <w:szCs w:val="21"/>
                    </w:rPr>
                    <w:t>堆料四周应当设置不低于堆放物料高度的落地围栏，防止堆料滑落扬尘</w:t>
                  </w:r>
                </w:p>
              </w:tc>
              <w:tc>
                <w:tcPr>
                  <w:tcW w:w="1654" w:type="pct"/>
                  <w:vAlign w:val="center"/>
                </w:tcPr>
                <w:p>
                  <w:pPr>
                    <w:rPr>
                      <w:bCs/>
                      <w:szCs w:val="21"/>
                    </w:rPr>
                  </w:pPr>
                  <w:r>
                    <w:rPr>
                      <w:bCs/>
                      <w:szCs w:val="21"/>
                    </w:rPr>
                    <w:t>本项目</w:t>
                  </w:r>
                  <w:r>
                    <w:rPr>
                      <w:rFonts w:hint="eastAsia"/>
                      <w:bCs/>
                      <w:szCs w:val="21"/>
                    </w:rPr>
                    <w:t>加工</w:t>
                  </w:r>
                  <w:r>
                    <w:rPr>
                      <w:bCs/>
                      <w:szCs w:val="21"/>
                    </w:rPr>
                    <w:t>车间</w:t>
                  </w:r>
                  <w:r>
                    <w:rPr>
                      <w:rFonts w:hint="eastAsia"/>
                      <w:bCs/>
                      <w:szCs w:val="21"/>
                    </w:rPr>
                    <w:t>进行封闭，</w:t>
                  </w:r>
                  <w:r>
                    <w:rPr>
                      <w:bCs/>
                      <w:szCs w:val="21"/>
                    </w:rPr>
                    <w:t>成品</w:t>
                  </w:r>
                  <w:r>
                    <w:rPr>
                      <w:rFonts w:hint="eastAsia"/>
                      <w:bCs/>
                      <w:szCs w:val="21"/>
                    </w:rPr>
                    <w:t>堆场四周采用围挡，</w:t>
                  </w:r>
                  <w:r>
                    <w:rPr>
                      <w:bCs/>
                      <w:szCs w:val="21"/>
                    </w:rPr>
                    <w:t>并在对应区域设置喷雾降尘装置，厂区内道路场地硬化</w:t>
                  </w:r>
                  <w:r>
                    <w:rPr>
                      <w:rFonts w:hint="eastAsia"/>
                      <w:bCs/>
                      <w:szCs w:val="21"/>
                    </w:rPr>
                    <w:t>；项目于原弃方堆放地内建设，不设置原料堆场</w:t>
                  </w:r>
                </w:p>
              </w:tc>
              <w:tc>
                <w:tcPr>
                  <w:tcW w:w="511" w:type="pct"/>
                  <w:vAlign w:val="center"/>
                </w:tcPr>
                <w:p>
                  <w:pPr>
                    <w:jc w:val="center"/>
                    <w:rPr>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continue"/>
                  <w:vAlign w:val="center"/>
                </w:tcPr>
                <w:p>
                  <w:pPr>
                    <w:jc w:val="center"/>
                    <w:rPr>
                      <w:b/>
                      <w:bCs/>
                      <w:szCs w:val="21"/>
                    </w:rPr>
                  </w:pPr>
                </w:p>
              </w:tc>
              <w:tc>
                <w:tcPr>
                  <w:tcW w:w="662" w:type="pct"/>
                  <w:vAlign w:val="center"/>
                </w:tcPr>
                <w:p>
                  <w:pPr>
                    <w:jc w:val="center"/>
                    <w:rPr>
                      <w:b/>
                      <w:bCs/>
                      <w:szCs w:val="21"/>
                    </w:rPr>
                  </w:pPr>
                  <w:r>
                    <w:rPr>
                      <w:bCs/>
                      <w:szCs w:val="21"/>
                    </w:rPr>
                    <w:t>堆料全覆盖</w:t>
                  </w:r>
                </w:p>
              </w:tc>
              <w:tc>
                <w:tcPr>
                  <w:tcW w:w="1489" w:type="pct"/>
                  <w:vAlign w:val="center"/>
                </w:tcPr>
                <w:p>
                  <w:pPr>
                    <w:rPr>
                      <w:b/>
                      <w:bCs/>
                      <w:szCs w:val="21"/>
                    </w:rPr>
                  </w:pPr>
                  <w:r>
                    <w:rPr>
                      <w:bCs/>
                      <w:szCs w:val="21"/>
                    </w:rPr>
                    <w:t>堆料采取防风扬尘网进行覆盖，严禁裸露扬尘</w:t>
                  </w:r>
                </w:p>
              </w:tc>
              <w:tc>
                <w:tcPr>
                  <w:tcW w:w="1654" w:type="pct"/>
                  <w:vAlign w:val="center"/>
                </w:tcPr>
                <w:p>
                  <w:pPr>
                    <w:rPr>
                      <w:b/>
                      <w:bCs/>
                      <w:szCs w:val="21"/>
                    </w:rPr>
                  </w:pPr>
                  <w:r>
                    <w:rPr>
                      <w:rFonts w:hint="eastAsia"/>
                      <w:bCs/>
                      <w:szCs w:val="21"/>
                    </w:rPr>
                    <w:t>成品</w:t>
                  </w:r>
                  <w:r>
                    <w:rPr>
                      <w:bCs/>
                      <w:szCs w:val="21"/>
                    </w:rPr>
                    <w:t>堆料</w:t>
                  </w:r>
                  <w:r>
                    <w:rPr>
                      <w:rFonts w:hint="eastAsia"/>
                      <w:bCs/>
                      <w:szCs w:val="21"/>
                    </w:rPr>
                    <w:t>上方用</w:t>
                  </w:r>
                  <w:r>
                    <w:rPr>
                      <w:bCs/>
                      <w:szCs w:val="21"/>
                    </w:rPr>
                    <w:t>防尘网覆盖</w:t>
                  </w:r>
                  <w:r>
                    <w:rPr>
                      <w:rFonts w:hint="eastAsia"/>
                      <w:bCs/>
                      <w:szCs w:val="21"/>
                    </w:rPr>
                    <w:t>，配备雾炮机降尘；项目于原弃方堆放地内建设，不设置原料堆场</w:t>
                  </w:r>
                </w:p>
              </w:tc>
              <w:tc>
                <w:tcPr>
                  <w:tcW w:w="511" w:type="pct"/>
                  <w:vAlign w:val="center"/>
                </w:tcPr>
                <w:p>
                  <w:pPr>
                    <w:jc w:val="center"/>
                    <w:rPr>
                      <w:b/>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restart"/>
                  <w:vAlign w:val="center"/>
                </w:tcPr>
                <w:p>
                  <w:pPr>
                    <w:jc w:val="center"/>
                    <w:rPr>
                      <w:b/>
                      <w:bCs/>
                      <w:szCs w:val="21"/>
                    </w:rPr>
                  </w:pPr>
                  <w:r>
                    <w:rPr>
                      <w:bCs/>
                      <w:szCs w:val="21"/>
                    </w:rPr>
                    <w:t>砂石料加工生产</w:t>
                  </w:r>
                </w:p>
              </w:tc>
              <w:tc>
                <w:tcPr>
                  <w:tcW w:w="662" w:type="pct"/>
                  <w:vAlign w:val="center"/>
                </w:tcPr>
                <w:p>
                  <w:pPr>
                    <w:jc w:val="center"/>
                    <w:rPr>
                      <w:b/>
                      <w:bCs/>
                      <w:szCs w:val="21"/>
                    </w:rPr>
                  </w:pPr>
                  <w:r>
                    <w:rPr>
                      <w:bCs/>
                      <w:szCs w:val="21"/>
                    </w:rPr>
                    <w:t>砂石破碎加工进料口全封闭</w:t>
                  </w:r>
                </w:p>
              </w:tc>
              <w:tc>
                <w:tcPr>
                  <w:tcW w:w="1489" w:type="pct"/>
                  <w:vAlign w:val="center"/>
                </w:tcPr>
                <w:p>
                  <w:pPr>
                    <w:rPr>
                      <w:b/>
                      <w:bCs/>
                      <w:szCs w:val="21"/>
                    </w:rPr>
                  </w:pPr>
                  <w:r>
                    <w:rPr>
                      <w:bCs/>
                      <w:szCs w:val="21"/>
                    </w:rPr>
                    <w:t>砂石加工、破碎及分筛必须在全封闭设施进行，通过防尘、隔音、喷淋装置，防止、减少噪声和扬尘污染</w:t>
                  </w:r>
                </w:p>
              </w:tc>
              <w:tc>
                <w:tcPr>
                  <w:tcW w:w="1654" w:type="pct"/>
                  <w:vAlign w:val="center"/>
                </w:tcPr>
                <w:p>
                  <w:pPr>
                    <w:rPr>
                      <w:b/>
                      <w:bCs/>
                      <w:szCs w:val="21"/>
                    </w:rPr>
                  </w:pPr>
                  <w:r>
                    <w:rPr>
                      <w:rFonts w:hint="eastAsia"/>
                      <w:snapToGrid w:val="0"/>
                      <w:szCs w:val="21"/>
                    </w:rPr>
                    <w:t>本项目砂石加工在</w:t>
                  </w:r>
                  <w:r>
                    <w:rPr>
                      <w:snapToGrid w:val="0"/>
                      <w:szCs w:val="21"/>
                    </w:rPr>
                    <w:t>封闭</w:t>
                  </w:r>
                  <w:r>
                    <w:rPr>
                      <w:rFonts w:hint="eastAsia"/>
                      <w:snapToGrid w:val="0"/>
                      <w:szCs w:val="21"/>
                    </w:rPr>
                    <w:t>式</w:t>
                  </w:r>
                  <w:r>
                    <w:rPr>
                      <w:snapToGrid w:val="0"/>
                      <w:szCs w:val="21"/>
                    </w:rPr>
                    <w:t>车间</w:t>
                  </w:r>
                  <w:r>
                    <w:rPr>
                      <w:rFonts w:hint="eastAsia"/>
                      <w:snapToGrid w:val="0"/>
                      <w:szCs w:val="21"/>
                    </w:rPr>
                    <w:t>内进行</w:t>
                  </w:r>
                  <w:r>
                    <w:rPr>
                      <w:snapToGrid w:val="0"/>
                      <w:szCs w:val="21"/>
                    </w:rPr>
                    <w:t>，</w:t>
                  </w:r>
                  <w:r>
                    <w:rPr>
                      <w:rFonts w:hint="eastAsia"/>
                      <w:snapToGrid w:val="0"/>
                      <w:szCs w:val="21"/>
                    </w:rPr>
                    <w:t>对物料进行冲水使其充分湿润，在生产车间内设置喷雾喷头抑尘</w:t>
                  </w:r>
                </w:p>
              </w:tc>
              <w:tc>
                <w:tcPr>
                  <w:tcW w:w="511" w:type="pct"/>
                  <w:vAlign w:val="center"/>
                </w:tcPr>
                <w:p>
                  <w:pPr>
                    <w:jc w:val="center"/>
                    <w:rPr>
                      <w:b/>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continue"/>
                  <w:vAlign w:val="center"/>
                </w:tcPr>
                <w:p>
                  <w:pPr>
                    <w:jc w:val="center"/>
                    <w:rPr>
                      <w:b/>
                      <w:bCs/>
                      <w:szCs w:val="21"/>
                    </w:rPr>
                  </w:pPr>
                </w:p>
              </w:tc>
              <w:tc>
                <w:tcPr>
                  <w:tcW w:w="662" w:type="pct"/>
                  <w:vAlign w:val="center"/>
                </w:tcPr>
                <w:p>
                  <w:pPr>
                    <w:jc w:val="center"/>
                    <w:rPr>
                      <w:b/>
                      <w:bCs/>
                      <w:szCs w:val="21"/>
                    </w:rPr>
                  </w:pPr>
                  <w:r>
                    <w:rPr>
                      <w:bCs/>
                      <w:szCs w:val="21"/>
                    </w:rPr>
                    <w:t>修建配套生产废水处理回用设施</w:t>
                  </w:r>
                </w:p>
              </w:tc>
              <w:tc>
                <w:tcPr>
                  <w:tcW w:w="1489" w:type="pct"/>
                  <w:vAlign w:val="center"/>
                </w:tcPr>
                <w:p>
                  <w:pPr>
                    <w:rPr>
                      <w:b/>
                      <w:bCs/>
                      <w:szCs w:val="21"/>
                    </w:rPr>
                  </w:pPr>
                  <w:r>
                    <w:rPr>
                      <w:bCs/>
                      <w:szCs w:val="21"/>
                    </w:rPr>
                    <w:t>所有生产废水必须全部循环使用，要做到防渗漏防雨处理，严禁乱排、直排</w:t>
                  </w:r>
                </w:p>
              </w:tc>
              <w:tc>
                <w:tcPr>
                  <w:tcW w:w="1654" w:type="pct"/>
                  <w:vAlign w:val="center"/>
                </w:tcPr>
                <w:p>
                  <w:pPr>
                    <w:rPr>
                      <w:b/>
                      <w:bCs/>
                      <w:szCs w:val="21"/>
                    </w:rPr>
                  </w:pPr>
                  <w:r>
                    <w:rPr>
                      <w:bCs/>
                      <w:szCs w:val="21"/>
                    </w:rPr>
                    <w:t>项目场地硬化，厂区</w:t>
                  </w:r>
                  <w:r>
                    <w:rPr>
                      <w:rFonts w:hint="eastAsia"/>
                      <w:bCs/>
                      <w:szCs w:val="21"/>
                    </w:rPr>
                    <w:t>生产废水进入浓密罐处理后，</w:t>
                  </w:r>
                  <w:r>
                    <w:rPr>
                      <w:rFonts w:hint="eastAsia"/>
                      <w:szCs w:val="21"/>
                      <w:lang w:bidi="ar"/>
                    </w:rPr>
                    <w:t>浓密罐污泥经压滤机脱水，泥饼</w:t>
                  </w:r>
                  <w:r>
                    <w:rPr>
                      <w:rFonts w:hint="eastAsia" w:hAnsi="宋体"/>
                    </w:rPr>
                    <w:t>按政府要求堆放至指定地点</w:t>
                  </w:r>
                  <w:r>
                    <w:rPr>
                      <w:rFonts w:hint="eastAsia"/>
                      <w:szCs w:val="21"/>
                      <w:lang w:bidi="ar"/>
                    </w:rPr>
                    <w:t>，</w:t>
                  </w:r>
                  <w:r>
                    <w:rPr>
                      <w:rFonts w:hint="eastAsia"/>
                      <w:bCs/>
                      <w:szCs w:val="21"/>
                    </w:rPr>
                    <w:t>澄清水进入清水池循环使用，不外排</w:t>
                  </w:r>
                </w:p>
              </w:tc>
              <w:tc>
                <w:tcPr>
                  <w:tcW w:w="511" w:type="pct"/>
                  <w:vAlign w:val="center"/>
                </w:tcPr>
                <w:p>
                  <w:pPr>
                    <w:jc w:val="center"/>
                    <w:rPr>
                      <w:b/>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continue"/>
                  <w:vAlign w:val="center"/>
                </w:tcPr>
                <w:p>
                  <w:pPr>
                    <w:jc w:val="center"/>
                    <w:rPr>
                      <w:b/>
                      <w:bCs/>
                      <w:szCs w:val="21"/>
                    </w:rPr>
                  </w:pPr>
                </w:p>
              </w:tc>
              <w:tc>
                <w:tcPr>
                  <w:tcW w:w="662" w:type="pct"/>
                  <w:vAlign w:val="center"/>
                </w:tcPr>
                <w:p>
                  <w:pPr>
                    <w:jc w:val="center"/>
                    <w:rPr>
                      <w:b/>
                      <w:bCs/>
                      <w:szCs w:val="21"/>
                    </w:rPr>
                  </w:pPr>
                  <w:r>
                    <w:rPr>
                      <w:bCs/>
                      <w:szCs w:val="21"/>
                    </w:rPr>
                    <w:t>物料传送建立密闭系统</w:t>
                  </w:r>
                </w:p>
              </w:tc>
              <w:tc>
                <w:tcPr>
                  <w:tcW w:w="1489" w:type="pct"/>
                  <w:vAlign w:val="center"/>
                </w:tcPr>
                <w:p>
                  <w:pPr>
                    <w:rPr>
                      <w:b/>
                      <w:bCs/>
                      <w:szCs w:val="21"/>
                    </w:rPr>
                  </w:pPr>
                  <w:r>
                    <w:rPr>
                      <w:bCs/>
                      <w:szCs w:val="21"/>
                    </w:rPr>
                    <w:t>通过密闭、喷水传送，确保无泄漏、无散落、无飞尘</w:t>
                  </w:r>
                </w:p>
              </w:tc>
              <w:tc>
                <w:tcPr>
                  <w:tcW w:w="1654" w:type="pct"/>
                  <w:vAlign w:val="center"/>
                </w:tcPr>
                <w:p>
                  <w:pPr>
                    <w:rPr>
                      <w:b/>
                      <w:bCs/>
                      <w:szCs w:val="21"/>
                    </w:rPr>
                  </w:pPr>
                  <w:r>
                    <w:rPr>
                      <w:rFonts w:hint="eastAsia"/>
                      <w:bCs/>
                      <w:szCs w:val="21"/>
                    </w:rPr>
                    <w:t>物料</w:t>
                  </w:r>
                  <w:r>
                    <w:rPr>
                      <w:bCs/>
                      <w:szCs w:val="21"/>
                    </w:rPr>
                    <w:t>输送</w:t>
                  </w:r>
                  <w:r>
                    <w:rPr>
                      <w:rFonts w:hint="eastAsia"/>
                      <w:bCs/>
                      <w:szCs w:val="21"/>
                    </w:rPr>
                    <w:t>在密闭车间内进行</w:t>
                  </w:r>
                  <w:r>
                    <w:rPr>
                      <w:bCs/>
                      <w:szCs w:val="21"/>
                    </w:rPr>
                    <w:t>，并在对应区域屋顶设置喷雾降尘</w:t>
                  </w:r>
                </w:p>
              </w:tc>
              <w:tc>
                <w:tcPr>
                  <w:tcW w:w="511" w:type="pct"/>
                  <w:vAlign w:val="center"/>
                </w:tcPr>
                <w:p>
                  <w:pPr>
                    <w:jc w:val="center"/>
                    <w:rPr>
                      <w:b/>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continue"/>
                  <w:vAlign w:val="center"/>
                </w:tcPr>
                <w:p>
                  <w:pPr>
                    <w:jc w:val="center"/>
                    <w:rPr>
                      <w:b/>
                      <w:bCs/>
                      <w:szCs w:val="21"/>
                    </w:rPr>
                  </w:pPr>
                </w:p>
              </w:tc>
              <w:tc>
                <w:tcPr>
                  <w:tcW w:w="662" w:type="pct"/>
                  <w:vAlign w:val="center"/>
                </w:tcPr>
                <w:p>
                  <w:pPr>
                    <w:jc w:val="center"/>
                    <w:rPr>
                      <w:b/>
                      <w:bCs/>
                      <w:szCs w:val="21"/>
                    </w:rPr>
                  </w:pPr>
                  <w:r>
                    <w:rPr>
                      <w:bCs/>
                      <w:szCs w:val="21"/>
                    </w:rPr>
                    <w:t>装卸物料密闭喷淋</w:t>
                  </w:r>
                </w:p>
              </w:tc>
              <w:tc>
                <w:tcPr>
                  <w:tcW w:w="1489" w:type="pct"/>
                  <w:vAlign w:val="center"/>
                </w:tcPr>
                <w:p>
                  <w:pPr>
                    <w:rPr>
                      <w:b/>
                      <w:bCs/>
                      <w:szCs w:val="21"/>
                    </w:rPr>
                  </w:pPr>
                  <w:r>
                    <w:rPr>
                      <w:bCs/>
                      <w:szCs w:val="21"/>
                    </w:rPr>
                    <w:t>通过喷淋确保物料装卸不起尘</w:t>
                  </w:r>
                </w:p>
              </w:tc>
              <w:tc>
                <w:tcPr>
                  <w:tcW w:w="1654" w:type="pct"/>
                  <w:vAlign w:val="center"/>
                </w:tcPr>
                <w:p>
                  <w:pPr>
                    <w:rPr>
                      <w:b/>
                      <w:bCs/>
                      <w:szCs w:val="21"/>
                    </w:rPr>
                  </w:pPr>
                  <w:r>
                    <w:rPr>
                      <w:bCs/>
                      <w:szCs w:val="21"/>
                    </w:rPr>
                    <w:t>项目物料</w:t>
                  </w:r>
                  <w:r>
                    <w:rPr>
                      <w:rFonts w:hint="eastAsia"/>
                      <w:bCs/>
                      <w:szCs w:val="21"/>
                    </w:rPr>
                    <w:t>采用三面一顶地坑式投料</w:t>
                  </w:r>
                  <w:r>
                    <w:rPr>
                      <w:bCs/>
                      <w:szCs w:val="21"/>
                    </w:rPr>
                    <w:t>，并在对应区域</w:t>
                  </w:r>
                  <w:r>
                    <w:rPr>
                      <w:snapToGrid w:val="0"/>
                      <w:szCs w:val="21"/>
                    </w:rPr>
                    <w:t>设置喷雾降尘装置</w:t>
                  </w:r>
                </w:p>
              </w:tc>
              <w:tc>
                <w:tcPr>
                  <w:tcW w:w="511" w:type="pct"/>
                  <w:vAlign w:val="center"/>
                </w:tcPr>
                <w:p>
                  <w:pPr>
                    <w:jc w:val="center"/>
                    <w:rPr>
                      <w:b/>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continue"/>
                  <w:vAlign w:val="center"/>
                </w:tcPr>
                <w:p>
                  <w:pPr>
                    <w:jc w:val="center"/>
                    <w:rPr>
                      <w:b/>
                      <w:bCs/>
                      <w:szCs w:val="21"/>
                    </w:rPr>
                  </w:pPr>
                </w:p>
              </w:tc>
              <w:tc>
                <w:tcPr>
                  <w:tcW w:w="662" w:type="pct"/>
                  <w:vAlign w:val="center"/>
                </w:tcPr>
                <w:p>
                  <w:pPr>
                    <w:jc w:val="center"/>
                    <w:rPr>
                      <w:b/>
                      <w:bCs/>
                      <w:szCs w:val="21"/>
                    </w:rPr>
                  </w:pPr>
                  <w:r>
                    <w:rPr>
                      <w:bCs/>
                      <w:szCs w:val="21"/>
                    </w:rPr>
                    <w:t>场地内运输道路硬化</w:t>
                  </w:r>
                </w:p>
              </w:tc>
              <w:tc>
                <w:tcPr>
                  <w:tcW w:w="1489" w:type="pct"/>
                  <w:vAlign w:val="center"/>
                </w:tcPr>
                <w:p>
                  <w:pPr>
                    <w:rPr>
                      <w:b/>
                      <w:bCs/>
                      <w:szCs w:val="21"/>
                    </w:rPr>
                  </w:pPr>
                  <w:r>
                    <w:rPr>
                      <w:bCs/>
                      <w:szCs w:val="21"/>
                    </w:rPr>
                    <w:t>要配置冲洗清扫设备，及时清除散落物料、清洗道路，做好除尘、降尘</w:t>
                  </w:r>
                </w:p>
              </w:tc>
              <w:tc>
                <w:tcPr>
                  <w:tcW w:w="1654" w:type="pct"/>
                  <w:vAlign w:val="center"/>
                </w:tcPr>
                <w:p>
                  <w:pPr>
                    <w:rPr>
                      <w:b/>
                      <w:bCs/>
                      <w:szCs w:val="21"/>
                    </w:rPr>
                  </w:pPr>
                  <w:r>
                    <w:rPr>
                      <w:bCs/>
                      <w:szCs w:val="21"/>
                    </w:rPr>
                    <w:t>场地硬化，</w:t>
                  </w:r>
                  <w:r>
                    <w:rPr>
                      <w:rFonts w:hint="eastAsia"/>
                      <w:bCs/>
                      <w:szCs w:val="21"/>
                    </w:rPr>
                    <w:t>厂区道路采取雾炮机降尘</w:t>
                  </w:r>
                </w:p>
              </w:tc>
              <w:tc>
                <w:tcPr>
                  <w:tcW w:w="511" w:type="pct"/>
                  <w:vAlign w:val="center"/>
                </w:tcPr>
                <w:p>
                  <w:pPr>
                    <w:jc w:val="center"/>
                    <w:rPr>
                      <w:b/>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continue"/>
                  <w:vAlign w:val="center"/>
                </w:tcPr>
                <w:p>
                  <w:pPr>
                    <w:jc w:val="center"/>
                    <w:rPr>
                      <w:b/>
                      <w:bCs/>
                      <w:szCs w:val="21"/>
                    </w:rPr>
                  </w:pPr>
                </w:p>
              </w:tc>
              <w:tc>
                <w:tcPr>
                  <w:tcW w:w="662" w:type="pct"/>
                  <w:vAlign w:val="center"/>
                </w:tcPr>
                <w:p>
                  <w:pPr>
                    <w:jc w:val="center"/>
                    <w:rPr>
                      <w:b/>
                      <w:bCs/>
                      <w:szCs w:val="21"/>
                    </w:rPr>
                  </w:pPr>
                  <w:r>
                    <w:rPr>
                      <w:bCs/>
                      <w:szCs w:val="21"/>
                    </w:rPr>
                    <w:t>规范作业时间</w:t>
                  </w:r>
                </w:p>
              </w:tc>
              <w:tc>
                <w:tcPr>
                  <w:tcW w:w="1489" w:type="pct"/>
                  <w:vAlign w:val="center"/>
                </w:tcPr>
                <w:p>
                  <w:pPr>
                    <w:rPr>
                      <w:b/>
                      <w:bCs/>
                      <w:szCs w:val="21"/>
                    </w:rPr>
                  </w:pPr>
                  <w:r>
                    <w:rPr>
                      <w:bCs/>
                      <w:szCs w:val="21"/>
                    </w:rPr>
                    <w:t>每日早6:00前、晚20:00后严禁加工作业和装卸运输，杜绝噪声扰民</w:t>
                  </w:r>
                </w:p>
              </w:tc>
              <w:tc>
                <w:tcPr>
                  <w:tcW w:w="1654" w:type="pct"/>
                  <w:vAlign w:val="center"/>
                </w:tcPr>
                <w:p>
                  <w:pPr>
                    <w:rPr>
                      <w:b/>
                      <w:bCs/>
                      <w:szCs w:val="21"/>
                    </w:rPr>
                  </w:pPr>
                  <w:r>
                    <w:rPr>
                      <w:rFonts w:hint="eastAsia"/>
                      <w:bCs/>
                      <w:szCs w:val="21"/>
                    </w:rPr>
                    <w:t>本</w:t>
                  </w:r>
                  <w:r>
                    <w:rPr>
                      <w:bCs/>
                      <w:szCs w:val="21"/>
                    </w:rPr>
                    <w:t>项目年工作330天，每天工作12小时（8:00~20:00），夜间不生产</w:t>
                  </w:r>
                  <w:r>
                    <w:rPr>
                      <w:rFonts w:hint="eastAsia"/>
                      <w:bCs/>
                      <w:szCs w:val="21"/>
                    </w:rPr>
                    <w:t>。</w:t>
                  </w:r>
                </w:p>
              </w:tc>
              <w:tc>
                <w:tcPr>
                  <w:tcW w:w="511" w:type="pct"/>
                  <w:vAlign w:val="center"/>
                </w:tcPr>
                <w:p>
                  <w:pPr>
                    <w:jc w:val="center"/>
                    <w:rPr>
                      <w:b/>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restart"/>
                  <w:vAlign w:val="center"/>
                </w:tcPr>
                <w:p>
                  <w:pPr>
                    <w:jc w:val="center"/>
                    <w:rPr>
                      <w:b/>
                      <w:bCs/>
                      <w:szCs w:val="21"/>
                    </w:rPr>
                  </w:pPr>
                  <w:r>
                    <w:rPr>
                      <w:bCs/>
                      <w:szCs w:val="21"/>
                    </w:rPr>
                    <w:t>砂石料销售运输</w:t>
                  </w:r>
                </w:p>
              </w:tc>
              <w:tc>
                <w:tcPr>
                  <w:tcW w:w="662" w:type="pct"/>
                  <w:vAlign w:val="center"/>
                </w:tcPr>
                <w:p>
                  <w:pPr>
                    <w:jc w:val="center"/>
                    <w:rPr>
                      <w:b/>
                      <w:bCs/>
                      <w:szCs w:val="21"/>
                    </w:rPr>
                  </w:pPr>
                  <w:r>
                    <w:rPr>
                      <w:bCs/>
                      <w:szCs w:val="21"/>
                    </w:rPr>
                    <w:t>建立运输车辆出场冲洗和喷淋设施</w:t>
                  </w:r>
                </w:p>
              </w:tc>
              <w:tc>
                <w:tcPr>
                  <w:tcW w:w="1489" w:type="pct"/>
                  <w:vAlign w:val="center"/>
                </w:tcPr>
                <w:p>
                  <w:pPr>
                    <w:rPr>
                      <w:b/>
                      <w:bCs/>
                      <w:szCs w:val="21"/>
                    </w:rPr>
                  </w:pPr>
                  <w:r>
                    <w:rPr>
                      <w:bCs/>
                      <w:szCs w:val="21"/>
                    </w:rPr>
                    <w:t>所有出场运输车辆必须冲洗车身和轮胎，确保不带泥上路</w:t>
                  </w:r>
                </w:p>
              </w:tc>
              <w:tc>
                <w:tcPr>
                  <w:tcW w:w="1654" w:type="pct"/>
                  <w:vAlign w:val="center"/>
                </w:tcPr>
                <w:p>
                  <w:pPr>
                    <w:rPr>
                      <w:b/>
                      <w:bCs/>
                      <w:szCs w:val="21"/>
                    </w:rPr>
                  </w:pPr>
                  <w:r>
                    <w:rPr>
                      <w:bCs/>
                      <w:szCs w:val="21"/>
                    </w:rPr>
                    <w:t>场地内进出口设置洗车池，采用全自动喷淋设施冲洗</w:t>
                  </w:r>
                </w:p>
              </w:tc>
              <w:tc>
                <w:tcPr>
                  <w:tcW w:w="511" w:type="pct"/>
                  <w:vAlign w:val="center"/>
                </w:tcPr>
                <w:p>
                  <w:pPr>
                    <w:jc w:val="center"/>
                    <w:rPr>
                      <w:b/>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continue"/>
                  <w:vAlign w:val="center"/>
                </w:tcPr>
                <w:p>
                  <w:pPr>
                    <w:jc w:val="center"/>
                    <w:rPr>
                      <w:b/>
                      <w:bCs/>
                      <w:szCs w:val="21"/>
                    </w:rPr>
                  </w:pPr>
                </w:p>
              </w:tc>
              <w:tc>
                <w:tcPr>
                  <w:tcW w:w="662" w:type="pct"/>
                  <w:vAlign w:val="center"/>
                </w:tcPr>
                <w:p>
                  <w:pPr>
                    <w:jc w:val="center"/>
                    <w:rPr>
                      <w:b/>
                      <w:bCs/>
                      <w:szCs w:val="21"/>
                    </w:rPr>
                  </w:pPr>
                  <w:r>
                    <w:rPr>
                      <w:bCs/>
                      <w:szCs w:val="21"/>
                    </w:rPr>
                    <w:t>运输车辆全覆盖，密闭运输</w:t>
                  </w:r>
                </w:p>
              </w:tc>
              <w:tc>
                <w:tcPr>
                  <w:tcW w:w="1489" w:type="pct"/>
                  <w:vAlign w:val="center"/>
                </w:tcPr>
                <w:p>
                  <w:pPr>
                    <w:rPr>
                      <w:b/>
                      <w:bCs/>
                      <w:szCs w:val="21"/>
                    </w:rPr>
                  </w:pPr>
                  <w:r>
                    <w:rPr>
                      <w:bCs/>
                      <w:szCs w:val="21"/>
                    </w:rPr>
                    <w:t>所有出场车辆必须全覆盖，确保上路无“抛、洒、滴、漏”现象</w:t>
                  </w:r>
                </w:p>
              </w:tc>
              <w:tc>
                <w:tcPr>
                  <w:tcW w:w="1654" w:type="pct"/>
                  <w:vAlign w:val="center"/>
                </w:tcPr>
                <w:p>
                  <w:pPr>
                    <w:jc w:val="center"/>
                    <w:rPr>
                      <w:b/>
                      <w:bCs/>
                      <w:szCs w:val="21"/>
                    </w:rPr>
                  </w:pPr>
                  <w:r>
                    <w:rPr>
                      <w:bCs/>
                      <w:szCs w:val="21"/>
                    </w:rPr>
                    <w:t>车辆</w:t>
                  </w:r>
                  <w:r>
                    <w:rPr>
                      <w:rFonts w:hint="eastAsia"/>
                      <w:bCs/>
                      <w:szCs w:val="21"/>
                    </w:rPr>
                    <w:t>采取篷布覆盖，</w:t>
                  </w:r>
                  <w:r>
                    <w:rPr>
                      <w:bCs/>
                      <w:szCs w:val="21"/>
                    </w:rPr>
                    <w:t>密闭运输</w:t>
                  </w:r>
                </w:p>
              </w:tc>
              <w:tc>
                <w:tcPr>
                  <w:tcW w:w="511" w:type="pct"/>
                  <w:vAlign w:val="center"/>
                </w:tcPr>
                <w:p>
                  <w:pPr>
                    <w:jc w:val="center"/>
                    <w:rPr>
                      <w:b/>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continue"/>
                  <w:vAlign w:val="center"/>
                </w:tcPr>
                <w:p>
                  <w:pPr>
                    <w:jc w:val="center"/>
                    <w:rPr>
                      <w:b/>
                      <w:bCs/>
                      <w:szCs w:val="21"/>
                    </w:rPr>
                  </w:pPr>
                </w:p>
              </w:tc>
              <w:tc>
                <w:tcPr>
                  <w:tcW w:w="662" w:type="pct"/>
                  <w:vAlign w:val="center"/>
                </w:tcPr>
                <w:p>
                  <w:pPr>
                    <w:jc w:val="center"/>
                    <w:rPr>
                      <w:b/>
                      <w:bCs/>
                      <w:szCs w:val="21"/>
                    </w:rPr>
                  </w:pPr>
                  <w:r>
                    <w:rPr>
                      <w:bCs/>
                      <w:szCs w:val="21"/>
                    </w:rPr>
                    <w:t>出场通道硬化、喷淋</w:t>
                  </w:r>
                </w:p>
              </w:tc>
              <w:tc>
                <w:tcPr>
                  <w:tcW w:w="1489" w:type="pct"/>
                  <w:vAlign w:val="center"/>
                </w:tcPr>
                <w:p>
                  <w:pPr>
                    <w:rPr>
                      <w:b/>
                      <w:bCs/>
                      <w:szCs w:val="21"/>
                    </w:rPr>
                  </w:pPr>
                  <w:r>
                    <w:rPr>
                      <w:bCs/>
                      <w:szCs w:val="21"/>
                    </w:rPr>
                    <w:t>砂石场出场道路必须硬化，定期安排喷淋，减少扬尘污染</w:t>
                  </w:r>
                </w:p>
              </w:tc>
              <w:tc>
                <w:tcPr>
                  <w:tcW w:w="1654" w:type="pct"/>
                  <w:vAlign w:val="center"/>
                </w:tcPr>
                <w:p>
                  <w:pPr>
                    <w:jc w:val="center"/>
                    <w:rPr>
                      <w:b/>
                      <w:bCs/>
                      <w:szCs w:val="21"/>
                    </w:rPr>
                  </w:pPr>
                  <w:r>
                    <w:rPr>
                      <w:rFonts w:hint="eastAsia"/>
                      <w:bCs/>
                      <w:szCs w:val="21"/>
                    </w:rPr>
                    <w:t>地面</w:t>
                  </w:r>
                  <w:r>
                    <w:rPr>
                      <w:bCs/>
                      <w:szCs w:val="21"/>
                    </w:rPr>
                    <w:t>硬化，</w:t>
                  </w:r>
                  <w:r>
                    <w:rPr>
                      <w:rFonts w:hint="eastAsia"/>
                      <w:bCs/>
                      <w:szCs w:val="21"/>
                    </w:rPr>
                    <w:t>并定期</w:t>
                  </w:r>
                  <w:r>
                    <w:rPr>
                      <w:bCs/>
                      <w:szCs w:val="21"/>
                    </w:rPr>
                    <w:t>洒水降尘</w:t>
                  </w:r>
                </w:p>
              </w:tc>
              <w:tc>
                <w:tcPr>
                  <w:tcW w:w="511" w:type="pct"/>
                  <w:vAlign w:val="center"/>
                </w:tcPr>
                <w:p>
                  <w:pPr>
                    <w:jc w:val="center"/>
                    <w:rPr>
                      <w:b/>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restart"/>
                  <w:vAlign w:val="center"/>
                </w:tcPr>
                <w:p>
                  <w:pPr>
                    <w:jc w:val="center"/>
                    <w:rPr>
                      <w:b/>
                      <w:bCs/>
                      <w:szCs w:val="21"/>
                    </w:rPr>
                  </w:pPr>
                  <w:r>
                    <w:rPr>
                      <w:bCs/>
                      <w:szCs w:val="21"/>
                    </w:rPr>
                    <w:t>其他要求</w:t>
                  </w:r>
                </w:p>
              </w:tc>
              <w:tc>
                <w:tcPr>
                  <w:tcW w:w="662" w:type="pct"/>
                  <w:vMerge w:val="restart"/>
                  <w:vAlign w:val="center"/>
                </w:tcPr>
                <w:p>
                  <w:pPr>
                    <w:jc w:val="center"/>
                    <w:rPr>
                      <w:b/>
                      <w:bCs/>
                      <w:szCs w:val="21"/>
                    </w:rPr>
                  </w:pPr>
                  <w:r>
                    <w:rPr>
                      <w:bCs/>
                      <w:szCs w:val="21"/>
                    </w:rPr>
                    <w:t>生活垃圾集中收集</w:t>
                  </w:r>
                </w:p>
              </w:tc>
              <w:tc>
                <w:tcPr>
                  <w:tcW w:w="1489" w:type="pct"/>
                  <w:vAlign w:val="center"/>
                </w:tcPr>
                <w:p>
                  <w:pPr>
                    <w:rPr>
                      <w:b/>
                      <w:bCs/>
                      <w:szCs w:val="21"/>
                    </w:rPr>
                  </w:pPr>
                  <w:r>
                    <w:rPr>
                      <w:bCs/>
                      <w:szCs w:val="21"/>
                    </w:rPr>
                    <w:t>场内生活垃圾要集中收集交由环卫部门处理，严禁随便倾倒污染环境</w:t>
                  </w:r>
                </w:p>
              </w:tc>
              <w:tc>
                <w:tcPr>
                  <w:tcW w:w="1654" w:type="pct"/>
                  <w:vAlign w:val="center"/>
                </w:tcPr>
                <w:p>
                  <w:pPr>
                    <w:rPr>
                      <w:b/>
                      <w:bCs/>
                      <w:szCs w:val="21"/>
                    </w:rPr>
                  </w:pPr>
                  <w:r>
                    <w:rPr>
                      <w:bCs/>
                      <w:szCs w:val="21"/>
                    </w:rPr>
                    <w:t>设置垃圾桶，集中收集后交环卫部门清运处理</w:t>
                  </w:r>
                </w:p>
              </w:tc>
              <w:tc>
                <w:tcPr>
                  <w:tcW w:w="511" w:type="pct"/>
                  <w:vAlign w:val="center"/>
                </w:tcPr>
                <w:p>
                  <w:pPr>
                    <w:jc w:val="center"/>
                    <w:rPr>
                      <w:b/>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continue"/>
                  <w:vAlign w:val="center"/>
                </w:tcPr>
                <w:p>
                  <w:pPr>
                    <w:jc w:val="center"/>
                    <w:rPr>
                      <w:bCs/>
                      <w:szCs w:val="21"/>
                    </w:rPr>
                  </w:pPr>
                </w:p>
              </w:tc>
              <w:tc>
                <w:tcPr>
                  <w:tcW w:w="662" w:type="pct"/>
                  <w:vMerge w:val="continue"/>
                  <w:vAlign w:val="center"/>
                </w:tcPr>
                <w:p>
                  <w:pPr>
                    <w:jc w:val="center"/>
                    <w:rPr>
                      <w:bCs/>
                      <w:szCs w:val="21"/>
                    </w:rPr>
                  </w:pPr>
                </w:p>
              </w:tc>
              <w:tc>
                <w:tcPr>
                  <w:tcW w:w="1489" w:type="pct"/>
                  <w:vAlign w:val="center"/>
                </w:tcPr>
                <w:p>
                  <w:pPr>
                    <w:rPr>
                      <w:bCs/>
                      <w:szCs w:val="21"/>
                    </w:rPr>
                  </w:pPr>
                  <w:r>
                    <w:rPr>
                      <w:rFonts w:hint="eastAsia"/>
                      <w:szCs w:val="21"/>
                    </w:rPr>
                    <w:t>生活垃圾集中收集（场内生活垃圾要集中收集交环卫部门处理，严禁随便倾倒污染环境）</w:t>
                  </w:r>
                </w:p>
              </w:tc>
              <w:tc>
                <w:tcPr>
                  <w:tcW w:w="1654" w:type="pct"/>
                  <w:vAlign w:val="center"/>
                </w:tcPr>
                <w:p>
                  <w:pPr>
                    <w:rPr>
                      <w:bCs/>
                      <w:szCs w:val="21"/>
                    </w:rPr>
                  </w:pPr>
                  <w:r>
                    <w:rPr>
                      <w:rFonts w:hint="eastAsia"/>
                      <w:szCs w:val="21"/>
                    </w:rPr>
                    <w:t>生活垃圾收集后交由环卫部门统一清运</w:t>
                  </w:r>
                </w:p>
              </w:tc>
              <w:tc>
                <w:tcPr>
                  <w:tcW w:w="511" w:type="pct"/>
                  <w:vAlign w:val="center"/>
                </w:tcPr>
                <w:p>
                  <w:pPr>
                    <w:jc w:val="center"/>
                    <w:rPr>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continue"/>
                  <w:vAlign w:val="center"/>
                </w:tcPr>
                <w:p>
                  <w:pPr>
                    <w:jc w:val="center"/>
                    <w:rPr>
                      <w:bCs/>
                      <w:szCs w:val="21"/>
                    </w:rPr>
                  </w:pPr>
                </w:p>
              </w:tc>
              <w:tc>
                <w:tcPr>
                  <w:tcW w:w="662" w:type="pct"/>
                  <w:vAlign w:val="center"/>
                </w:tcPr>
                <w:p>
                  <w:pPr>
                    <w:jc w:val="center"/>
                    <w:rPr>
                      <w:bCs/>
                      <w:szCs w:val="21"/>
                    </w:rPr>
                  </w:pPr>
                  <w:r>
                    <w:rPr>
                      <w:rFonts w:hint="eastAsia"/>
                      <w:bCs/>
                      <w:szCs w:val="21"/>
                    </w:rPr>
                    <w:t>维修</w:t>
                  </w:r>
                </w:p>
              </w:tc>
              <w:tc>
                <w:tcPr>
                  <w:tcW w:w="1489" w:type="pct"/>
                  <w:vAlign w:val="center"/>
                </w:tcPr>
                <w:p>
                  <w:pPr>
                    <w:rPr>
                      <w:szCs w:val="21"/>
                    </w:rPr>
                  </w:pPr>
                  <w:r>
                    <w:rPr>
                      <w:rFonts w:hint="eastAsia"/>
                      <w:szCs w:val="21"/>
                    </w:rPr>
                    <w:t>场地内不得私自存储油料，防火防爆，不得进行机械维修防止油污废水污染</w:t>
                  </w:r>
                </w:p>
              </w:tc>
              <w:tc>
                <w:tcPr>
                  <w:tcW w:w="1654" w:type="pct"/>
                  <w:vAlign w:val="center"/>
                </w:tcPr>
                <w:p>
                  <w:pPr>
                    <w:rPr>
                      <w:szCs w:val="21"/>
                    </w:rPr>
                  </w:pPr>
                  <w:r>
                    <w:rPr>
                      <w:rFonts w:hint="eastAsia"/>
                      <w:szCs w:val="21"/>
                    </w:rPr>
                    <w:t>厂内不设置储油设施和机修间，机械维修委托第三方进行</w:t>
                  </w:r>
                </w:p>
              </w:tc>
              <w:tc>
                <w:tcPr>
                  <w:tcW w:w="511" w:type="pct"/>
                  <w:vAlign w:val="center"/>
                </w:tcPr>
                <w:p>
                  <w:pPr>
                    <w:jc w:val="center"/>
                    <w:rPr>
                      <w:bCs/>
                      <w:szCs w:val="21"/>
                    </w:rPr>
                  </w:pPr>
                  <w:r>
                    <w:rPr>
                      <w:bCs/>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84" w:type="pct"/>
                  <w:vMerge w:val="continue"/>
                  <w:vAlign w:val="center"/>
                </w:tcPr>
                <w:p>
                  <w:pPr>
                    <w:jc w:val="center"/>
                    <w:rPr>
                      <w:b/>
                      <w:bCs/>
                      <w:szCs w:val="21"/>
                    </w:rPr>
                  </w:pPr>
                </w:p>
              </w:tc>
              <w:tc>
                <w:tcPr>
                  <w:tcW w:w="662" w:type="pct"/>
                  <w:vAlign w:val="center"/>
                </w:tcPr>
                <w:p>
                  <w:pPr>
                    <w:jc w:val="center"/>
                    <w:rPr>
                      <w:b/>
                      <w:bCs/>
                      <w:szCs w:val="21"/>
                    </w:rPr>
                  </w:pPr>
                  <w:r>
                    <w:rPr>
                      <w:bCs/>
                      <w:szCs w:val="21"/>
                    </w:rPr>
                    <w:t>生态恢复</w:t>
                  </w:r>
                </w:p>
              </w:tc>
              <w:tc>
                <w:tcPr>
                  <w:tcW w:w="1489" w:type="pct"/>
                  <w:vAlign w:val="center"/>
                </w:tcPr>
                <w:p>
                  <w:pPr>
                    <w:rPr>
                      <w:b/>
                      <w:bCs/>
                      <w:szCs w:val="21"/>
                    </w:rPr>
                  </w:pPr>
                  <w:r>
                    <w:rPr>
                      <w:bCs/>
                      <w:szCs w:val="21"/>
                    </w:rPr>
                    <w:t>砂石加工销售完毕，必须对堆料加工场地进行平整，拆除一切建筑设施，撤除机械加工设备、清除加工弃料，搞好生态恢复</w:t>
                  </w:r>
                </w:p>
              </w:tc>
              <w:tc>
                <w:tcPr>
                  <w:tcW w:w="1654" w:type="pct"/>
                  <w:vAlign w:val="center"/>
                </w:tcPr>
                <w:p>
                  <w:pPr>
                    <w:rPr>
                      <w:b/>
                      <w:bCs/>
                      <w:szCs w:val="21"/>
                    </w:rPr>
                  </w:pPr>
                  <w:r>
                    <w:rPr>
                      <w:bCs/>
                      <w:szCs w:val="21"/>
                    </w:rPr>
                    <w:t>对生产车间场地进行平整，拆除一切建筑设施，撤除机械加工设备、清除加工弃料</w:t>
                  </w:r>
                  <w:r>
                    <w:rPr>
                      <w:rFonts w:hint="eastAsia"/>
                      <w:bCs/>
                      <w:szCs w:val="21"/>
                    </w:rPr>
                    <w:t>。</w:t>
                  </w:r>
                </w:p>
              </w:tc>
              <w:tc>
                <w:tcPr>
                  <w:tcW w:w="511" w:type="pct"/>
                  <w:vAlign w:val="center"/>
                </w:tcPr>
                <w:p>
                  <w:pPr>
                    <w:jc w:val="center"/>
                    <w:rPr>
                      <w:b/>
                      <w:bCs/>
                      <w:szCs w:val="21"/>
                    </w:rPr>
                  </w:pPr>
                  <w:r>
                    <w:rPr>
                      <w:bCs/>
                      <w:szCs w:val="21"/>
                    </w:rPr>
                    <w:t>符合</w:t>
                  </w:r>
                </w:p>
              </w:tc>
            </w:tr>
          </w:tbl>
          <w:p>
            <w:pPr>
              <w:autoSpaceDE w:val="0"/>
              <w:autoSpaceDN w:val="0"/>
              <w:adjustRightInd w:val="0"/>
              <w:snapToGrid w:val="0"/>
              <w:spacing w:before="120" w:beforeLines="50" w:line="360" w:lineRule="auto"/>
              <w:ind w:firstLine="480" w:firstLineChars="200"/>
              <w:rPr>
                <w:sz w:val="24"/>
              </w:rPr>
            </w:pPr>
            <w:r>
              <w:rPr>
                <w:rFonts w:hint="eastAsia"/>
                <w:sz w:val="24"/>
              </w:rPr>
              <w:t>由上表可知，项目符合《关于下发全市砂石加工场污染防治验收标准的通知》（乐水函〔2017〕330号）中的相关要求。</w:t>
            </w:r>
          </w:p>
          <w:p>
            <w:pPr>
              <w:autoSpaceDE w:val="0"/>
              <w:autoSpaceDN w:val="0"/>
              <w:adjustRightInd w:val="0"/>
              <w:snapToGrid w:val="0"/>
              <w:spacing w:line="360" w:lineRule="auto"/>
              <w:ind w:firstLine="482" w:firstLineChars="200"/>
              <w:rPr>
                <w:b/>
                <w:sz w:val="24"/>
              </w:rPr>
            </w:pPr>
            <w:r>
              <w:rPr>
                <w:b/>
                <w:sz w:val="24"/>
              </w:rPr>
              <w:t>8</w:t>
            </w:r>
            <w:r>
              <w:rPr>
                <w:rFonts w:hint="eastAsia"/>
                <w:b/>
                <w:sz w:val="24"/>
              </w:rPr>
              <w:t>、《乐山市大气污染防治三年攻坚行动总体方案》和</w:t>
            </w:r>
            <w:r>
              <w:rPr>
                <w:rFonts w:hint="eastAsia" w:cs="宋体"/>
                <w:b/>
                <w:kern w:val="0"/>
                <w:sz w:val="24"/>
              </w:rPr>
              <w:t>《乐山市大气污染防治三年攻坚行动2023年度实施计划》</w:t>
            </w:r>
            <w:r>
              <w:rPr>
                <w:rFonts w:hint="eastAsia"/>
                <w:b/>
                <w:sz w:val="24"/>
              </w:rPr>
              <w:t>的符合性分析</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项目与《乐山市大气污染防治三年攻坚行动总体方案》和《乐山市大气污染防治三年攻坚行动2023年度实施计划》的符合性分析如下表所示。</w:t>
            </w:r>
          </w:p>
          <w:p>
            <w:pPr>
              <w:autoSpaceDE w:val="0"/>
              <w:autoSpaceDN w:val="0"/>
              <w:adjustRightInd w:val="0"/>
              <w:snapToGrid w:val="0"/>
              <w:jc w:val="center"/>
              <w:rPr>
                <w:b/>
              </w:rPr>
            </w:pPr>
            <w:r>
              <w:rPr>
                <w:rFonts w:hint="eastAsia"/>
                <w:b/>
              </w:rPr>
              <w:t>表1</w:t>
            </w:r>
            <w:r>
              <w:rPr>
                <w:b/>
              </w:rPr>
              <w:t xml:space="preserve">-8 </w:t>
            </w:r>
            <w:r>
              <w:rPr>
                <w:rFonts w:hint="eastAsia"/>
                <w:b/>
              </w:rPr>
              <w:t>项目与两个方案符合性分析</w:t>
            </w:r>
          </w:p>
          <w:tbl>
            <w:tblPr>
              <w:tblStyle w:val="14"/>
              <w:tblW w:w="853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3402"/>
              <w:gridCol w:w="3118"/>
              <w:gridCol w:w="86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145"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方案名称</w:t>
                  </w:r>
                </w:p>
              </w:tc>
              <w:tc>
                <w:tcPr>
                  <w:tcW w:w="3402"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方案要求</w:t>
                  </w:r>
                </w:p>
              </w:tc>
              <w:tc>
                <w:tcPr>
                  <w:tcW w:w="3118"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本项目</w:t>
                  </w:r>
                </w:p>
              </w:tc>
              <w:tc>
                <w:tcPr>
                  <w:tcW w:w="866"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145" w:type="dxa"/>
                  <w:vAlign w:val="center"/>
                </w:tcPr>
                <w:p>
                  <w:pPr>
                    <w:pStyle w:val="38"/>
                    <w:spacing w:line="240" w:lineRule="auto"/>
                    <w:ind w:firstLine="0" w:firstLineChars="0"/>
                    <w:jc w:val="both"/>
                    <w:rPr>
                      <w:b/>
                      <w:color w:val="000000"/>
                      <w:sz w:val="21"/>
                      <w:szCs w:val="21"/>
                    </w:rPr>
                  </w:pPr>
                  <w:r>
                    <w:rPr>
                      <w:rFonts w:hint="eastAsia"/>
                      <w:b/>
                      <w:color w:val="000000"/>
                      <w:sz w:val="21"/>
                      <w:szCs w:val="21"/>
                    </w:rPr>
                    <w:t>《乐山市大气污染防治三年攻坚行动总体方案》</w:t>
                  </w:r>
                </w:p>
              </w:tc>
              <w:tc>
                <w:tcPr>
                  <w:tcW w:w="3402" w:type="dxa"/>
                  <w:vAlign w:val="center"/>
                </w:tcPr>
                <w:p>
                  <w:pPr>
                    <w:pStyle w:val="38"/>
                    <w:spacing w:line="240" w:lineRule="auto"/>
                    <w:ind w:firstLine="0" w:firstLineChars="0"/>
                    <w:jc w:val="both"/>
                    <w:rPr>
                      <w:color w:val="000000"/>
                      <w:sz w:val="21"/>
                      <w:szCs w:val="21"/>
                    </w:rPr>
                  </w:pPr>
                  <w:r>
                    <w:rPr>
                      <w:rFonts w:hint="eastAsia"/>
                      <w:b/>
                      <w:color w:val="000000"/>
                      <w:sz w:val="21"/>
                      <w:szCs w:val="21"/>
                    </w:rPr>
                    <w:t>14、</w:t>
                  </w:r>
                  <w:r>
                    <w:rPr>
                      <w:rFonts w:hint="eastAsia"/>
                      <w:color w:val="000000"/>
                      <w:sz w:val="21"/>
                      <w:szCs w:val="21"/>
                    </w:rPr>
                    <w:t>抓扬尘源长效整治。落实《乐山市扬尘污染防治条例》相关要求，加强施工工地、道路扬尘管控，依法依规将扬尘管控不到位的建筑市场主体、监理单位不良行为信息纳入建筑市场信用管理体系。</w:t>
                  </w:r>
                </w:p>
              </w:tc>
              <w:tc>
                <w:tcPr>
                  <w:tcW w:w="3118" w:type="dxa"/>
                  <w:vAlign w:val="center"/>
                </w:tcPr>
                <w:p>
                  <w:pPr>
                    <w:pStyle w:val="38"/>
                    <w:spacing w:line="240" w:lineRule="auto"/>
                    <w:ind w:firstLine="0" w:firstLineChars="0"/>
                    <w:jc w:val="both"/>
                    <w:rPr>
                      <w:color w:val="000000"/>
                      <w:sz w:val="21"/>
                      <w:szCs w:val="21"/>
                    </w:rPr>
                  </w:pPr>
                  <w:r>
                    <w:rPr>
                      <w:rFonts w:hint="eastAsia"/>
                      <w:color w:val="000000"/>
                      <w:sz w:val="21"/>
                      <w:szCs w:val="21"/>
                    </w:rPr>
                    <w:t>根据《乐山市扬尘污染防治条例》相关要求，项目生产全程湿法作业，生产车间全封闭并洒水；成品堆场搭建顶棚、围挡、覆盖防尘网；</w:t>
                  </w:r>
                  <w:r>
                    <w:rPr>
                      <w:rFonts w:ascii="Helvetica" w:hAnsi="Helvetica"/>
                      <w:color w:val="333333"/>
                      <w:sz w:val="21"/>
                      <w:szCs w:val="21"/>
                      <w:shd w:val="clear" w:color="auto" w:fill="FFFFFF"/>
                    </w:rPr>
                    <w:t>场内运输道路进行硬化处理，并及时清扫、洒水，保持道路整洁</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145" w:type="dxa"/>
                  <w:vAlign w:val="center"/>
                </w:tcPr>
                <w:p>
                  <w:pPr>
                    <w:pStyle w:val="38"/>
                    <w:spacing w:line="240" w:lineRule="auto"/>
                    <w:ind w:firstLine="0" w:firstLineChars="0"/>
                    <w:jc w:val="both"/>
                    <w:rPr>
                      <w:b/>
                      <w:color w:val="000000"/>
                      <w:sz w:val="21"/>
                      <w:szCs w:val="21"/>
                    </w:rPr>
                  </w:pPr>
                  <w:r>
                    <w:rPr>
                      <w:rFonts w:hint="eastAsia"/>
                      <w:b/>
                      <w:color w:val="000000"/>
                      <w:sz w:val="21"/>
                      <w:szCs w:val="21"/>
                    </w:rPr>
                    <w:t>《乐山市大气污染防治三年攻坚行动2023年度实施计划》</w:t>
                  </w:r>
                </w:p>
              </w:tc>
              <w:tc>
                <w:tcPr>
                  <w:tcW w:w="3402" w:type="dxa"/>
                  <w:vAlign w:val="center"/>
                </w:tcPr>
                <w:p>
                  <w:pPr>
                    <w:pStyle w:val="38"/>
                    <w:spacing w:line="240" w:lineRule="auto"/>
                    <w:ind w:firstLine="0" w:firstLineChars="0"/>
                    <w:rPr>
                      <w:color w:val="000000"/>
                      <w:sz w:val="21"/>
                      <w:szCs w:val="21"/>
                    </w:rPr>
                  </w:pPr>
                  <w:r>
                    <w:rPr>
                      <w:rFonts w:hint="eastAsia"/>
                      <w:b/>
                      <w:color w:val="000000"/>
                      <w:sz w:val="21"/>
                      <w:szCs w:val="21"/>
                    </w:rPr>
                    <w:t>（</w:t>
                  </w:r>
                  <w:r>
                    <w:rPr>
                      <w:b/>
                      <w:color w:val="000000"/>
                      <w:sz w:val="21"/>
                      <w:szCs w:val="21"/>
                    </w:rPr>
                    <w:t>39</w:t>
                  </w:r>
                  <w:r>
                    <w:rPr>
                      <w:rFonts w:hint="eastAsia"/>
                      <w:b/>
                      <w:color w:val="000000"/>
                      <w:sz w:val="21"/>
                      <w:szCs w:val="21"/>
                    </w:rPr>
                    <w:t>）夯实重污染天气应急减排措施清单。</w:t>
                  </w:r>
                  <w:r>
                    <w:rPr>
                      <w:rFonts w:hint="eastAsia"/>
                      <w:color w:val="000000"/>
                      <w:sz w:val="21"/>
                      <w:szCs w:val="21"/>
                    </w:rPr>
                    <w:t>组织开展重污染天气应急减排措施清单修订工作，进一步摸排大气污染排放企业，做到涉气企业全覆盖。</w:t>
                  </w:r>
                </w:p>
              </w:tc>
              <w:tc>
                <w:tcPr>
                  <w:tcW w:w="3118" w:type="dxa"/>
                  <w:vAlign w:val="center"/>
                </w:tcPr>
                <w:p>
                  <w:pPr>
                    <w:pStyle w:val="38"/>
                    <w:spacing w:line="240" w:lineRule="auto"/>
                    <w:ind w:firstLine="0" w:firstLineChars="0"/>
                    <w:jc w:val="both"/>
                    <w:rPr>
                      <w:color w:val="000000"/>
                      <w:sz w:val="21"/>
                      <w:szCs w:val="21"/>
                    </w:rPr>
                  </w:pPr>
                  <w:r>
                    <w:rPr>
                      <w:rFonts w:hint="eastAsia"/>
                      <w:color w:val="000000"/>
                      <w:sz w:val="21"/>
                      <w:szCs w:val="21"/>
                    </w:rPr>
                    <w:t>根据《乐山市重污染天气预防和应急预案（2022年修订）》相关要求，本次评价要求重污染天气预警期间应结合实际自主采取轮产、降低生产负荷、加强污染治理措施等，减少污染物排放；运输车辆禁止进入建成区。预警响应期间砂石厂停止运输和露天作业；重污染天气期间应当停止生产，并加强产品堆场的洒水频率。</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bl>
          <w:p>
            <w:pPr>
              <w:autoSpaceDE w:val="0"/>
              <w:autoSpaceDN w:val="0"/>
              <w:adjustRightInd w:val="0"/>
              <w:snapToGrid w:val="0"/>
              <w:spacing w:before="120" w:beforeLines="50" w:line="360" w:lineRule="auto"/>
              <w:ind w:firstLine="480" w:firstLineChars="200"/>
              <w:rPr>
                <w:sz w:val="24"/>
              </w:rPr>
            </w:pPr>
            <w:r>
              <w:rPr>
                <w:rFonts w:hint="eastAsia"/>
                <w:sz w:val="24"/>
              </w:rPr>
              <w:t>由上表可知，项目符合</w:t>
            </w:r>
            <w:r>
              <w:rPr>
                <w:rFonts w:hint="eastAsia" w:cs="宋体"/>
                <w:kern w:val="0"/>
                <w:sz w:val="24"/>
              </w:rPr>
              <w:t>《乐山市大气污染防治三年攻坚行动总体方案》和《乐山市大气污染防治三年攻坚行动2023年度实施计划》</w:t>
            </w:r>
            <w:r>
              <w:rPr>
                <w:rFonts w:hint="eastAsia"/>
                <w:sz w:val="24"/>
              </w:rPr>
              <w:t>中的相关要求。</w:t>
            </w:r>
          </w:p>
          <w:p>
            <w:pPr>
              <w:autoSpaceDE w:val="0"/>
              <w:autoSpaceDN w:val="0"/>
              <w:adjustRightInd w:val="0"/>
              <w:snapToGrid w:val="0"/>
              <w:spacing w:line="360" w:lineRule="auto"/>
              <w:ind w:firstLine="482" w:firstLineChars="200"/>
              <w:rPr>
                <w:rFonts w:cs="宋体"/>
                <w:b/>
                <w:kern w:val="0"/>
                <w:sz w:val="24"/>
              </w:rPr>
            </w:pPr>
            <w:r>
              <w:rPr>
                <w:rFonts w:cs="宋体"/>
                <w:b/>
                <w:kern w:val="0"/>
                <w:sz w:val="24"/>
              </w:rPr>
              <w:t>10</w:t>
            </w:r>
            <w:r>
              <w:rPr>
                <w:rFonts w:hint="eastAsia" w:cs="宋体"/>
                <w:b/>
                <w:kern w:val="0"/>
                <w:sz w:val="24"/>
              </w:rPr>
              <w:t>、与《四川省、重庆市长江经济带发展负面清单实施细则（试行，2022年版）》符合性分析</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项目与《四川省、重庆市长江经济带发展负面清单实施细则（试行，2022年版）》的符合性分析如下表所示。</w:t>
            </w:r>
          </w:p>
          <w:p>
            <w:pPr>
              <w:autoSpaceDE w:val="0"/>
              <w:autoSpaceDN w:val="0"/>
              <w:adjustRightInd w:val="0"/>
              <w:snapToGrid w:val="0"/>
              <w:jc w:val="center"/>
              <w:rPr>
                <w:b/>
              </w:rPr>
            </w:pPr>
            <w:r>
              <w:rPr>
                <w:rFonts w:hint="eastAsia"/>
                <w:b/>
              </w:rPr>
              <w:t>表1</w:t>
            </w:r>
            <w:r>
              <w:rPr>
                <w:b/>
              </w:rPr>
              <w:t xml:space="preserve">-9 </w:t>
            </w:r>
            <w:r>
              <w:rPr>
                <w:rFonts w:hint="eastAsia"/>
                <w:b/>
              </w:rPr>
              <w:t>项目与《四川省、重庆市长江经济带发展负面清单实施细则》符合性分析</w:t>
            </w:r>
          </w:p>
          <w:tbl>
            <w:tblPr>
              <w:tblStyle w:val="14"/>
              <w:tblW w:w="853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47"/>
              <w:gridCol w:w="3118"/>
              <w:gridCol w:w="86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547"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方案要求</w:t>
                  </w:r>
                </w:p>
              </w:tc>
              <w:tc>
                <w:tcPr>
                  <w:tcW w:w="3118"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本项目</w:t>
                  </w:r>
                </w:p>
              </w:tc>
              <w:tc>
                <w:tcPr>
                  <w:tcW w:w="866" w:type="dxa"/>
                  <w:vAlign w:val="center"/>
                </w:tcPr>
                <w:p>
                  <w:pPr>
                    <w:pStyle w:val="38"/>
                    <w:spacing w:line="240" w:lineRule="auto"/>
                    <w:ind w:firstLine="0" w:firstLineChars="0"/>
                    <w:jc w:val="center"/>
                    <w:rPr>
                      <w:b/>
                      <w:color w:val="000000"/>
                      <w:sz w:val="21"/>
                      <w:szCs w:val="21"/>
                    </w:rPr>
                  </w:pPr>
                  <w:r>
                    <w:rPr>
                      <w:rFonts w:hint="eastAsia"/>
                      <w:b/>
                      <w:color w:val="000000"/>
                      <w:sz w:val="21"/>
                      <w:szCs w:val="21"/>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547" w:type="dxa"/>
                  <w:vAlign w:val="center"/>
                </w:tcPr>
                <w:p>
                  <w:pPr>
                    <w:pStyle w:val="38"/>
                    <w:spacing w:line="240" w:lineRule="auto"/>
                    <w:ind w:firstLine="0" w:firstLineChars="0"/>
                    <w:jc w:val="both"/>
                    <w:rPr>
                      <w:color w:val="000000"/>
                      <w:sz w:val="21"/>
                      <w:szCs w:val="21"/>
                    </w:rPr>
                  </w:pPr>
                  <w:r>
                    <w:rPr>
                      <w:rFonts w:hint="eastAsia"/>
                      <w:b/>
                      <w:color w:val="000000"/>
                      <w:sz w:val="21"/>
                      <w:szCs w:val="21"/>
                    </w:rPr>
                    <w:t>第九条</w:t>
                  </w:r>
                  <w:r>
                    <w:rPr>
                      <w:rFonts w:hint="eastAsia"/>
                      <w:color w:val="000000"/>
                      <w:sz w:val="21"/>
                      <w:szCs w:val="21"/>
                    </w:rPr>
                    <w:t xml:space="preserve"> 禁止在饮用水水源准保护区的岸线和河段范围内新建、扩建对水体污染严重的建设项目，禁止改建增加排污量的建设项目</w:t>
                  </w:r>
                </w:p>
              </w:tc>
              <w:tc>
                <w:tcPr>
                  <w:tcW w:w="3118" w:type="dxa"/>
                  <w:vAlign w:val="center"/>
                </w:tcPr>
                <w:p>
                  <w:pPr>
                    <w:pStyle w:val="38"/>
                    <w:spacing w:line="240" w:lineRule="auto"/>
                    <w:ind w:firstLine="0" w:firstLineChars="0"/>
                    <w:jc w:val="both"/>
                    <w:rPr>
                      <w:color w:val="000000"/>
                      <w:sz w:val="21"/>
                      <w:szCs w:val="21"/>
                    </w:rPr>
                  </w:pPr>
                  <w:r>
                    <w:rPr>
                      <w:rFonts w:hint="eastAsia"/>
                      <w:color w:val="000000"/>
                      <w:sz w:val="21"/>
                      <w:szCs w:val="21"/>
                    </w:rPr>
                    <w:t>项目所在地区不属于饮用水水源准保护区的岸线和河段范围；项目生产废水循环使用，不外排。</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547" w:type="dxa"/>
                  <w:vAlign w:val="center"/>
                </w:tcPr>
                <w:p>
                  <w:pPr>
                    <w:pStyle w:val="38"/>
                    <w:spacing w:line="240" w:lineRule="auto"/>
                    <w:ind w:firstLine="0" w:firstLineChars="0"/>
                    <w:jc w:val="both"/>
                    <w:rPr>
                      <w:color w:val="000000"/>
                      <w:sz w:val="21"/>
                      <w:szCs w:val="21"/>
                    </w:rPr>
                  </w:pPr>
                  <w:r>
                    <w:rPr>
                      <w:rFonts w:hint="eastAsia"/>
                      <w:b/>
                      <w:color w:val="000000"/>
                      <w:sz w:val="21"/>
                      <w:szCs w:val="21"/>
                    </w:rPr>
                    <w:t>第十二条</w:t>
                  </w:r>
                  <w:r>
                    <w:rPr>
                      <w:rFonts w:hint="eastAsia"/>
                      <w:color w:val="000000"/>
                      <w:sz w:val="21"/>
                      <w:szCs w:val="21"/>
                    </w:rPr>
                    <w:t xml:space="preserve"> 禁止在水产种质资源保护区岸线和河段范围内新建围湖造田、围湖造地或挖沙采石等投资建设项目。</w:t>
                  </w:r>
                </w:p>
              </w:tc>
              <w:tc>
                <w:tcPr>
                  <w:tcW w:w="3118" w:type="dxa"/>
                  <w:vAlign w:val="center"/>
                </w:tcPr>
                <w:p>
                  <w:pPr>
                    <w:pStyle w:val="38"/>
                    <w:spacing w:line="240" w:lineRule="auto"/>
                    <w:ind w:firstLine="0" w:firstLineChars="0"/>
                    <w:jc w:val="both"/>
                    <w:rPr>
                      <w:sz w:val="21"/>
                    </w:rPr>
                  </w:pPr>
                  <w:r>
                    <w:rPr>
                      <w:rFonts w:hint="eastAsia"/>
                      <w:sz w:val="21"/>
                    </w:rPr>
                    <w:t>本项目为新建砂石加工项目，使用的原料为原堆放在铜河资源绿色建材加工厂场地上的弃方（主要为大渡河清淤产生的连砂石），不在河内挖采砂石</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547" w:type="dxa"/>
                  <w:vAlign w:val="center"/>
                </w:tcPr>
                <w:p>
                  <w:pPr>
                    <w:pStyle w:val="38"/>
                    <w:spacing w:line="240" w:lineRule="auto"/>
                    <w:ind w:firstLine="0" w:firstLineChars="0"/>
                    <w:jc w:val="both"/>
                    <w:rPr>
                      <w:color w:val="000000"/>
                      <w:sz w:val="21"/>
                      <w:szCs w:val="21"/>
                    </w:rPr>
                  </w:pPr>
                  <w:r>
                    <w:rPr>
                      <w:rFonts w:hint="eastAsia"/>
                      <w:b/>
                      <w:color w:val="000000"/>
                      <w:sz w:val="21"/>
                      <w:szCs w:val="21"/>
                    </w:rPr>
                    <w:t>第十六条</w:t>
                  </w:r>
                  <w:r>
                    <w:rPr>
                      <w:rFonts w:hint="eastAsia"/>
                      <w:color w:val="000000"/>
                      <w:sz w:val="21"/>
                      <w:szCs w:val="21"/>
                    </w:rPr>
                    <w:t xml:space="preserve"> 禁止在长江流域江河、湖泊新设、改设或者扩大排污口，经有管辖权的生态环境主管部门或者长江流域生态环境监督管理机构同意的除外。</w:t>
                  </w:r>
                </w:p>
              </w:tc>
              <w:tc>
                <w:tcPr>
                  <w:tcW w:w="3118" w:type="dxa"/>
                  <w:vAlign w:val="center"/>
                </w:tcPr>
                <w:p>
                  <w:pPr>
                    <w:pStyle w:val="38"/>
                    <w:spacing w:line="240" w:lineRule="auto"/>
                    <w:ind w:firstLine="0" w:firstLineChars="0"/>
                    <w:jc w:val="both"/>
                    <w:rPr>
                      <w:sz w:val="21"/>
                    </w:rPr>
                  </w:pPr>
                  <w:r>
                    <w:rPr>
                      <w:rFonts w:hint="eastAsia"/>
                      <w:sz w:val="21"/>
                    </w:rPr>
                    <w:t>项目生产废水循环使用，不外排；生活污水依托附近既有污水处理设施处理。</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547" w:type="dxa"/>
                  <w:vAlign w:val="center"/>
                </w:tcPr>
                <w:p>
                  <w:pPr>
                    <w:pStyle w:val="38"/>
                    <w:spacing w:line="240" w:lineRule="auto"/>
                    <w:ind w:firstLine="0" w:firstLineChars="0"/>
                    <w:jc w:val="both"/>
                    <w:rPr>
                      <w:color w:val="000000"/>
                      <w:sz w:val="21"/>
                      <w:szCs w:val="21"/>
                    </w:rPr>
                  </w:pPr>
                  <w:r>
                    <w:rPr>
                      <w:rFonts w:hint="eastAsia"/>
                      <w:b/>
                      <w:color w:val="000000"/>
                      <w:sz w:val="21"/>
                      <w:szCs w:val="21"/>
                    </w:rPr>
                    <w:t>第十八条</w:t>
                  </w:r>
                  <w:r>
                    <w:rPr>
                      <w:rFonts w:hint="eastAsia"/>
                      <w:color w:val="000000"/>
                      <w:sz w:val="21"/>
                      <w:szCs w:val="21"/>
                    </w:rPr>
                    <w:t xml:space="preserve"> 禁止在长江干支流、重要湖泊岸线一公里范围内新建、扩建化工园区和化工项目。</w:t>
                  </w:r>
                </w:p>
              </w:tc>
              <w:tc>
                <w:tcPr>
                  <w:tcW w:w="3118" w:type="dxa"/>
                  <w:vAlign w:val="center"/>
                </w:tcPr>
                <w:p>
                  <w:pPr>
                    <w:pStyle w:val="38"/>
                    <w:spacing w:line="240" w:lineRule="auto"/>
                    <w:ind w:firstLine="0" w:firstLineChars="0"/>
                    <w:jc w:val="both"/>
                    <w:rPr>
                      <w:sz w:val="21"/>
                    </w:rPr>
                  </w:pPr>
                  <w:r>
                    <w:rPr>
                      <w:rFonts w:hint="eastAsia"/>
                      <w:sz w:val="21"/>
                    </w:rPr>
                    <w:t>本项目为新建砂石加工项目，不属于化工项目。</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547" w:type="dxa"/>
                  <w:vAlign w:val="center"/>
                </w:tcPr>
                <w:p>
                  <w:pPr>
                    <w:pStyle w:val="38"/>
                    <w:spacing w:line="240" w:lineRule="auto"/>
                    <w:ind w:firstLine="0" w:firstLineChars="0"/>
                    <w:jc w:val="both"/>
                    <w:rPr>
                      <w:b/>
                      <w:color w:val="000000"/>
                      <w:sz w:val="21"/>
                      <w:szCs w:val="21"/>
                    </w:rPr>
                  </w:pPr>
                  <w:r>
                    <w:rPr>
                      <w:rFonts w:hint="eastAsia"/>
                      <w:b/>
                      <w:color w:val="000000"/>
                      <w:sz w:val="21"/>
                      <w:szCs w:val="21"/>
                    </w:rPr>
                    <w:t>第十九条</w:t>
                  </w:r>
                  <w:r>
                    <w:rPr>
                      <w:rFonts w:hint="eastAsia"/>
                      <w:color w:val="000000"/>
                      <w:sz w:val="21"/>
                      <w:szCs w:val="21"/>
                    </w:rPr>
                    <w:t xml:space="preserve"> 禁止在长江干流岸线三公里范围内和重要支流岸线一公里范围内新建、改建、扩建尾矿库、冶炼渣库、磷石膏库，以提升安全、生态环境保护水平为目的的改建除外。</w:t>
                  </w:r>
                </w:p>
              </w:tc>
              <w:tc>
                <w:tcPr>
                  <w:tcW w:w="3118" w:type="dxa"/>
                  <w:vAlign w:val="center"/>
                </w:tcPr>
                <w:p>
                  <w:pPr>
                    <w:pStyle w:val="38"/>
                    <w:spacing w:line="240" w:lineRule="auto"/>
                    <w:ind w:firstLine="0" w:firstLineChars="0"/>
                    <w:jc w:val="both"/>
                    <w:rPr>
                      <w:sz w:val="21"/>
                    </w:rPr>
                  </w:pPr>
                  <w:r>
                    <w:rPr>
                      <w:rFonts w:hint="eastAsia"/>
                      <w:sz w:val="21"/>
                    </w:rPr>
                    <w:t>本项目不涉及</w:t>
                  </w:r>
                  <w:r>
                    <w:rPr>
                      <w:rFonts w:hint="eastAsia"/>
                      <w:color w:val="000000"/>
                      <w:sz w:val="21"/>
                      <w:szCs w:val="21"/>
                    </w:rPr>
                    <w:t>尾矿库、冶炼渣库、磷石膏库建设。</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547" w:type="dxa"/>
                  <w:vAlign w:val="center"/>
                </w:tcPr>
                <w:p>
                  <w:pPr>
                    <w:pStyle w:val="38"/>
                    <w:spacing w:line="240" w:lineRule="auto"/>
                    <w:ind w:firstLine="0" w:firstLineChars="0"/>
                    <w:jc w:val="both"/>
                    <w:rPr>
                      <w:color w:val="000000"/>
                      <w:sz w:val="21"/>
                      <w:szCs w:val="21"/>
                    </w:rPr>
                  </w:pPr>
                  <w:r>
                    <w:rPr>
                      <w:rFonts w:hint="eastAsia"/>
                      <w:b/>
                      <w:color w:val="000000"/>
                      <w:sz w:val="21"/>
                      <w:szCs w:val="21"/>
                    </w:rPr>
                    <w:t>第二十三条</w:t>
                  </w:r>
                  <w:r>
                    <w:rPr>
                      <w:rFonts w:hint="eastAsia"/>
                      <w:color w:val="000000"/>
                      <w:sz w:val="21"/>
                      <w:szCs w:val="21"/>
                    </w:rPr>
                    <w:t xml:space="preserve"> 禁止新建、扩建法律法规和相关政策明令禁止的落后产能项目。对《产业结构调整指导目录》中淘汰类项目，禁止投资；限制类的新建项目，禁止投资，对属于限制类的现有生产能力，允许企业在一定期限内采取措施改造升级。</w:t>
                  </w:r>
                </w:p>
              </w:tc>
              <w:tc>
                <w:tcPr>
                  <w:tcW w:w="3118" w:type="dxa"/>
                  <w:vAlign w:val="center"/>
                </w:tcPr>
                <w:p>
                  <w:pPr>
                    <w:pStyle w:val="38"/>
                    <w:spacing w:line="240" w:lineRule="auto"/>
                    <w:ind w:firstLine="0" w:firstLineChars="0"/>
                    <w:jc w:val="both"/>
                    <w:rPr>
                      <w:sz w:val="21"/>
                    </w:rPr>
                  </w:pPr>
                  <w:r>
                    <w:rPr>
                      <w:rFonts w:hint="eastAsia"/>
                      <w:sz w:val="21"/>
                    </w:rPr>
                    <w:t>本项目为新建砂石加工项目，项目的生产工艺、设备、产品均不属于</w:t>
                  </w:r>
                  <w:r>
                    <w:rPr>
                      <w:rFonts w:hint="eastAsia"/>
                      <w:color w:val="000000"/>
                      <w:sz w:val="21"/>
                      <w:szCs w:val="21"/>
                    </w:rPr>
                    <w:t>《产业结构调整指导目录》中限制类和淘汰类。</w:t>
                  </w:r>
                </w:p>
              </w:tc>
              <w:tc>
                <w:tcPr>
                  <w:tcW w:w="866" w:type="dxa"/>
                  <w:vAlign w:val="center"/>
                </w:tcPr>
                <w:p>
                  <w:pPr>
                    <w:pStyle w:val="38"/>
                    <w:spacing w:line="240" w:lineRule="auto"/>
                    <w:ind w:firstLine="0" w:firstLineChars="0"/>
                    <w:jc w:val="center"/>
                    <w:rPr>
                      <w:color w:val="000000"/>
                      <w:sz w:val="21"/>
                      <w:szCs w:val="21"/>
                    </w:rPr>
                  </w:pPr>
                  <w:r>
                    <w:rPr>
                      <w:rFonts w:hint="eastAsia"/>
                      <w:color w:val="000000"/>
                      <w:sz w:val="21"/>
                      <w:szCs w:val="21"/>
                    </w:rPr>
                    <w:t>符合</w:t>
                  </w:r>
                </w:p>
              </w:tc>
            </w:tr>
          </w:tbl>
          <w:p>
            <w:pPr>
              <w:autoSpaceDE w:val="0"/>
              <w:autoSpaceDN w:val="0"/>
              <w:adjustRightInd w:val="0"/>
              <w:snapToGrid w:val="0"/>
              <w:spacing w:before="120" w:beforeLines="50" w:line="360" w:lineRule="auto"/>
              <w:ind w:firstLine="480" w:firstLineChars="200"/>
              <w:rPr>
                <w:sz w:val="24"/>
              </w:rPr>
            </w:pPr>
            <w:r>
              <w:rPr>
                <w:rFonts w:hint="eastAsia"/>
                <w:sz w:val="24"/>
              </w:rPr>
              <w:t>由上表可知，项目符合</w:t>
            </w:r>
            <w:r>
              <w:rPr>
                <w:rFonts w:hint="eastAsia" w:cs="宋体"/>
                <w:kern w:val="0"/>
                <w:sz w:val="24"/>
              </w:rPr>
              <w:t>《四川省、重庆市长江经济带发展负面清单实施细则（试行，2022年版）》</w:t>
            </w:r>
            <w:r>
              <w:rPr>
                <w:rFonts w:hint="eastAsia"/>
                <w:sz w:val="24"/>
              </w:rPr>
              <w:t>中的相关要求。</w:t>
            </w:r>
          </w:p>
          <w:p>
            <w:pPr>
              <w:pStyle w:val="38"/>
              <w:ind w:firstLine="482"/>
              <w:rPr>
                <w:b/>
                <w:color w:val="000000"/>
              </w:rPr>
            </w:pPr>
            <w:r>
              <w:rPr>
                <w:rFonts w:cs="宋体"/>
                <w:b/>
                <w:kern w:val="0"/>
              </w:rPr>
              <w:t>11</w:t>
            </w:r>
            <w:r>
              <w:rPr>
                <w:rFonts w:hint="eastAsia" w:cs="宋体"/>
                <w:b/>
                <w:kern w:val="0"/>
              </w:rPr>
              <w:t>、</w:t>
            </w:r>
            <w:r>
              <w:rPr>
                <w:rFonts w:hint="eastAsia"/>
                <w:b/>
                <w:color w:val="000000"/>
              </w:rPr>
              <w:t>“三线一单”</w:t>
            </w:r>
            <w:r>
              <w:rPr>
                <w:b/>
                <w:color w:val="000000"/>
              </w:rPr>
              <w:t>符合性分析</w:t>
            </w:r>
          </w:p>
          <w:p>
            <w:pPr>
              <w:wordWrap w:val="0"/>
              <w:topLinePunct/>
              <w:adjustRightInd w:val="0"/>
              <w:snapToGrid w:val="0"/>
              <w:spacing w:line="360" w:lineRule="auto"/>
              <w:ind w:firstLine="480" w:firstLineChars="200"/>
              <w:jc w:val="left"/>
              <w:rPr>
                <w:color w:val="000000"/>
                <w:sz w:val="24"/>
              </w:rPr>
            </w:pPr>
            <w:r>
              <w:rPr>
                <w:rFonts w:hint="eastAsia"/>
                <w:color w:val="000000"/>
                <w:sz w:val="24"/>
              </w:rPr>
              <w:t>（1）管控单元</w:t>
            </w:r>
          </w:p>
          <w:p>
            <w:pPr>
              <w:wordWrap w:val="0"/>
              <w:autoSpaceDE w:val="0"/>
              <w:autoSpaceDN w:val="0"/>
              <w:adjustRightInd w:val="0"/>
              <w:snapToGrid w:val="0"/>
              <w:spacing w:line="360" w:lineRule="auto"/>
              <w:ind w:firstLine="480" w:firstLineChars="200"/>
              <w:rPr>
                <w:color w:val="000000"/>
                <w:sz w:val="24"/>
              </w:rPr>
            </w:pPr>
            <w:r>
              <w:rPr>
                <w:rFonts w:hint="eastAsia"/>
                <w:sz w:val="24"/>
              </w:rPr>
              <w:t>乐山市人民政府于2021年6月7日发布了《关于落实生态保护红线、环境质量底线、资源利用上线制定生态环境准入清单实施生态环境分区管控的通知》（乐府发[2021]</w:t>
            </w:r>
            <w:r>
              <w:rPr>
                <w:sz w:val="24"/>
              </w:rPr>
              <w:t>7</w:t>
            </w:r>
            <w:r>
              <w:rPr>
                <w:rFonts w:hint="eastAsia"/>
                <w:sz w:val="24"/>
              </w:rPr>
              <w:t>号），本项目位于</w:t>
            </w:r>
            <w:r>
              <w:rPr>
                <w:rFonts w:hint="eastAsia" w:cs="宋体"/>
                <w:sz w:val="24"/>
              </w:rPr>
              <w:t>乐山市沙湾区嘉农镇王场村</w:t>
            </w:r>
            <w:r>
              <w:rPr>
                <w:sz w:val="24"/>
              </w:rPr>
              <w:t>民生不锈钢产业园嘉农组团</w:t>
            </w:r>
            <w:r>
              <w:rPr>
                <w:rFonts w:hint="eastAsia"/>
                <w:sz w:val="24"/>
              </w:rPr>
              <w:t>，根据在四川政务服务网（网址：</w:t>
            </w:r>
            <w:r>
              <w:rPr>
                <w:color w:val="000000"/>
                <w:sz w:val="24"/>
              </w:rPr>
              <w:t>https://tftb.sczwfw.gov.cn:8085/hos-server/pub/jmas/jmasbucket/jmopen_files/webapp/html5/sxydctfx/index.html?areaCode=510000000000</w:t>
            </w:r>
            <w:r>
              <w:rPr>
                <w:rFonts w:hint="eastAsia"/>
                <w:color w:val="000000"/>
                <w:sz w:val="24"/>
              </w:rPr>
              <w:t>）查询结果本项目涉及环境综合管控单元一般管控单元、水环境一般管控区、大气环境布局敏感重点管控区、农用地优先保护区，具体见下表。</w:t>
            </w:r>
          </w:p>
          <w:p>
            <w:pPr>
              <w:autoSpaceDE w:val="0"/>
              <w:autoSpaceDN w:val="0"/>
              <w:adjustRightInd w:val="0"/>
              <w:snapToGrid w:val="0"/>
              <w:spacing w:line="360" w:lineRule="auto"/>
              <w:jc w:val="center"/>
              <w:rPr>
                <w:rFonts w:cs="宋体"/>
                <w:kern w:val="0"/>
                <w:sz w:val="24"/>
              </w:rPr>
            </w:pPr>
            <w:r>
              <w:drawing>
                <wp:inline distT="0" distB="0" distL="0" distR="0">
                  <wp:extent cx="5442585" cy="4566920"/>
                  <wp:effectExtent l="0" t="0" r="571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442585" cy="4566920"/>
                          </a:xfrm>
                          <a:prstGeom prst="rect">
                            <a:avLst/>
                          </a:prstGeom>
                        </pic:spPr>
                      </pic:pic>
                    </a:graphicData>
                  </a:graphic>
                </wp:inline>
              </w:drawing>
            </w:r>
          </w:p>
          <w:p>
            <w:pPr>
              <w:topLinePunct/>
              <w:adjustRightInd w:val="0"/>
              <w:snapToGrid w:val="0"/>
              <w:spacing w:line="360" w:lineRule="auto"/>
              <w:ind w:firstLine="422" w:firstLineChars="200"/>
              <w:jc w:val="center"/>
              <w:rPr>
                <w:b/>
                <w:color w:val="000000"/>
                <w:szCs w:val="21"/>
              </w:rPr>
            </w:pPr>
            <w:r>
              <w:rPr>
                <w:rFonts w:hint="eastAsia"/>
                <w:b/>
                <w:color w:val="000000"/>
                <w:szCs w:val="21"/>
              </w:rPr>
              <w:t>图1</w:t>
            </w:r>
            <w:r>
              <w:rPr>
                <w:b/>
                <w:color w:val="000000"/>
                <w:szCs w:val="21"/>
              </w:rPr>
              <w:t xml:space="preserve">-1 </w:t>
            </w:r>
            <w:r>
              <w:rPr>
                <w:rFonts w:hint="eastAsia"/>
                <w:b/>
                <w:color w:val="000000"/>
                <w:szCs w:val="21"/>
              </w:rPr>
              <w:t>“三线一单”查询结果</w:t>
            </w:r>
          </w:p>
          <w:p>
            <w:pPr>
              <w:wordWrap w:val="0"/>
              <w:topLinePunct/>
              <w:adjustRightInd w:val="0"/>
              <w:snapToGrid w:val="0"/>
              <w:ind w:firstLine="422" w:firstLineChars="200"/>
              <w:jc w:val="center"/>
              <w:rPr>
                <w:b/>
                <w:color w:val="000000"/>
                <w:szCs w:val="21"/>
              </w:rPr>
            </w:pPr>
            <w:r>
              <w:rPr>
                <w:rFonts w:hint="eastAsia"/>
                <w:b/>
                <w:color w:val="000000"/>
                <w:szCs w:val="21"/>
              </w:rPr>
              <w:t>表1</w:t>
            </w:r>
            <w:r>
              <w:rPr>
                <w:b/>
                <w:color w:val="000000"/>
                <w:szCs w:val="21"/>
              </w:rPr>
              <w:t xml:space="preserve">-10 </w:t>
            </w:r>
            <w:r>
              <w:rPr>
                <w:rFonts w:hint="eastAsia"/>
                <w:b/>
                <w:color w:val="000000"/>
                <w:szCs w:val="21"/>
              </w:rPr>
              <w:t>管控单元表</w:t>
            </w:r>
          </w:p>
          <w:tbl>
            <w:tblPr>
              <w:tblStyle w:val="14"/>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1690"/>
              <w:gridCol w:w="1035"/>
              <w:gridCol w:w="991"/>
              <w:gridCol w:w="1558"/>
              <w:gridCol w:w="201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50" w:type="pct"/>
                  <w:vAlign w:val="center"/>
                </w:tcPr>
                <w:p>
                  <w:pPr>
                    <w:widowControl/>
                    <w:jc w:val="center"/>
                    <w:rPr>
                      <w:rStyle w:val="43"/>
                      <w:rFonts w:ascii="Times New Roman" w:hAnsi="Times New Roman"/>
                      <w:b/>
                      <w:bCs/>
                      <w:color w:val="000000"/>
                      <w:szCs w:val="21"/>
                    </w:rPr>
                  </w:pPr>
                  <w:r>
                    <w:rPr>
                      <w:rFonts w:hint="eastAsia"/>
                      <w:b/>
                      <w:bCs/>
                      <w:color w:val="000000"/>
                      <w:kern w:val="0"/>
                      <w:szCs w:val="21"/>
                    </w:rPr>
                    <w:t>环境管控单元编码</w:t>
                  </w:r>
                </w:p>
              </w:tc>
              <w:tc>
                <w:tcPr>
                  <w:tcW w:w="986" w:type="pct"/>
                  <w:vAlign w:val="center"/>
                </w:tcPr>
                <w:p>
                  <w:pPr>
                    <w:widowControl/>
                    <w:jc w:val="center"/>
                    <w:rPr>
                      <w:rStyle w:val="43"/>
                      <w:rFonts w:ascii="Times New Roman" w:hAnsi="Times New Roman"/>
                      <w:b/>
                      <w:bCs/>
                      <w:color w:val="000000"/>
                      <w:kern w:val="0"/>
                      <w:szCs w:val="21"/>
                    </w:rPr>
                  </w:pPr>
                  <w:r>
                    <w:rPr>
                      <w:rFonts w:hint="eastAsia"/>
                      <w:b/>
                      <w:bCs/>
                      <w:color w:val="000000"/>
                      <w:kern w:val="0"/>
                      <w:szCs w:val="21"/>
                    </w:rPr>
                    <w:t>环境管控单元名称</w:t>
                  </w:r>
                </w:p>
              </w:tc>
              <w:tc>
                <w:tcPr>
                  <w:tcW w:w="604" w:type="pct"/>
                  <w:vAlign w:val="center"/>
                </w:tcPr>
                <w:p>
                  <w:pPr>
                    <w:widowControl/>
                    <w:jc w:val="center"/>
                    <w:rPr>
                      <w:rStyle w:val="43"/>
                      <w:rFonts w:ascii="Times New Roman" w:hAnsi="Times New Roman"/>
                      <w:b/>
                      <w:bCs/>
                      <w:color w:val="000000"/>
                      <w:kern w:val="0"/>
                      <w:szCs w:val="21"/>
                    </w:rPr>
                  </w:pPr>
                  <w:r>
                    <w:rPr>
                      <w:rFonts w:hint="eastAsia"/>
                      <w:b/>
                      <w:bCs/>
                      <w:color w:val="000000"/>
                      <w:kern w:val="0"/>
                      <w:szCs w:val="21"/>
                    </w:rPr>
                    <w:t>所属市（州）</w:t>
                  </w:r>
                </w:p>
              </w:tc>
              <w:tc>
                <w:tcPr>
                  <w:tcW w:w="578" w:type="pct"/>
                  <w:vAlign w:val="center"/>
                </w:tcPr>
                <w:p>
                  <w:pPr>
                    <w:widowControl/>
                    <w:jc w:val="center"/>
                    <w:rPr>
                      <w:rStyle w:val="43"/>
                      <w:rFonts w:ascii="Times New Roman" w:hAnsi="Times New Roman"/>
                      <w:b/>
                      <w:bCs/>
                      <w:color w:val="000000"/>
                      <w:kern w:val="0"/>
                      <w:szCs w:val="21"/>
                    </w:rPr>
                  </w:pPr>
                  <w:r>
                    <w:rPr>
                      <w:rFonts w:hint="eastAsia"/>
                      <w:b/>
                      <w:bCs/>
                      <w:color w:val="000000"/>
                      <w:kern w:val="0"/>
                      <w:szCs w:val="21"/>
                    </w:rPr>
                    <w:t>所属区县</w:t>
                  </w:r>
                </w:p>
              </w:tc>
              <w:tc>
                <w:tcPr>
                  <w:tcW w:w="909" w:type="pct"/>
                  <w:vAlign w:val="center"/>
                </w:tcPr>
                <w:p>
                  <w:pPr>
                    <w:widowControl/>
                    <w:jc w:val="center"/>
                    <w:rPr>
                      <w:rStyle w:val="43"/>
                      <w:rFonts w:ascii="Times New Roman" w:hAnsi="Times New Roman"/>
                      <w:b/>
                      <w:bCs/>
                      <w:color w:val="000000"/>
                      <w:kern w:val="0"/>
                      <w:szCs w:val="21"/>
                    </w:rPr>
                  </w:pPr>
                  <w:r>
                    <w:rPr>
                      <w:rFonts w:hint="eastAsia"/>
                      <w:b/>
                      <w:bCs/>
                      <w:color w:val="000000"/>
                      <w:kern w:val="0"/>
                      <w:szCs w:val="21"/>
                    </w:rPr>
                    <w:t>准入清单类型</w:t>
                  </w:r>
                </w:p>
              </w:tc>
              <w:tc>
                <w:tcPr>
                  <w:tcW w:w="1173" w:type="pct"/>
                  <w:vAlign w:val="center"/>
                </w:tcPr>
                <w:p>
                  <w:pPr>
                    <w:widowControl/>
                    <w:jc w:val="center"/>
                    <w:rPr>
                      <w:rStyle w:val="43"/>
                      <w:rFonts w:ascii="Times New Roman" w:hAnsi="Times New Roman"/>
                      <w:b/>
                      <w:bCs/>
                      <w:color w:val="000000"/>
                      <w:kern w:val="0"/>
                      <w:szCs w:val="21"/>
                    </w:rPr>
                  </w:pPr>
                  <w:r>
                    <w:rPr>
                      <w:rFonts w:hint="eastAsia"/>
                      <w:b/>
                      <w:bCs/>
                      <w:color w:val="000000"/>
                      <w:kern w:val="0"/>
                      <w:szCs w:val="21"/>
                    </w:rPr>
                    <w:t>管控类型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50" w:type="pct"/>
                  <w:vAlign w:val="center"/>
                </w:tcPr>
                <w:p>
                  <w:pPr>
                    <w:jc w:val="center"/>
                  </w:pPr>
                  <w:r>
                    <w:t>ZH51111120002</w:t>
                  </w:r>
                </w:p>
              </w:tc>
              <w:tc>
                <w:tcPr>
                  <w:tcW w:w="986" w:type="pct"/>
                  <w:vAlign w:val="center"/>
                </w:tcPr>
                <w:p>
                  <w:pPr>
                    <w:jc w:val="center"/>
                  </w:pPr>
                  <w:r>
                    <w:rPr>
                      <w:rFonts w:hint="eastAsia"/>
                    </w:rPr>
                    <w:t>四川乐山沙湾经济开发区</w:t>
                  </w:r>
                </w:p>
              </w:tc>
              <w:tc>
                <w:tcPr>
                  <w:tcW w:w="604" w:type="pct"/>
                  <w:vAlign w:val="center"/>
                </w:tcPr>
                <w:p>
                  <w:pPr>
                    <w:jc w:val="center"/>
                  </w:pPr>
                  <w:r>
                    <w:rPr>
                      <w:rFonts w:hint="eastAsia"/>
                    </w:rPr>
                    <w:t>乐山市</w:t>
                  </w:r>
                </w:p>
              </w:tc>
              <w:tc>
                <w:tcPr>
                  <w:tcW w:w="578" w:type="pct"/>
                  <w:vAlign w:val="center"/>
                </w:tcPr>
                <w:p>
                  <w:pPr>
                    <w:jc w:val="center"/>
                  </w:pPr>
                  <w:r>
                    <w:rPr>
                      <w:rFonts w:hint="eastAsia"/>
                    </w:rPr>
                    <w:t>沙湾区</w:t>
                  </w:r>
                </w:p>
              </w:tc>
              <w:tc>
                <w:tcPr>
                  <w:tcW w:w="909" w:type="pct"/>
                  <w:vAlign w:val="center"/>
                </w:tcPr>
                <w:p>
                  <w:pPr>
                    <w:jc w:val="center"/>
                  </w:pPr>
                  <w:r>
                    <w:rPr>
                      <w:rFonts w:hint="eastAsia"/>
                    </w:rPr>
                    <w:t>环境管控单元</w:t>
                  </w:r>
                </w:p>
              </w:tc>
              <w:tc>
                <w:tcPr>
                  <w:tcW w:w="1173" w:type="pct"/>
                  <w:vAlign w:val="center"/>
                </w:tcPr>
                <w:p>
                  <w:pPr>
                    <w:jc w:val="center"/>
                  </w:pPr>
                  <w:r>
                    <w:rPr>
                      <w:rFonts w:hint="eastAsia"/>
                    </w:rPr>
                    <w:t>环境综合管控单元工业重点管控单元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50" w:type="pct"/>
                  <w:vAlign w:val="center"/>
                </w:tcPr>
                <w:p>
                  <w:pPr>
                    <w:jc w:val="center"/>
                  </w:pPr>
                  <w:r>
                    <w:t>YS5111112210017</w:t>
                  </w:r>
                </w:p>
              </w:tc>
              <w:tc>
                <w:tcPr>
                  <w:tcW w:w="986" w:type="pct"/>
                  <w:vAlign w:val="center"/>
                </w:tcPr>
                <w:p>
                  <w:pPr>
                    <w:jc w:val="center"/>
                  </w:pPr>
                  <w:r>
                    <w:rPr>
                      <w:rFonts w:hint="eastAsia"/>
                    </w:rPr>
                    <w:t>大渡河沙湾区安谷电站大坝控制单元</w:t>
                  </w:r>
                </w:p>
              </w:tc>
              <w:tc>
                <w:tcPr>
                  <w:tcW w:w="604" w:type="pct"/>
                  <w:vAlign w:val="center"/>
                </w:tcPr>
                <w:p>
                  <w:pPr>
                    <w:jc w:val="center"/>
                  </w:pPr>
                  <w:r>
                    <w:rPr>
                      <w:rFonts w:hint="eastAsia"/>
                    </w:rPr>
                    <w:t>乐山市</w:t>
                  </w:r>
                </w:p>
              </w:tc>
              <w:tc>
                <w:tcPr>
                  <w:tcW w:w="578" w:type="pct"/>
                  <w:vAlign w:val="center"/>
                </w:tcPr>
                <w:p>
                  <w:pPr>
                    <w:jc w:val="center"/>
                  </w:pPr>
                  <w:r>
                    <w:rPr>
                      <w:rFonts w:hint="eastAsia"/>
                    </w:rPr>
                    <w:t>沙湾区</w:t>
                  </w:r>
                </w:p>
              </w:tc>
              <w:tc>
                <w:tcPr>
                  <w:tcW w:w="909" w:type="pct"/>
                  <w:vAlign w:val="center"/>
                </w:tcPr>
                <w:p>
                  <w:pPr>
                    <w:jc w:val="center"/>
                  </w:pPr>
                  <w:r>
                    <w:rPr>
                      <w:rFonts w:hint="eastAsia"/>
                    </w:rPr>
                    <w:t>水环境管控分区</w:t>
                  </w:r>
                </w:p>
              </w:tc>
              <w:tc>
                <w:tcPr>
                  <w:tcW w:w="1173" w:type="pct"/>
                  <w:vAlign w:val="center"/>
                </w:tcPr>
                <w:p>
                  <w:pPr>
                    <w:jc w:val="center"/>
                  </w:pPr>
                  <w:r>
                    <w:rPr>
                      <w:rFonts w:hint="eastAsia"/>
                    </w:rPr>
                    <w:t>水环境工业污染重点管控区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50" w:type="pct"/>
                  <w:vAlign w:val="center"/>
                </w:tcPr>
                <w:p>
                  <w:pPr>
                    <w:jc w:val="center"/>
                  </w:pPr>
                  <w:r>
                    <w:t>YS5111112310002</w:t>
                  </w:r>
                </w:p>
              </w:tc>
              <w:tc>
                <w:tcPr>
                  <w:tcW w:w="986" w:type="pct"/>
                  <w:vAlign w:val="center"/>
                </w:tcPr>
                <w:p>
                  <w:pPr>
                    <w:jc w:val="center"/>
                  </w:pPr>
                  <w:r>
                    <w:rPr>
                      <w:rFonts w:hint="eastAsia"/>
                    </w:rPr>
                    <w:t>四川乐山沙湾经济开发区</w:t>
                  </w:r>
                </w:p>
              </w:tc>
              <w:tc>
                <w:tcPr>
                  <w:tcW w:w="604" w:type="pct"/>
                  <w:vAlign w:val="center"/>
                </w:tcPr>
                <w:p>
                  <w:pPr>
                    <w:jc w:val="center"/>
                  </w:pPr>
                  <w:r>
                    <w:rPr>
                      <w:rFonts w:hint="eastAsia"/>
                    </w:rPr>
                    <w:t>乐山市</w:t>
                  </w:r>
                </w:p>
              </w:tc>
              <w:tc>
                <w:tcPr>
                  <w:tcW w:w="578" w:type="pct"/>
                  <w:vAlign w:val="center"/>
                </w:tcPr>
                <w:p>
                  <w:pPr>
                    <w:jc w:val="center"/>
                  </w:pPr>
                  <w:r>
                    <w:rPr>
                      <w:rFonts w:hint="eastAsia"/>
                    </w:rPr>
                    <w:t>沙湾区</w:t>
                  </w:r>
                </w:p>
              </w:tc>
              <w:tc>
                <w:tcPr>
                  <w:tcW w:w="909" w:type="pct"/>
                  <w:vAlign w:val="center"/>
                </w:tcPr>
                <w:p>
                  <w:pPr>
                    <w:jc w:val="center"/>
                  </w:pPr>
                  <w:r>
                    <w:rPr>
                      <w:rFonts w:hint="eastAsia"/>
                    </w:rPr>
                    <w:t>大气环境管控分区</w:t>
                  </w:r>
                </w:p>
              </w:tc>
              <w:tc>
                <w:tcPr>
                  <w:tcW w:w="1173" w:type="pct"/>
                  <w:vAlign w:val="center"/>
                </w:tcPr>
                <w:p>
                  <w:pPr>
                    <w:jc w:val="center"/>
                  </w:pPr>
                  <w:r>
                    <w:rPr>
                      <w:rFonts w:hint="eastAsia"/>
                    </w:rPr>
                    <w:t>大气环境高排放重点管控区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50" w:type="pct"/>
                  <w:vAlign w:val="center"/>
                </w:tcPr>
                <w:p>
                  <w:pPr>
                    <w:jc w:val="center"/>
                  </w:pPr>
                  <w:r>
                    <w:t>YS5111112420003</w:t>
                  </w:r>
                </w:p>
              </w:tc>
              <w:tc>
                <w:tcPr>
                  <w:tcW w:w="986" w:type="pct"/>
                  <w:vAlign w:val="center"/>
                </w:tcPr>
                <w:p>
                  <w:pPr>
                    <w:jc w:val="center"/>
                  </w:pPr>
                  <w:r>
                    <w:rPr>
                      <w:rFonts w:hint="eastAsia"/>
                    </w:rPr>
                    <w:t>沙湾区建设用地污染风险重点管控区</w:t>
                  </w:r>
                </w:p>
              </w:tc>
              <w:tc>
                <w:tcPr>
                  <w:tcW w:w="604" w:type="pct"/>
                  <w:vAlign w:val="center"/>
                </w:tcPr>
                <w:p>
                  <w:pPr>
                    <w:jc w:val="center"/>
                  </w:pPr>
                  <w:r>
                    <w:rPr>
                      <w:rFonts w:hint="eastAsia"/>
                    </w:rPr>
                    <w:t>乐山市</w:t>
                  </w:r>
                </w:p>
              </w:tc>
              <w:tc>
                <w:tcPr>
                  <w:tcW w:w="578" w:type="pct"/>
                  <w:vAlign w:val="center"/>
                </w:tcPr>
                <w:p>
                  <w:pPr>
                    <w:jc w:val="center"/>
                  </w:pPr>
                  <w:r>
                    <w:rPr>
                      <w:rFonts w:hint="eastAsia"/>
                    </w:rPr>
                    <w:t>沙湾区</w:t>
                  </w:r>
                </w:p>
              </w:tc>
              <w:tc>
                <w:tcPr>
                  <w:tcW w:w="909" w:type="pct"/>
                  <w:vAlign w:val="center"/>
                </w:tcPr>
                <w:p>
                  <w:pPr>
                    <w:jc w:val="center"/>
                  </w:pPr>
                  <w:r>
                    <w:rPr>
                      <w:rFonts w:hint="eastAsia"/>
                    </w:rPr>
                    <w:t>土壤污染风险管控分区</w:t>
                  </w:r>
                </w:p>
              </w:tc>
              <w:tc>
                <w:tcPr>
                  <w:tcW w:w="1173" w:type="pct"/>
                  <w:vAlign w:val="center"/>
                </w:tcPr>
                <w:p>
                  <w:pPr>
                    <w:jc w:val="center"/>
                  </w:pPr>
                  <w:r>
                    <w:rPr>
                      <w:rFonts w:hint="eastAsia"/>
                    </w:rPr>
                    <w:t>建设用地污染风险重点管控区</w:t>
                  </w:r>
                </w:p>
              </w:tc>
            </w:tr>
          </w:tbl>
          <w:p>
            <w:pPr>
              <w:autoSpaceDE w:val="0"/>
              <w:autoSpaceDN w:val="0"/>
              <w:adjustRightInd w:val="0"/>
              <w:snapToGrid w:val="0"/>
              <w:spacing w:line="360" w:lineRule="auto"/>
              <w:jc w:val="center"/>
              <w:rPr>
                <w:rFonts w:cs="宋体"/>
                <w:b/>
                <w:kern w:val="0"/>
                <w:szCs w:val="21"/>
              </w:rPr>
            </w:pPr>
            <w:r>
              <w:rPr>
                <w:rFonts w:ascii="Helvetica" w:hAnsi="Helvetica" w:cs="宋体"/>
                <w:sz w:val="28"/>
                <w:szCs w:val="28"/>
              </w:rPr>
              <mc:AlternateContent>
                <mc:Choice Requires="wps">
                  <w:drawing>
                    <wp:anchor distT="0" distB="0" distL="114300" distR="114300" simplePos="0" relativeHeight="251660288" behindDoc="0" locked="0" layoutInCell="1" allowOverlap="1">
                      <wp:simplePos x="0" y="0"/>
                      <wp:positionH relativeFrom="column">
                        <wp:posOffset>2929255</wp:posOffset>
                      </wp:positionH>
                      <wp:positionV relativeFrom="paragraph">
                        <wp:posOffset>1110615</wp:posOffset>
                      </wp:positionV>
                      <wp:extent cx="609600" cy="276860"/>
                      <wp:effectExtent l="38100" t="285750" r="19050" b="27940"/>
                      <wp:wrapNone/>
                      <wp:docPr id="3" name="矩形标注 3"/>
                      <wp:cNvGraphicFramePr/>
                      <a:graphic xmlns:a="http://schemas.openxmlformats.org/drawingml/2006/main">
                        <a:graphicData uri="http://schemas.microsoft.com/office/word/2010/wordprocessingShape">
                          <wps:wsp>
                            <wps:cNvSpPr/>
                            <wps:spPr>
                              <a:xfrm>
                                <a:off x="0" y="0"/>
                                <a:ext cx="609600" cy="276860"/>
                              </a:xfrm>
                              <a:prstGeom prst="wedgeRectCallout">
                                <a:avLst>
                                  <a:gd name="adj1" fmla="val -50521"/>
                                  <a:gd name="adj2" fmla="val -133601"/>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color w:val="FF0000"/>
                                    </w:rPr>
                                  </w:pPr>
                                  <w:r>
                                    <w:rPr>
                                      <w:rFonts w:hint="eastAsia"/>
                                      <w:b/>
                                      <w:color w:val="FF0000"/>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30.65pt;margin-top:87.45pt;height:21.8pt;width:48pt;z-index:251660288;v-text-anchor:middle;mso-width-relative:page;mso-height-relative:page;" filled="f" stroked="t" coordsize="21600,21600" o:gfxdata="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G5KAH3bAAAACwEAAA8AAAAAAAAAAQAgAAAAIgAAAGRycy9k&#10;b3ducmV2LnhtbFBLAQIUABQAAAAIAIdO4kBygsyRqgIAADsFAAAOAAAAAAAAAAEAIAAAACoBAABk&#10;cnMvZTJvRG9jLnhtbFBLBQYAAAAABgAGAFkBAABGBgAAAAA=&#10;" adj="-113,-18058">
                      <v:fill on="f" focussize="0,0"/>
                      <v:stroke weight="1.5pt" color="#FF0000 [3204]" miterlimit="8" joinstyle="miter"/>
                      <v:imagedata o:title=""/>
                      <o:lock v:ext="edit" aspectratio="f"/>
                      <v:textbox>
                        <w:txbxContent>
                          <w:p>
                            <w:pPr>
                              <w:jc w:val="center"/>
                              <w:rPr>
                                <w:b/>
                                <w:color w:val="FF0000"/>
                              </w:rPr>
                            </w:pPr>
                            <w:r>
                              <w:rPr>
                                <w:rFonts w:hint="eastAsia"/>
                                <w:b/>
                                <w:color w:val="FF0000"/>
                              </w:rPr>
                              <w:t>本项目</w:t>
                            </w:r>
                          </w:p>
                        </w:txbxContent>
                      </v:textbox>
                    </v:shape>
                  </w:pict>
                </mc:Fallback>
              </mc:AlternateContent>
            </w:r>
            <w:r>
              <w:rPr>
                <w:rFonts w:ascii="Helvetica" w:hAnsi="Helvetica" w:cs="宋体"/>
                <w:sz w:val="28"/>
                <w:szCs w:val="28"/>
              </w:rPr>
              <w:drawing>
                <wp:inline distT="0" distB="0" distL="0" distR="0">
                  <wp:extent cx="5343525" cy="32042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16553" cy="3248307"/>
                          </a:xfrm>
                          <a:prstGeom prst="rect">
                            <a:avLst/>
                          </a:prstGeom>
                          <a:noFill/>
                          <a:ln>
                            <a:noFill/>
                          </a:ln>
                        </pic:spPr>
                      </pic:pic>
                    </a:graphicData>
                  </a:graphic>
                </wp:inline>
              </w:drawing>
            </w:r>
          </w:p>
          <w:p>
            <w:pPr>
              <w:autoSpaceDE w:val="0"/>
              <w:autoSpaceDN w:val="0"/>
              <w:adjustRightInd w:val="0"/>
              <w:snapToGrid w:val="0"/>
              <w:spacing w:line="360" w:lineRule="auto"/>
              <w:jc w:val="center"/>
              <w:rPr>
                <w:rFonts w:cs="宋体"/>
                <w:b/>
                <w:kern w:val="0"/>
                <w:szCs w:val="21"/>
              </w:rPr>
            </w:pPr>
            <w:r>
              <w:rPr>
                <w:rFonts w:hint="eastAsia" w:cs="宋体"/>
                <w:b/>
                <w:kern w:val="0"/>
                <w:szCs w:val="21"/>
              </w:rPr>
              <w:t>图1</w:t>
            </w:r>
            <w:r>
              <w:rPr>
                <w:rFonts w:cs="宋体"/>
                <w:b/>
                <w:kern w:val="0"/>
                <w:szCs w:val="21"/>
              </w:rPr>
              <w:t xml:space="preserve">-2 </w:t>
            </w:r>
            <w:r>
              <w:rPr>
                <w:rFonts w:hint="eastAsia"/>
                <w:b/>
                <w:bCs/>
                <w:color w:val="000000"/>
                <w:szCs w:val="21"/>
              </w:rPr>
              <w:t>项目与环境综合管控单元的位置关系图</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（2）“三线一单”符合性分析</w:t>
            </w:r>
          </w:p>
          <w:p>
            <w:pPr>
              <w:autoSpaceDE w:val="0"/>
              <w:autoSpaceDN w:val="0"/>
              <w:adjustRightInd w:val="0"/>
              <w:snapToGrid w:val="0"/>
              <w:spacing w:line="360" w:lineRule="auto"/>
              <w:ind w:firstLine="480" w:firstLineChars="200"/>
              <w:rPr>
                <w:rFonts w:cs="宋体"/>
                <w:kern w:val="0"/>
                <w:sz w:val="24"/>
              </w:rPr>
            </w:pPr>
            <w:r>
              <w:rPr>
                <w:rFonts w:hint="eastAsia" w:cs="宋体"/>
                <w:kern w:val="0"/>
                <w:sz w:val="24"/>
              </w:rPr>
              <w:t>本项目位于</w:t>
            </w:r>
            <w:r>
              <w:rPr>
                <w:rFonts w:hint="eastAsia" w:cs="宋体"/>
                <w:sz w:val="24"/>
              </w:rPr>
              <w:t>乐山市沙湾区</w:t>
            </w:r>
            <w:r>
              <w:rPr>
                <w:sz w:val="24"/>
              </w:rPr>
              <w:t>民生不锈钢产业园嘉农组团</w:t>
            </w:r>
            <w:r>
              <w:rPr>
                <w:rFonts w:hint="eastAsia" w:cs="宋体"/>
                <w:kern w:val="0"/>
                <w:sz w:val="24"/>
              </w:rPr>
              <w:t>，属于工业中重点管控单元，涉及到环境管控单元</w:t>
            </w:r>
            <w:r>
              <w:rPr>
                <w:rFonts w:cs="宋体"/>
                <w:kern w:val="0"/>
                <w:sz w:val="24"/>
              </w:rPr>
              <w:t>4</w:t>
            </w:r>
            <w:r>
              <w:rPr>
                <w:rFonts w:hint="eastAsia" w:cs="宋体"/>
                <w:kern w:val="0"/>
                <w:sz w:val="24"/>
              </w:rPr>
              <w:t>个，分别为四川乐山沙湾经济开发区、大渡河沙湾区安谷电站大坝控制单元、四川乐山沙湾经济开发区、沙湾区建设用地污染风险重点管控区。三线一单符合性见下表。</w:t>
            </w:r>
          </w:p>
        </w:tc>
      </w:tr>
    </w:tbl>
    <w:p>
      <w:pPr>
        <w:spacing w:line="360" w:lineRule="auto"/>
        <w:outlineLvl w:val="0"/>
        <w:rPr>
          <w:sz w:val="30"/>
        </w:rPr>
        <w:sectPr>
          <w:footerReference r:id="rId5" w:type="default"/>
          <w:pgSz w:w="11906" w:h="16838"/>
          <w:pgMar w:top="1701" w:right="1531" w:bottom="1701" w:left="1531" w:header="851" w:footer="1077" w:gutter="0"/>
          <w:pgNumType w:start="1"/>
          <w:cols w:space="720" w:num="1"/>
          <w:docGrid w:linePitch="312" w:charSpace="0"/>
        </w:sectPr>
      </w:pPr>
    </w:p>
    <w:p>
      <w:pPr>
        <w:autoSpaceDE w:val="0"/>
        <w:autoSpaceDN w:val="0"/>
        <w:adjustRightInd w:val="0"/>
        <w:jc w:val="center"/>
        <w:rPr>
          <w:rFonts w:cs="宋体"/>
          <w:b/>
          <w:color w:val="000000"/>
        </w:rPr>
      </w:pPr>
      <w:r>
        <w:rPr>
          <w:rFonts w:hint="eastAsia" w:cs="宋体"/>
          <w:b/>
          <w:color w:val="000000"/>
        </w:rPr>
        <w:t>表1-</w:t>
      </w:r>
      <w:r>
        <w:rPr>
          <w:rFonts w:cs="宋体"/>
          <w:b/>
          <w:color w:val="000000"/>
        </w:rPr>
        <w:t xml:space="preserve">11 </w:t>
      </w:r>
      <w:r>
        <w:rPr>
          <w:rFonts w:hint="eastAsia" w:cs="宋体"/>
          <w:b/>
          <w:color w:val="000000"/>
        </w:rPr>
        <w:t>本项目 “三线一单”符合性分析</w:t>
      </w:r>
    </w:p>
    <w:tbl>
      <w:tblPr>
        <w:tblStyle w:val="1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5387"/>
        <w:gridCol w:w="1276"/>
        <w:gridCol w:w="2976"/>
        <w:gridCol w:w="1746"/>
        <w:gridCol w:w="91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center"/>
              <w:rPr>
                <w:b/>
                <w:szCs w:val="21"/>
              </w:rPr>
            </w:pPr>
            <w:r>
              <w:rPr>
                <w:rFonts w:hint="eastAsia" w:cs="宋体"/>
                <w:b/>
                <w:bCs/>
                <w:color w:val="000000"/>
                <w:kern w:val="0"/>
                <w:szCs w:val="21"/>
              </w:rPr>
              <w:t>环境管控单元名称与编码</w:t>
            </w:r>
          </w:p>
        </w:tc>
        <w:tc>
          <w:tcPr>
            <w:tcW w:w="5387" w:type="dxa"/>
            <w:vAlign w:val="center"/>
          </w:tcPr>
          <w:p>
            <w:pPr>
              <w:jc w:val="center"/>
              <w:rPr>
                <w:b/>
                <w:szCs w:val="21"/>
              </w:rPr>
            </w:pPr>
            <w:r>
              <w:rPr>
                <w:rFonts w:hint="eastAsia" w:cs="宋体"/>
                <w:b/>
                <w:bCs/>
                <w:color w:val="000000"/>
                <w:kern w:val="0"/>
                <w:szCs w:val="21"/>
              </w:rPr>
              <w:t>乐山市普适性清单</w:t>
            </w:r>
          </w:p>
        </w:tc>
        <w:tc>
          <w:tcPr>
            <w:tcW w:w="1276" w:type="dxa"/>
            <w:vAlign w:val="center"/>
          </w:tcPr>
          <w:p>
            <w:pPr>
              <w:jc w:val="center"/>
              <w:rPr>
                <w:b/>
                <w:szCs w:val="21"/>
              </w:rPr>
            </w:pPr>
            <w:r>
              <w:rPr>
                <w:rFonts w:hint="eastAsia" w:cs="宋体"/>
                <w:b/>
                <w:bCs/>
                <w:color w:val="000000"/>
                <w:kern w:val="0"/>
                <w:szCs w:val="21"/>
              </w:rPr>
              <w:t>管控类别</w:t>
            </w:r>
          </w:p>
        </w:tc>
        <w:tc>
          <w:tcPr>
            <w:tcW w:w="2976" w:type="dxa"/>
            <w:vAlign w:val="center"/>
          </w:tcPr>
          <w:p>
            <w:pPr>
              <w:jc w:val="center"/>
              <w:rPr>
                <w:b/>
                <w:szCs w:val="21"/>
              </w:rPr>
            </w:pPr>
            <w:r>
              <w:rPr>
                <w:rFonts w:hint="eastAsia" w:cs="宋体"/>
                <w:b/>
                <w:bCs/>
                <w:color w:val="000000"/>
                <w:kern w:val="0"/>
                <w:szCs w:val="21"/>
              </w:rPr>
              <w:t>单元特性管控要求</w:t>
            </w:r>
          </w:p>
        </w:tc>
        <w:tc>
          <w:tcPr>
            <w:tcW w:w="1746" w:type="dxa"/>
            <w:vAlign w:val="center"/>
          </w:tcPr>
          <w:p>
            <w:pPr>
              <w:jc w:val="center"/>
              <w:rPr>
                <w:b/>
                <w:szCs w:val="21"/>
              </w:rPr>
            </w:pPr>
            <w:r>
              <w:rPr>
                <w:rFonts w:hint="eastAsia"/>
                <w:b/>
                <w:szCs w:val="21"/>
              </w:rPr>
              <w:t>项目对应情况介绍</w:t>
            </w:r>
          </w:p>
        </w:tc>
        <w:tc>
          <w:tcPr>
            <w:tcW w:w="917" w:type="dxa"/>
            <w:vAlign w:val="center"/>
          </w:tcPr>
          <w:p>
            <w:pPr>
              <w:jc w:val="center"/>
              <w:rPr>
                <w:b/>
                <w:szCs w:val="21"/>
              </w:rPr>
            </w:pPr>
            <w:r>
              <w:rPr>
                <w:rFonts w:hint="eastAsia"/>
                <w:b/>
                <w:szCs w:val="21"/>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pPr>
              <w:wordWrap w:val="0"/>
              <w:jc w:val="center"/>
              <w:rPr>
                <w:szCs w:val="21"/>
              </w:rPr>
            </w:pPr>
            <w:r>
              <w:rPr>
                <w:rFonts w:hint="eastAsia"/>
                <w:szCs w:val="21"/>
              </w:rPr>
              <w:t>四川乐山沙湾经济开发区</w:t>
            </w:r>
          </w:p>
          <w:p>
            <w:pPr>
              <w:wordWrap w:val="0"/>
              <w:jc w:val="center"/>
              <w:rPr>
                <w:rFonts w:cs="宋体"/>
                <w:b/>
                <w:bCs/>
                <w:color w:val="000000"/>
                <w:kern w:val="0"/>
                <w:szCs w:val="21"/>
              </w:rPr>
            </w:pPr>
            <w:r>
              <w:rPr>
                <w:rFonts w:hint="eastAsia"/>
                <w:szCs w:val="21"/>
              </w:rPr>
              <w:t>ZH51111120002</w:t>
            </w:r>
          </w:p>
        </w:tc>
        <w:tc>
          <w:tcPr>
            <w:tcW w:w="5387" w:type="dxa"/>
            <w:vMerge w:val="restart"/>
          </w:tcPr>
          <w:p>
            <w:pPr>
              <w:pStyle w:val="44"/>
              <w:wordWrap w:val="0"/>
              <w:ind w:firstLine="0" w:firstLineChars="0"/>
              <w:rPr>
                <w:rFonts w:eastAsia="宋体" w:cs="宋体"/>
                <w:color w:val="000000"/>
                <w:kern w:val="0"/>
                <w:sz w:val="21"/>
              </w:rPr>
            </w:pPr>
            <w:r>
              <w:rPr>
                <w:rFonts w:hint="eastAsia" w:eastAsia="宋体" w:cs="宋体"/>
                <w:color w:val="000000"/>
                <w:kern w:val="0"/>
                <w:sz w:val="21"/>
              </w:rPr>
              <w:t>空间布局约束：</w:t>
            </w:r>
          </w:p>
          <w:p>
            <w:pPr>
              <w:pStyle w:val="44"/>
              <w:wordWrap w:val="0"/>
              <w:ind w:firstLine="0" w:firstLineChars="0"/>
              <w:rPr>
                <w:rFonts w:eastAsia="宋体" w:cs="宋体"/>
                <w:color w:val="000000"/>
                <w:kern w:val="0"/>
                <w:sz w:val="21"/>
              </w:rPr>
            </w:pPr>
            <w:r>
              <w:rPr>
                <w:rFonts w:hint="eastAsia" w:eastAsia="宋体" w:cs="宋体"/>
                <w:color w:val="000000"/>
                <w:kern w:val="0"/>
                <w:sz w:val="21"/>
              </w:rPr>
              <w:t>禁止开发建设活动的要求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1）禁止在长江干支流岸线一公里范围内新建、扩建化工园区和化工项目；禁止在长江干流岸线三公里范围内和重要支流岸线一公里范围内新建、改建、扩建尾矿库（以提升安全、生态环境保护水平为目的的改建除外）；</w:t>
            </w:r>
          </w:p>
          <w:p>
            <w:pPr>
              <w:pStyle w:val="44"/>
              <w:wordWrap w:val="0"/>
              <w:ind w:firstLine="0" w:firstLineChars="0"/>
              <w:rPr>
                <w:rFonts w:eastAsia="宋体" w:cs="宋体"/>
                <w:color w:val="000000"/>
                <w:kern w:val="0"/>
                <w:sz w:val="21"/>
              </w:rPr>
            </w:pPr>
            <w:r>
              <w:rPr>
                <w:rFonts w:hint="eastAsia" w:eastAsia="宋体" w:cs="宋体"/>
                <w:color w:val="000000"/>
                <w:kern w:val="0"/>
                <w:sz w:val="21"/>
              </w:rPr>
              <w:t>（2）禁止在合规园区外新建、扩建钢铁、石化、化工、焦化、建材、有色等高污染项目。禁止新建、扩建不符合国家石化、现代煤化工等产业布局规划的项目；</w:t>
            </w:r>
          </w:p>
          <w:p>
            <w:pPr>
              <w:pStyle w:val="44"/>
              <w:wordWrap w:val="0"/>
              <w:ind w:firstLine="0" w:firstLineChars="0"/>
              <w:rPr>
                <w:rFonts w:eastAsia="宋体" w:cs="宋体"/>
                <w:color w:val="000000"/>
                <w:kern w:val="0"/>
                <w:sz w:val="21"/>
              </w:rPr>
            </w:pPr>
            <w:r>
              <w:rPr>
                <w:rFonts w:hint="eastAsia" w:eastAsia="宋体" w:cs="宋体"/>
                <w:color w:val="000000"/>
                <w:kern w:val="0"/>
                <w:sz w:val="21"/>
              </w:rPr>
              <w:t>（3）重点区域严禁新增钢铁、焦化、电解铝、铸造、水泥、平板玻璃等行业项目及产能。</w:t>
            </w:r>
          </w:p>
          <w:p>
            <w:pPr>
              <w:pStyle w:val="44"/>
              <w:wordWrap w:val="0"/>
              <w:ind w:firstLine="0" w:firstLineChars="0"/>
              <w:rPr>
                <w:rFonts w:eastAsia="宋体" w:cs="宋体"/>
                <w:color w:val="000000"/>
                <w:kern w:val="0"/>
                <w:sz w:val="21"/>
              </w:rPr>
            </w:pPr>
            <w:r>
              <w:rPr>
                <w:rFonts w:hint="eastAsia" w:eastAsia="宋体" w:cs="宋体"/>
                <w:color w:val="000000"/>
                <w:kern w:val="0"/>
                <w:sz w:val="21"/>
              </w:rPr>
              <w:t>限制开发建设活动的要求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（1）继续化解过剩产能，严禁钢铁、水泥、电解铝、平板玻璃等行业新增产能，对确有必要新建的必须实施等量或减量置换；</w:t>
            </w:r>
          </w:p>
          <w:p>
            <w:pPr>
              <w:pStyle w:val="44"/>
              <w:wordWrap w:val="0"/>
              <w:ind w:firstLine="0" w:firstLineChars="0"/>
              <w:rPr>
                <w:rFonts w:eastAsia="宋体" w:cs="宋体"/>
                <w:color w:val="000000"/>
                <w:kern w:val="0"/>
                <w:sz w:val="21"/>
              </w:rPr>
            </w:pPr>
            <w:r>
              <w:rPr>
                <w:rFonts w:hint="eastAsia" w:eastAsia="宋体" w:cs="宋体"/>
                <w:color w:val="000000"/>
                <w:kern w:val="0"/>
                <w:sz w:val="21"/>
              </w:rPr>
              <w:t>（2）长江干流及重要支流岸线一公里范围内严控新建制革、有色金属、三磷项目。</w:t>
            </w:r>
          </w:p>
          <w:p>
            <w:pPr>
              <w:pStyle w:val="44"/>
              <w:wordWrap w:val="0"/>
              <w:ind w:firstLine="0" w:firstLineChars="0"/>
              <w:rPr>
                <w:rFonts w:eastAsia="宋体" w:cs="宋体"/>
                <w:color w:val="000000"/>
                <w:kern w:val="0"/>
                <w:sz w:val="21"/>
              </w:rPr>
            </w:pPr>
            <w:r>
              <w:rPr>
                <w:rFonts w:hint="eastAsia" w:eastAsia="宋体" w:cs="宋体"/>
                <w:color w:val="000000"/>
                <w:kern w:val="0"/>
                <w:sz w:val="21"/>
              </w:rPr>
              <w:t>不符合空间布局要求活动的退出要求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（1）现有属于园区禁止引入产业门类的企业，原则上限制发展，污染物排放只降不增，允许以提升安全、生态环境保护水平为目的的改建，引导企业结合产业升级等适时搬迁；</w:t>
            </w:r>
          </w:p>
          <w:p>
            <w:pPr>
              <w:pStyle w:val="44"/>
              <w:wordWrap w:val="0"/>
              <w:ind w:firstLine="0" w:firstLineChars="0"/>
              <w:rPr>
                <w:rFonts w:eastAsia="宋体" w:cs="宋体"/>
                <w:color w:val="000000"/>
                <w:kern w:val="0"/>
                <w:sz w:val="21"/>
              </w:rPr>
            </w:pPr>
            <w:r>
              <w:rPr>
                <w:rFonts w:hint="eastAsia" w:eastAsia="宋体" w:cs="宋体"/>
                <w:color w:val="000000"/>
                <w:kern w:val="0"/>
                <w:sz w:val="21"/>
              </w:rPr>
              <w:t>（2）加强沿江化工园区和重点企业的环境风险防范和污染治理，对限期未完成治理的化工企业实施关闭，逐步实施五通桥盐磷化工产业园、马边磷化特色产业园等沿江沿河化工园区和重点企业的搬迁。</w:t>
            </w:r>
          </w:p>
          <w:p>
            <w:pPr>
              <w:pStyle w:val="44"/>
              <w:wordWrap w:val="0"/>
              <w:ind w:firstLine="0" w:firstLineChars="0"/>
              <w:rPr>
                <w:rFonts w:eastAsia="宋体" w:cs="宋体"/>
                <w:color w:val="000000"/>
                <w:kern w:val="0"/>
                <w:sz w:val="21"/>
              </w:rPr>
            </w:pPr>
            <w:r>
              <w:rPr>
                <w:rFonts w:hint="eastAsia" w:eastAsia="宋体" w:cs="宋体"/>
                <w:color w:val="000000"/>
                <w:kern w:val="0"/>
                <w:sz w:val="21"/>
              </w:rPr>
              <w:t>其他空间布局约束要求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暂无</w:t>
            </w:r>
          </w:p>
          <w:p>
            <w:pPr>
              <w:pStyle w:val="44"/>
              <w:wordWrap w:val="0"/>
              <w:ind w:firstLine="0" w:firstLineChars="0"/>
              <w:rPr>
                <w:rFonts w:eastAsia="宋体" w:cs="宋体"/>
                <w:color w:val="000000"/>
                <w:kern w:val="0"/>
                <w:sz w:val="21"/>
              </w:rPr>
            </w:pPr>
            <w:r>
              <w:rPr>
                <w:rFonts w:hint="eastAsia" w:eastAsia="宋体" w:cs="宋体"/>
                <w:color w:val="000000"/>
                <w:kern w:val="0"/>
                <w:sz w:val="21"/>
              </w:rPr>
              <w:t>污染物排放管控：</w:t>
            </w:r>
          </w:p>
          <w:p>
            <w:pPr>
              <w:pStyle w:val="44"/>
              <w:wordWrap w:val="0"/>
              <w:ind w:firstLine="0" w:firstLineChars="0"/>
              <w:rPr>
                <w:rFonts w:eastAsia="宋体" w:cs="宋体"/>
                <w:color w:val="000000"/>
                <w:kern w:val="0"/>
                <w:sz w:val="21"/>
              </w:rPr>
            </w:pPr>
            <w:r>
              <w:rPr>
                <w:rFonts w:hint="eastAsia" w:eastAsia="宋体" w:cs="宋体"/>
                <w:color w:val="000000"/>
                <w:kern w:val="0"/>
                <w:sz w:val="21"/>
              </w:rPr>
              <w:t>允许排放量要求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（1）上一年度水环境质量未完成目标的，新建排放水污染的建设项目按照总量管控要求进行倍量削减替代；</w:t>
            </w:r>
          </w:p>
          <w:p>
            <w:pPr>
              <w:pStyle w:val="44"/>
              <w:wordWrap w:val="0"/>
              <w:ind w:firstLine="0" w:firstLineChars="0"/>
              <w:rPr>
                <w:rFonts w:eastAsia="宋体" w:cs="宋体"/>
                <w:color w:val="000000"/>
                <w:kern w:val="0"/>
                <w:sz w:val="21"/>
              </w:rPr>
            </w:pPr>
            <w:r>
              <w:rPr>
                <w:rFonts w:hint="eastAsia" w:eastAsia="宋体" w:cs="宋体"/>
                <w:color w:val="000000"/>
                <w:kern w:val="0"/>
                <w:sz w:val="21"/>
              </w:rPr>
              <w:t>（2）对新建排放二氧化硫、氮氧化物、工业烟粉尘和挥发性有机物的项目实施现役源2倍削减替代；</w:t>
            </w:r>
          </w:p>
          <w:p>
            <w:pPr>
              <w:pStyle w:val="44"/>
              <w:wordWrap w:val="0"/>
              <w:ind w:firstLine="0" w:firstLineChars="0"/>
              <w:rPr>
                <w:rFonts w:eastAsia="宋体" w:cs="宋体"/>
                <w:color w:val="000000"/>
                <w:kern w:val="0"/>
                <w:sz w:val="21"/>
              </w:rPr>
            </w:pPr>
            <w:r>
              <w:rPr>
                <w:rFonts w:hint="eastAsia" w:eastAsia="宋体" w:cs="宋体"/>
                <w:color w:val="000000"/>
                <w:kern w:val="0"/>
                <w:sz w:val="21"/>
              </w:rPr>
              <w:t>（3）水质超标的水功能区，应当实施更严格的污染物排放总量削减要求。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现有源提标升级改造</w:t>
            </w:r>
          </w:p>
          <w:p>
            <w:pPr>
              <w:pStyle w:val="44"/>
              <w:wordWrap w:val="0"/>
              <w:ind w:firstLine="0" w:firstLineChars="0"/>
              <w:rPr>
                <w:rFonts w:eastAsia="宋体" w:cs="宋体"/>
                <w:color w:val="000000"/>
                <w:kern w:val="0"/>
                <w:sz w:val="21"/>
              </w:rPr>
            </w:pPr>
            <w:r>
              <w:rPr>
                <w:rFonts w:hint="eastAsia" w:eastAsia="宋体" w:cs="宋体"/>
                <w:color w:val="000000"/>
                <w:kern w:val="0"/>
                <w:sz w:val="21"/>
              </w:rPr>
              <w:t>（1）现有工业园区集中污水处理厂执行《四川省岷江、沱江流域水污染物排放标准》（DB51 2311-2016），增加工业污水中水回用配套设施建设，鼓励园区和企业中水回用；</w:t>
            </w:r>
          </w:p>
          <w:p>
            <w:pPr>
              <w:pStyle w:val="44"/>
              <w:wordWrap w:val="0"/>
              <w:ind w:firstLine="0" w:firstLineChars="0"/>
              <w:rPr>
                <w:rFonts w:eastAsia="宋体" w:cs="宋体"/>
                <w:color w:val="000000"/>
                <w:kern w:val="0"/>
                <w:sz w:val="21"/>
              </w:rPr>
            </w:pPr>
            <w:r>
              <w:rPr>
                <w:rFonts w:hint="eastAsia" w:eastAsia="宋体" w:cs="宋体"/>
                <w:color w:val="000000"/>
                <w:kern w:val="0"/>
                <w:sz w:val="21"/>
              </w:rPr>
              <w:t>（2）推进高污染、高耗水行业清洁生产改造，确保单位产品基准排水量达到《四川省岷江、沱江流域水污染物排放标准》。加大钢铁、印染、造纸、化工、制革等高耗水企业废水深度处理回用；</w:t>
            </w:r>
          </w:p>
          <w:p>
            <w:pPr>
              <w:pStyle w:val="44"/>
              <w:wordWrap w:val="0"/>
              <w:ind w:firstLine="0" w:firstLineChars="0"/>
              <w:rPr>
                <w:rFonts w:eastAsia="宋体" w:cs="宋体"/>
                <w:color w:val="000000"/>
                <w:kern w:val="0"/>
                <w:sz w:val="21"/>
              </w:rPr>
            </w:pPr>
            <w:r>
              <w:rPr>
                <w:rFonts w:hint="eastAsia" w:eastAsia="宋体" w:cs="宋体"/>
                <w:color w:val="000000"/>
                <w:kern w:val="0"/>
                <w:sz w:val="21"/>
              </w:rPr>
              <w:t>（3）市中区、五通桥区、沙湾区、犍为县、井研县、峨眉山市、夹江县属大气污染重点区域，执行大气污染物排放特别限值和特别控制要求；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（4）全市燃煤锅炉稳定达到超低排放限值要求，烟粉尘低于10毫克立方米，二氧化硫低于35毫克立方米，氮氧化物低于50毫克立方米；</w:t>
            </w:r>
          </w:p>
          <w:p>
            <w:pPr>
              <w:pStyle w:val="44"/>
              <w:wordWrap w:val="0"/>
              <w:ind w:firstLine="0" w:firstLineChars="0"/>
              <w:rPr>
                <w:rFonts w:eastAsia="宋体" w:cs="宋体"/>
                <w:color w:val="000000"/>
                <w:kern w:val="0"/>
                <w:sz w:val="21"/>
              </w:rPr>
            </w:pPr>
            <w:r>
              <w:rPr>
                <w:rFonts w:hint="eastAsia" w:eastAsia="宋体" w:cs="宋体"/>
                <w:color w:val="000000"/>
                <w:kern w:val="0"/>
                <w:sz w:val="21"/>
              </w:rPr>
              <w:t>（5）持续推进水泥、陶瓷、砖瓦、铸造、铁合金、钢铁等行业大气污染深度治理，深入推进颗粒物、二氧化硫、氮氧化物和挥发性有机物治理，持续推进陶瓷行业（喷雾干燥塔）清洁能源改造工程，加快推进五通桥涉氨排放化工企业氨排放治理。</w:t>
            </w:r>
          </w:p>
          <w:p>
            <w:pPr>
              <w:pStyle w:val="44"/>
              <w:wordWrap w:val="0"/>
              <w:ind w:firstLine="0" w:firstLineChars="0"/>
              <w:rPr>
                <w:rFonts w:eastAsia="宋体" w:cs="宋体"/>
                <w:color w:val="000000"/>
                <w:kern w:val="0"/>
                <w:sz w:val="21"/>
              </w:rPr>
            </w:pPr>
            <w:r>
              <w:rPr>
                <w:rFonts w:hint="eastAsia" w:eastAsia="宋体" w:cs="宋体"/>
                <w:color w:val="000000"/>
                <w:kern w:val="0"/>
                <w:sz w:val="21"/>
              </w:rPr>
              <w:t>其他污染物排放管控要求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（1）工业废水集中处理设施实现稳定达《四川省岷江、沱江流域水污染物排放标准》相应标准限值排放。磷肥和含磷农药制造等企业，应当按照排污许可要求，采取有效措施控制总磷排放浓度和排放总量；</w:t>
            </w:r>
          </w:p>
          <w:p>
            <w:pPr>
              <w:pStyle w:val="44"/>
              <w:wordWrap w:val="0"/>
              <w:ind w:firstLine="0" w:firstLineChars="0"/>
              <w:rPr>
                <w:rFonts w:eastAsia="宋体" w:cs="宋体"/>
                <w:color w:val="000000"/>
                <w:kern w:val="0"/>
                <w:sz w:val="21"/>
              </w:rPr>
            </w:pPr>
            <w:r>
              <w:rPr>
                <w:rFonts w:hint="eastAsia" w:eastAsia="宋体" w:cs="宋体"/>
                <w:color w:val="000000"/>
                <w:kern w:val="0"/>
                <w:sz w:val="21"/>
              </w:rPr>
              <w:t>（2）大力推进低（无）VOCs含量原辅材料替代；聚焦治污设施“三率”，提升综合治理效率。</w:t>
            </w:r>
          </w:p>
          <w:p>
            <w:pPr>
              <w:pStyle w:val="44"/>
              <w:wordWrap w:val="0"/>
              <w:ind w:firstLine="0" w:firstLineChars="0"/>
              <w:rPr>
                <w:rFonts w:eastAsia="宋体" w:cs="宋体"/>
                <w:color w:val="000000"/>
                <w:kern w:val="0"/>
                <w:sz w:val="21"/>
              </w:rPr>
            </w:pPr>
            <w:r>
              <w:rPr>
                <w:rFonts w:hint="eastAsia" w:eastAsia="宋体" w:cs="宋体"/>
                <w:color w:val="000000"/>
                <w:kern w:val="0"/>
                <w:sz w:val="21"/>
              </w:rPr>
              <w:t>环境风险防控：</w:t>
            </w:r>
          </w:p>
          <w:p>
            <w:pPr>
              <w:pStyle w:val="44"/>
              <w:wordWrap w:val="0"/>
              <w:ind w:firstLine="0" w:firstLineChars="0"/>
              <w:rPr>
                <w:rFonts w:eastAsia="宋体" w:cs="宋体"/>
                <w:color w:val="000000"/>
                <w:kern w:val="0"/>
                <w:sz w:val="21"/>
              </w:rPr>
            </w:pPr>
            <w:r>
              <w:rPr>
                <w:rFonts w:hint="eastAsia" w:eastAsia="宋体" w:cs="宋体"/>
                <w:color w:val="000000"/>
                <w:kern w:val="0"/>
                <w:sz w:val="21"/>
              </w:rPr>
              <w:t>联防联控要求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（1）建立健全全过程、多层级环境风险防范体系。强化危化品泄漏应急处置措施，确保风险可控。针对化工园区建立有毒有害气体环境风险预警体系，建立区域、流域联动应急响应体系，实行联防联控。</w:t>
            </w:r>
          </w:p>
          <w:p>
            <w:pPr>
              <w:pStyle w:val="44"/>
              <w:wordWrap w:val="0"/>
              <w:ind w:firstLine="0" w:firstLineChars="0"/>
              <w:rPr>
                <w:rFonts w:eastAsia="宋体" w:cs="宋体"/>
                <w:color w:val="000000"/>
                <w:kern w:val="0"/>
                <w:sz w:val="21"/>
              </w:rPr>
            </w:pPr>
            <w:r>
              <w:rPr>
                <w:rFonts w:hint="eastAsia" w:eastAsia="宋体" w:cs="宋体"/>
                <w:color w:val="000000"/>
                <w:kern w:val="0"/>
                <w:sz w:val="21"/>
              </w:rPr>
              <w:t>其他环境风险防控要求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（1）涉及有毒有害、易燃易爆物质新建、改扩建项目，严控准入要求；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（2）严格涉重金属企业和园区环境准入管理，新（改、扩）建涉重金属重点行业建设项目实施“等量替代”或“减量替代”；</w:t>
            </w:r>
          </w:p>
          <w:p>
            <w:pPr>
              <w:pStyle w:val="44"/>
              <w:wordWrap w:val="0"/>
              <w:ind w:firstLine="0" w:firstLineChars="0"/>
              <w:rPr>
                <w:rFonts w:eastAsia="宋体" w:cs="宋体"/>
                <w:color w:val="000000"/>
                <w:kern w:val="0"/>
                <w:sz w:val="21"/>
              </w:rPr>
            </w:pPr>
            <w:r>
              <w:rPr>
                <w:rFonts w:hint="eastAsia" w:eastAsia="宋体" w:cs="宋体"/>
                <w:color w:val="000000"/>
                <w:kern w:val="0"/>
                <w:sz w:val="21"/>
              </w:rPr>
              <w:t>（3）有色金属冶炼、石油加工、化工、焦化、电镀、制革等行业企业拆除生产设施设备、构筑物和污染治理设施，要事先制定残留污染物清理和安全处置方案，要严格按照有关规定实施安全处理处置，防范拆除活动污染土壤；</w:t>
            </w:r>
          </w:p>
          <w:p>
            <w:pPr>
              <w:pStyle w:val="44"/>
              <w:wordWrap w:val="0"/>
              <w:ind w:firstLine="0" w:firstLineChars="0"/>
              <w:rPr>
                <w:rFonts w:eastAsia="宋体" w:cs="宋体"/>
                <w:color w:val="000000"/>
                <w:kern w:val="0"/>
                <w:sz w:val="21"/>
              </w:rPr>
            </w:pPr>
            <w:r>
              <w:rPr>
                <w:rFonts w:hint="eastAsia" w:eastAsia="宋体" w:cs="宋体"/>
                <w:color w:val="000000"/>
                <w:kern w:val="0"/>
                <w:sz w:val="21"/>
              </w:rPr>
              <w:t>（4）对拟收回土地使用权的有色金属矿采选、有色金属冶炼、石油加工、化工、焦化、电镀、制革、铅蓄电池、农药、危废处置、电子拆解等行业企业用地，应按相关要求进行土壤环境状况调查评估，符合相应规划用地土壤环境质量要求的地块，方可进入用地程序。</w:t>
            </w:r>
          </w:p>
          <w:p>
            <w:pPr>
              <w:pStyle w:val="44"/>
              <w:wordWrap w:val="0"/>
              <w:ind w:firstLine="0" w:firstLineChars="0"/>
              <w:rPr>
                <w:rFonts w:eastAsia="宋体" w:cs="宋体"/>
                <w:color w:val="000000"/>
                <w:kern w:val="0"/>
                <w:sz w:val="21"/>
              </w:rPr>
            </w:pPr>
            <w:r>
              <w:rPr>
                <w:rFonts w:hint="eastAsia" w:eastAsia="宋体" w:cs="宋体"/>
                <w:color w:val="000000"/>
                <w:kern w:val="0"/>
                <w:sz w:val="21"/>
              </w:rPr>
              <w:t>资源开发利用效率要求：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水资源利用总量要求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1）鼓励引导新建、改建、扩建工业园区应当按照有关要求统筹建设工业废水集中处理和回用设施，适时推进企业间串联用水、分质用水、一水多用，实现水循环梯级优化利用和废水集中处理回用，创建节水型工业园区；</w:t>
            </w:r>
          </w:p>
          <w:p>
            <w:pPr>
              <w:pStyle w:val="44"/>
              <w:wordWrap w:val="0"/>
              <w:ind w:firstLine="0" w:firstLineChars="0"/>
              <w:rPr>
                <w:rFonts w:eastAsia="宋体" w:cs="宋体"/>
                <w:color w:val="000000"/>
                <w:kern w:val="0"/>
                <w:sz w:val="21"/>
              </w:rPr>
            </w:pPr>
            <w:r>
              <w:rPr>
                <w:rFonts w:hint="eastAsia" w:eastAsia="宋体" w:cs="宋体"/>
                <w:color w:val="000000"/>
                <w:kern w:val="0"/>
                <w:sz w:val="21"/>
              </w:rPr>
              <w:t>（2）鼓励火力发电、钢铁、纺织、造纸、石化和化工、食品和发酵等高耗水企业对废水进行深度处理回用，降低单位产品耗水量。火电、石化、钢铁、有色、造纸、印染等高耗水行业项目具备使用再生水条件但未有效利用的，要严格控制新增取水许可。</w:t>
            </w:r>
          </w:p>
          <w:p>
            <w:pPr>
              <w:pStyle w:val="44"/>
              <w:wordWrap w:val="0"/>
              <w:ind w:firstLine="0" w:firstLineChars="0"/>
              <w:rPr>
                <w:rFonts w:eastAsia="宋体" w:cs="宋体"/>
                <w:color w:val="000000"/>
                <w:kern w:val="0"/>
                <w:sz w:val="21"/>
              </w:rPr>
            </w:pPr>
            <w:r>
              <w:rPr>
                <w:rFonts w:hint="eastAsia" w:eastAsia="宋体" w:cs="宋体"/>
                <w:color w:val="000000"/>
                <w:kern w:val="0"/>
                <w:sz w:val="21"/>
              </w:rPr>
              <w:t>地下水开采要求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暂无</w:t>
            </w:r>
          </w:p>
          <w:p>
            <w:pPr>
              <w:pStyle w:val="44"/>
              <w:wordWrap w:val="0"/>
              <w:ind w:firstLine="0" w:firstLineChars="0"/>
              <w:rPr>
                <w:rFonts w:eastAsia="宋体" w:cs="宋体"/>
                <w:color w:val="000000"/>
                <w:kern w:val="0"/>
                <w:sz w:val="21"/>
              </w:rPr>
            </w:pPr>
            <w:r>
              <w:rPr>
                <w:rFonts w:hint="eastAsia" w:eastAsia="宋体" w:cs="宋体"/>
                <w:color w:val="000000"/>
                <w:kern w:val="0"/>
                <w:sz w:val="21"/>
              </w:rPr>
              <w:t>能源利用总量及效率要求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（1）严格控制煤炭消费总量。严格控制新建、改建、扩建耗煤项目，新增耗煤项目实行当年煤炭消耗减量倍量替代。</w:t>
            </w:r>
          </w:p>
          <w:p>
            <w:pPr>
              <w:pStyle w:val="44"/>
              <w:wordWrap w:val="0"/>
              <w:ind w:firstLine="0" w:firstLineChars="0"/>
              <w:rPr>
                <w:rFonts w:eastAsia="宋体" w:cs="宋体"/>
                <w:color w:val="000000"/>
                <w:kern w:val="0"/>
                <w:sz w:val="21"/>
              </w:rPr>
            </w:pPr>
            <w:r>
              <w:rPr>
                <w:rFonts w:hint="eastAsia" w:eastAsia="宋体" w:cs="宋体"/>
                <w:color w:val="000000"/>
                <w:kern w:val="0"/>
                <w:sz w:val="21"/>
              </w:rPr>
              <w:t>禁燃区要求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（1）保留20蒸吨小时以上燃煤锅炉，并执行超低排放要求；或进行清洁能源改造，清洁能源改造选择燃气锅炉的，应当同时采用低氮燃烧技术；</w:t>
            </w:r>
          </w:p>
          <w:p>
            <w:pPr>
              <w:pStyle w:val="44"/>
              <w:wordWrap w:val="0"/>
              <w:ind w:firstLine="0" w:firstLineChars="0"/>
              <w:rPr>
                <w:rFonts w:eastAsia="宋体" w:cs="宋体"/>
                <w:color w:val="000000"/>
                <w:kern w:val="0"/>
                <w:sz w:val="21"/>
              </w:rPr>
            </w:pPr>
            <w:r>
              <w:rPr>
                <w:rFonts w:hint="eastAsia" w:eastAsia="宋体" w:cs="宋体"/>
                <w:color w:val="000000"/>
                <w:kern w:val="0"/>
                <w:sz w:val="21"/>
              </w:rPr>
              <w:t>（2）禁燃区禁止审批（核准、备案）、新建、扩建燃用高污染燃料的锅炉、炉窑等各类燃用高污染燃料的设施。</w:t>
            </w:r>
          </w:p>
          <w:p>
            <w:pPr>
              <w:pStyle w:val="44"/>
              <w:wordWrap w:val="0"/>
              <w:ind w:firstLine="0" w:firstLineChars="0"/>
              <w:rPr>
                <w:rFonts w:eastAsia="宋体" w:cs="宋体"/>
                <w:color w:val="000000"/>
                <w:kern w:val="0"/>
                <w:sz w:val="21"/>
              </w:rPr>
            </w:pPr>
            <w:r>
              <w:rPr>
                <w:rFonts w:hint="eastAsia" w:eastAsia="宋体" w:cs="宋体"/>
                <w:color w:val="000000"/>
                <w:kern w:val="0"/>
                <w:sz w:val="21"/>
              </w:rPr>
              <w:t>其他资源利用效率要求</w:t>
            </w:r>
          </w:p>
          <w:p>
            <w:pPr>
              <w:pStyle w:val="44"/>
              <w:wordWrap w:val="0"/>
              <w:ind w:firstLine="0" w:firstLineChars="0"/>
              <w:rPr>
                <w:rFonts w:eastAsia="宋体" w:cs="宋体"/>
                <w:color w:val="000000"/>
                <w:kern w:val="0"/>
                <w:sz w:val="21"/>
              </w:rPr>
            </w:pPr>
            <w:r>
              <w:rPr>
                <w:rFonts w:hint="eastAsia" w:eastAsia="宋体" w:cs="宋体"/>
                <w:color w:val="000000"/>
                <w:kern w:val="0"/>
                <w:sz w:val="21"/>
              </w:rPr>
              <w:t>暂无</w:t>
            </w:r>
          </w:p>
        </w:tc>
        <w:tc>
          <w:tcPr>
            <w:tcW w:w="1276" w:type="dxa"/>
            <w:vAlign w:val="center"/>
          </w:tcPr>
          <w:p>
            <w:pPr>
              <w:jc w:val="center"/>
              <w:rPr>
                <w:rFonts w:cs="宋体"/>
                <w:bCs/>
                <w:color w:val="000000"/>
                <w:kern w:val="0"/>
                <w:szCs w:val="21"/>
              </w:rPr>
            </w:pPr>
            <w:r>
              <w:rPr>
                <w:rFonts w:hint="eastAsia"/>
                <w:szCs w:val="21"/>
              </w:rPr>
              <w:t>空间布局约束</w:t>
            </w:r>
          </w:p>
        </w:tc>
        <w:tc>
          <w:tcPr>
            <w:tcW w:w="2976" w:type="dxa"/>
            <w:vAlign w:val="center"/>
          </w:tcPr>
          <w:p>
            <w:pPr>
              <w:pStyle w:val="44"/>
              <w:widowControl/>
              <w:shd w:val="clear" w:color="auto" w:fill="FFFFFF"/>
              <w:spacing w:before="24" w:after="24" w:line="240" w:lineRule="auto"/>
              <w:ind w:firstLine="0" w:firstLineChars="0"/>
              <w:rPr>
                <w:rFonts w:eastAsia="宋体"/>
                <w:sz w:val="21"/>
              </w:rPr>
            </w:pPr>
            <w:r>
              <w:rPr>
                <w:rFonts w:hint="eastAsia" w:eastAsia="宋体"/>
                <w:sz w:val="21"/>
              </w:rPr>
              <w:t>禁止开发建设活动的要求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1、禁止引入高污染、高能耗、高风险项目；2、禁止新引入排放一类重金属废水的项目；3、其他执行乐山市工业重点管控单元普适性总体准入要求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限制开发建设活动的要求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1、严控涉磷类水污染物排放的项目，新建涉磷工业实施总磷排放量减量替代；2、严控涉大气污染物排放的重污染项目；3、严格限制风险潜势等级Ⅳ级及以上的工业企业入园，严格限制未落实减排计划的新增大量烟（粉）尘排放项目入园，严格限制违规新增钢铁、水泥产能；4、其他执行乐山市工业重点管控单元普适性总体准入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允许开发建设活动的要求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不符合空间布局要求活动的退出要求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执行乐山市工业重点管控单元普适性总体准入要求</w:t>
            </w:r>
          </w:p>
          <w:p>
            <w:pPr>
              <w:rPr>
                <w:rFonts w:cs="宋体"/>
                <w:bCs/>
                <w:color w:val="000000"/>
                <w:kern w:val="0"/>
                <w:szCs w:val="21"/>
              </w:rPr>
            </w:pPr>
            <w:r>
              <w:rPr>
                <w:rFonts w:hint="eastAsia"/>
                <w:szCs w:val="21"/>
              </w:rPr>
              <w:t>其他空间布局约束要求</w:t>
            </w:r>
          </w:p>
        </w:tc>
        <w:tc>
          <w:tcPr>
            <w:tcW w:w="1746" w:type="dxa"/>
            <w:vAlign w:val="center"/>
          </w:tcPr>
          <w:p>
            <w:pPr>
              <w:rPr>
                <w:szCs w:val="21"/>
              </w:rPr>
            </w:pPr>
            <w:r>
              <w:rPr>
                <w:rFonts w:hint="eastAsia"/>
                <w:szCs w:val="21"/>
              </w:rPr>
              <w:t>项目为新建砂石加工项目，不属于涉磷企业，不属于高污染、高能耗、高风险项目；项目生产废水循环使用，不外排。符合乐山市工业重点管控单元普适性总体准入要求。</w:t>
            </w:r>
          </w:p>
        </w:tc>
        <w:tc>
          <w:tcPr>
            <w:tcW w:w="917" w:type="dxa"/>
            <w:vAlign w:val="center"/>
          </w:tcPr>
          <w:p>
            <w:pPr>
              <w:jc w:val="center"/>
              <w:rPr>
                <w:szCs w:val="21"/>
              </w:rPr>
            </w:pPr>
            <w:r>
              <w:rPr>
                <w:rFonts w:hint="eastAsia"/>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pStyle w:val="44"/>
              <w:widowControl/>
              <w:spacing w:line="240" w:lineRule="auto"/>
              <w:ind w:firstLine="0" w:firstLineChars="0"/>
              <w:jc w:val="center"/>
              <w:rPr>
                <w:rFonts w:eastAsia="宋体"/>
                <w:sz w:val="21"/>
              </w:rPr>
            </w:pPr>
            <w:r>
              <w:rPr>
                <w:rFonts w:hint="eastAsia" w:eastAsia="宋体"/>
                <w:sz w:val="21"/>
              </w:rPr>
              <w:t>污染物排放管控</w:t>
            </w:r>
          </w:p>
        </w:tc>
        <w:tc>
          <w:tcPr>
            <w:tcW w:w="2976" w:type="dxa"/>
            <w:vAlign w:val="center"/>
          </w:tcPr>
          <w:p>
            <w:pPr>
              <w:pStyle w:val="44"/>
              <w:widowControl/>
              <w:shd w:val="clear" w:color="auto" w:fill="FFFFFF"/>
              <w:spacing w:before="24" w:after="24" w:line="240" w:lineRule="auto"/>
              <w:ind w:firstLine="0" w:firstLineChars="0"/>
              <w:rPr>
                <w:rFonts w:eastAsia="宋体"/>
                <w:sz w:val="21"/>
              </w:rPr>
            </w:pPr>
            <w:r>
              <w:rPr>
                <w:rFonts w:hint="eastAsia" w:eastAsia="宋体"/>
                <w:sz w:val="21"/>
              </w:rPr>
              <w:t>现有源提标升级改造</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1、完成现有企业废气深度治理，达到特别排放限值要求；2、其他执行乐山市工业重点管控单元普适性总体准入要求。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新增源等量或倍量替代</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1、削减园区现有污染源大气污染物排放总量，特别是烟粉尘及VOCs总量，在全区空气质量达标的情况下，实施等量替代。2、其他执行乐山市工业重点管控单元普适性总体准入要求。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新增源排放标准限值</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污染物排放绩效水平准入要求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1、封堵太平组团已停产、破产企业入河排污口。2、其他执行乐山市工业重点管控单元普适性总体准入要求。</w:t>
            </w:r>
          </w:p>
          <w:p>
            <w:pPr>
              <w:rPr>
                <w:rFonts w:cs="宋体"/>
                <w:bCs/>
                <w:color w:val="000000"/>
                <w:kern w:val="0"/>
                <w:szCs w:val="21"/>
              </w:rPr>
            </w:pPr>
            <w:r>
              <w:rPr>
                <w:rFonts w:hint="eastAsia"/>
                <w:szCs w:val="21"/>
              </w:rPr>
              <w:t>其他污染物排放管控要求</w:t>
            </w:r>
          </w:p>
        </w:tc>
        <w:tc>
          <w:tcPr>
            <w:tcW w:w="1746" w:type="dxa"/>
            <w:vAlign w:val="center"/>
          </w:tcPr>
          <w:p>
            <w:pPr>
              <w:rPr>
                <w:szCs w:val="21"/>
              </w:rPr>
            </w:pPr>
            <w:r>
              <w:rPr>
                <w:rFonts w:hint="eastAsia"/>
                <w:szCs w:val="21"/>
              </w:rPr>
              <w:t>本项目为新建沙石加工项目，项目生产车间实行全封闭，搭配洒水降尘措施，使颗粒物无组织排放控制在可控范围内；项目生产废水全部回用于生产，不外排。满足</w:t>
            </w:r>
            <w:r>
              <w:rPr>
                <w:rFonts w:hint="eastAsia"/>
              </w:rPr>
              <w:t>乐山市工业重点管控单元普适性总体准入要求。</w:t>
            </w:r>
          </w:p>
        </w:tc>
        <w:tc>
          <w:tcPr>
            <w:tcW w:w="917" w:type="dxa"/>
            <w:vAlign w:val="center"/>
          </w:tcPr>
          <w:p>
            <w:pPr>
              <w:jc w:val="center"/>
              <w:rPr>
                <w:szCs w:val="21"/>
              </w:rPr>
            </w:pPr>
            <w:r>
              <w:rPr>
                <w:rFonts w:hint="eastAsia"/>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jc w:val="center"/>
              <w:rPr>
                <w:rFonts w:cs="宋体"/>
                <w:bCs/>
                <w:color w:val="000000"/>
                <w:kern w:val="0"/>
                <w:szCs w:val="21"/>
              </w:rPr>
            </w:pPr>
            <w:r>
              <w:rPr>
                <w:rFonts w:hint="eastAsia"/>
                <w:szCs w:val="21"/>
              </w:rPr>
              <w:t>环境风险防控</w:t>
            </w:r>
          </w:p>
        </w:tc>
        <w:tc>
          <w:tcPr>
            <w:tcW w:w="2976" w:type="dxa"/>
            <w:vAlign w:val="center"/>
          </w:tcPr>
          <w:p>
            <w:pPr>
              <w:pStyle w:val="44"/>
              <w:widowControl/>
              <w:shd w:val="clear" w:color="auto" w:fill="FFFFFF"/>
              <w:spacing w:before="24" w:after="24" w:line="240" w:lineRule="auto"/>
              <w:ind w:firstLine="0" w:firstLineChars="0"/>
              <w:rPr>
                <w:rFonts w:eastAsia="宋体"/>
                <w:sz w:val="21"/>
              </w:rPr>
            </w:pPr>
            <w:r>
              <w:rPr>
                <w:rFonts w:hint="eastAsia" w:eastAsia="宋体"/>
                <w:sz w:val="21"/>
              </w:rPr>
              <w:t>严格管控类农用地管控要求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安全利用类农用地管控要求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污染地块管控要求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园区环境风险防控要求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1、危险化学品仓库、生产车间尽量远离地表水沿岸布设；2、其他执行乐山市工业重点管控单元普适性总体准入要求。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企业环境风险防控要求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执行乐山市工业重点管控单元普适性总体准入要求。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其他环境风险防控要求</w:t>
            </w:r>
          </w:p>
          <w:p>
            <w:pPr>
              <w:rPr>
                <w:rFonts w:cs="宋体"/>
                <w:bCs/>
                <w:color w:val="000000"/>
                <w:kern w:val="0"/>
                <w:szCs w:val="21"/>
              </w:rPr>
            </w:pPr>
            <w:r>
              <w:rPr>
                <w:rFonts w:hint="eastAsia"/>
                <w:szCs w:val="21"/>
              </w:rPr>
              <w:t>执行乐山市工业重点管控单元普适性总体准入要求。</w:t>
            </w:r>
          </w:p>
        </w:tc>
        <w:tc>
          <w:tcPr>
            <w:tcW w:w="1746" w:type="dxa"/>
            <w:vAlign w:val="center"/>
          </w:tcPr>
          <w:p>
            <w:pPr>
              <w:jc w:val="center"/>
              <w:rPr>
                <w:szCs w:val="21"/>
              </w:rPr>
            </w:pPr>
            <w:r>
              <w:rPr>
                <w:rFonts w:hint="eastAsia"/>
                <w:szCs w:val="21"/>
              </w:rPr>
              <w:t>本项目为新建沙石加工项目，不涉及危险化学品的使用，满足</w:t>
            </w:r>
            <w:r>
              <w:rPr>
                <w:rFonts w:hint="eastAsia"/>
              </w:rPr>
              <w:t>乐山市工业重点管控单元普适性总体准入要求。</w:t>
            </w:r>
          </w:p>
        </w:tc>
        <w:tc>
          <w:tcPr>
            <w:tcW w:w="917" w:type="dxa"/>
            <w:vAlign w:val="center"/>
          </w:tcPr>
          <w:p>
            <w:pPr>
              <w:jc w:val="center"/>
              <w:rPr>
                <w:szCs w:val="21"/>
              </w:rPr>
            </w:pPr>
            <w:r>
              <w:rPr>
                <w:rFonts w:hint="eastAsia"/>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jc w:val="center"/>
              <w:rPr>
                <w:rFonts w:cs="宋体"/>
                <w:bCs/>
                <w:color w:val="000000"/>
                <w:kern w:val="0"/>
                <w:szCs w:val="21"/>
              </w:rPr>
            </w:pPr>
            <w:r>
              <w:rPr>
                <w:rFonts w:hint="eastAsia"/>
                <w:szCs w:val="21"/>
              </w:rPr>
              <w:t>资源开发效率要求</w:t>
            </w:r>
          </w:p>
        </w:tc>
        <w:tc>
          <w:tcPr>
            <w:tcW w:w="2976" w:type="dxa"/>
            <w:vAlign w:val="center"/>
          </w:tcPr>
          <w:p>
            <w:pPr>
              <w:pStyle w:val="44"/>
              <w:widowControl/>
              <w:shd w:val="clear" w:color="auto" w:fill="FFFFFF"/>
              <w:spacing w:before="24" w:after="24" w:line="240" w:lineRule="auto"/>
              <w:ind w:firstLine="0" w:firstLineChars="0"/>
              <w:rPr>
                <w:rFonts w:eastAsia="宋体"/>
                <w:sz w:val="21"/>
              </w:rPr>
            </w:pPr>
            <w:r>
              <w:rPr>
                <w:rFonts w:hint="eastAsia" w:eastAsia="宋体"/>
                <w:sz w:val="21"/>
              </w:rPr>
              <w:t>水资源利用效率要求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执行乐山市工业重点管控单元普适性总体准入要求。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地下水开采要求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能源利用效率要求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1、严格控制新（改、扩）建耗煤项目，新增耗煤项目实行现有煤炭消耗减量倍量替代；2、禁燃区内禁止审批（核准、备案）、新建、扩建燃用高污染燃料的锅炉、炉窑等各类燃用高污染燃料的设施；3、其他执行乐山市工业重点管控单元普适性总体准入要求。</w:t>
            </w:r>
          </w:p>
          <w:p>
            <w:pPr>
              <w:rPr>
                <w:rFonts w:cs="宋体"/>
                <w:bCs/>
                <w:color w:val="000000"/>
                <w:kern w:val="0"/>
                <w:szCs w:val="21"/>
              </w:rPr>
            </w:pPr>
            <w:r>
              <w:rPr>
                <w:rFonts w:hint="eastAsia"/>
                <w:szCs w:val="21"/>
              </w:rPr>
              <w:t>其他资源利用效率要求</w:t>
            </w:r>
          </w:p>
        </w:tc>
        <w:tc>
          <w:tcPr>
            <w:tcW w:w="1746" w:type="dxa"/>
            <w:vAlign w:val="center"/>
          </w:tcPr>
          <w:p>
            <w:pPr>
              <w:jc w:val="center"/>
              <w:rPr>
                <w:szCs w:val="21"/>
              </w:rPr>
            </w:pPr>
            <w:r>
              <w:rPr>
                <w:rFonts w:hint="eastAsia"/>
                <w:szCs w:val="21"/>
              </w:rPr>
              <w:t>本项目为新建沙石加工项目，不涉及地下水开采，项目生产全部采用电能，不燃煤，不建设锅炉和炉窑。满足</w:t>
            </w:r>
            <w:r>
              <w:rPr>
                <w:rFonts w:hint="eastAsia"/>
              </w:rPr>
              <w:t>乐山市工业重点管控单元普适性总体准入要求。</w:t>
            </w:r>
          </w:p>
        </w:tc>
        <w:tc>
          <w:tcPr>
            <w:tcW w:w="917" w:type="dxa"/>
            <w:vAlign w:val="center"/>
          </w:tcPr>
          <w:p>
            <w:pPr>
              <w:jc w:val="center"/>
              <w:rPr>
                <w:szCs w:val="21"/>
              </w:rPr>
            </w:pPr>
            <w:r>
              <w:rPr>
                <w:rFonts w:hint="eastAsia"/>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pPr>
              <w:wordWrap w:val="0"/>
              <w:jc w:val="center"/>
              <w:rPr>
                <w:szCs w:val="21"/>
              </w:rPr>
            </w:pPr>
            <w:r>
              <w:rPr>
                <w:rFonts w:hint="eastAsia"/>
                <w:szCs w:val="21"/>
              </w:rPr>
              <w:t>大渡河沙湾区安谷电站大坝控制单元</w:t>
            </w:r>
          </w:p>
          <w:p>
            <w:pPr>
              <w:wordWrap w:val="0"/>
              <w:jc w:val="center"/>
              <w:rPr>
                <w:rFonts w:cs="宋体"/>
                <w:b/>
                <w:bCs/>
                <w:color w:val="000000"/>
                <w:kern w:val="0"/>
                <w:szCs w:val="21"/>
              </w:rPr>
            </w:pPr>
            <w:r>
              <w:rPr>
                <w:rFonts w:hint="eastAsia"/>
                <w:szCs w:val="21"/>
              </w:rPr>
              <w:t>YS5111112210017</w:t>
            </w:r>
          </w:p>
        </w:tc>
        <w:tc>
          <w:tcPr>
            <w:tcW w:w="5387" w:type="dxa"/>
            <w:vMerge w:val="restart"/>
          </w:tcPr>
          <w:p>
            <w:pPr>
              <w:pStyle w:val="44"/>
              <w:ind w:firstLine="0" w:firstLineChars="0"/>
              <w:rPr>
                <w:rFonts w:eastAsia="宋体" w:cs="宋体"/>
                <w:color w:val="000000"/>
                <w:kern w:val="0"/>
                <w:sz w:val="21"/>
              </w:rPr>
            </w:pPr>
            <w:r>
              <w:rPr>
                <w:rFonts w:hint="eastAsia" w:eastAsia="宋体" w:cs="宋体"/>
                <w:color w:val="000000"/>
                <w:kern w:val="0"/>
                <w:sz w:val="21"/>
              </w:rPr>
              <w:t>空间布局约束：</w:t>
            </w:r>
          </w:p>
          <w:p>
            <w:pPr>
              <w:pStyle w:val="44"/>
              <w:ind w:firstLine="0" w:firstLineChars="0"/>
              <w:rPr>
                <w:rFonts w:eastAsia="宋体" w:cs="宋体"/>
                <w:color w:val="000000"/>
                <w:kern w:val="0"/>
                <w:sz w:val="21"/>
              </w:rPr>
            </w:pPr>
            <w:r>
              <w:rPr>
                <w:rFonts w:hint="eastAsia" w:eastAsia="宋体" w:cs="宋体"/>
                <w:color w:val="000000"/>
                <w:kern w:val="0"/>
                <w:sz w:val="21"/>
              </w:rPr>
              <w:t>禁止开发建设活动的要求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限制开发建设活动的要求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不符合空间布局要求活动的退出要求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其他空间布局约束要求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污染物排放管控：</w:t>
            </w:r>
          </w:p>
          <w:p>
            <w:pPr>
              <w:pStyle w:val="44"/>
              <w:ind w:firstLine="0" w:firstLineChars="0"/>
              <w:rPr>
                <w:rFonts w:eastAsia="宋体" w:cs="宋体"/>
                <w:color w:val="000000"/>
                <w:kern w:val="0"/>
                <w:sz w:val="21"/>
              </w:rPr>
            </w:pPr>
            <w:r>
              <w:rPr>
                <w:rFonts w:hint="eastAsia" w:eastAsia="宋体" w:cs="宋体"/>
                <w:color w:val="000000"/>
                <w:kern w:val="0"/>
                <w:sz w:val="21"/>
              </w:rPr>
              <w:t>允许排放量要求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现有源提标升级改造</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其他污染物排放管控要求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环境风险防控：</w:t>
            </w:r>
          </w:p>
          <w:p>
            <w:pPr>
              <w:pStyle w:val="44"/>
              <w:ind w:firstLine="0" w:firstLineChars="0"/>
              <w:rPr>
                <w:rFonts w:eastAsia="宋体" w:cs="宋体"/>
                <w:color w:val="000000"/>
                <w:kern w:val="0"/>
                <w:sz w:val="21"/>
              </w:rPr>
            </w:pPr>
            <w:r>
              <w:rPr>
                <w:rFonts w:hint="eastAsia" w:eastAsia="宋体" w:cs="宋体"/>
                <w:color w:val="000000"/>
                <w:kern w:val="0"/>
                <w:sz w:val="21"/>
              </w:rPr>
              <w:t>联防联控要求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其他环境风险防控要求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资源开发利用效率要求：</w:t>
            </w:r>
          </w:p>
          <w:p>
            <w:pPr>
              <w:pStyle w:val="44"/>
              <w:ind w:firstLine="0" w:firstLineChars="0"/>
              <w:rPr>
                <w:rFonts w:eastAsia="宋体" w:cs="宋体"/>
                <w:color w:val="000000"/>
                <w:kern w:val="0"/>
                <w:sz w:val="21"/>
              </w:rPr>
            </w:pPr>
            <w:r>
              <w:rPr>
                <w:rFonts w:hint="eastAsia" w:eastAsia="宋体" w:cs="宋体"/>
                <w:color w:val="000000"/>
                <w:kern w:val="0"/>
                <w:sz w:val="21"/>
              </w:rPr>
              <w:t>水资源利用总量要求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地下水开采要求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能源利用总量及效率要求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禁燃区要求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p>
            <w:pPr>
              <w:pStyle w:val="44"/>
              <w:ind w:firstLine="0" w:firstLineChars="0"/>
              <w:rPr>
                <w:rFonts w:eastAsia="宋体" w:cs="宋体"/>
                <w:color w:val="000000"/>
                <w:kern w:val="0"/>
                <w:sz w:val="21"/>
              </w:rPr>
            </w:pPr>
            <w:r>
              <w:rPr>
                <w:rFonts w:hint="eastAsia" w:eastAsia="宋体" w:cs="宋体"/>
                <w:color w:val="000000"/>
                <w:kern w:val="0"/>
                <w:sz w:val="21"/>
              </w:rPr>
              <w:t>其他资源利用效率要求</w:t>
            </w:r>
          </w:p>
          <w:p>
            <w:pPr>
              <w:pStyle w:val="44"/>
              <w:ind w:firstLine="0" w:firstLineChars="0"/>
              <w:rPr>
                <w:rFonts w:eastAsia="宋体" w:cs="宋体"/>
                <w:color w:val="000000"/>
                <w:kern w:val="0"/>
                <w:sz w:val="21"/>
              </w:rPr>
            </w:pPr>
            <w:r>
              <w:rPr>
                <w:rFonts w:hint="eastAsia" w:eastAsia="宋体" w:cs="宋体"/>
                <w:color w:val="000000"/>
                <w:kern w:val="0"/>
                <w:sz w:val="21"/>
              </w:rPr>
              <w:t>暂无</w:t>
            </w:r>
          </w:p>
        </w:tc>
        <w:tc>
          <w:tcPr>
            <w:tcW w:w="1276" w:type="dxa"/>
            <w:vAlign w:val="center"/>
          </w:tcPr>
          <w:p>
            <w:pPr>
              <w:jc w:val="center"/>
              <w:rPr>
                <w:rFonts w:cs="宋体"/>
                <w:bCs/>
                <w:color w:val="000000"/>
                <w:kern w:val="0"/>
                <w:szCs w:val="21"/>
              </w:rPr>
            </w:pPr>
            <w:r>
              <w:rPr>
                <w:rFonts w:hint="eastAsia"/>
                <w:szCs w:val="21"/>
              </w:rPr>
              <w:t>空间布局约束</w:t>
            </w:r>
          </w:p>
        </w:tc>
        <w:tc>
          <w:tcPr>
            <w:tcW w:w="2976" w:type="dxa"/>
            <w:vAlign w:val="center"/>
          </w:tcPr>
          <w:p>
            <w:pPr>
              <w:pStyle w:val="44"/>
              <w:widowControl/>
              <w:shd w:val="clear" w:color="auto" w:fill="FFFFFF"/>
              <w:spacing w:line="240" w:lineRule="auto"/>
              <w:ind w:firstLine="0" w:firstLineChars="0"/>
              <w:rPr>
                <w:rFonts w:eastAsia="宋体"/>
                <w:sz w:val="21"/>
              </w:rPr>
            </w:pPr>
            <w:r>
              <w:rPr>
                <w:rFonts w:hint="eastAsia" w:eastAsia="宋体"/>
                <w:sz w:val="21"/>
              </w:rPr>
              <w:t>禁止开发建设活动的要求</w:t>
            </w:r>
          </w:p>
          <w:p>
            <w:pPr>
              <w:pStyle w:val="44"/>
              <w:widowControl/>
              <w:shd w:val="clear" w:color="auto" w:fill="FFFFFF"/>
              <w:spacing w:line="240" w:lineRule="auto"/>
              <w:ind w:firstLine="0" w:firstLineChars="0"/>
              <w:rPr>
                <w:rFonts w:eastAsia="宋体"/>
                <w:sz w:val="21"/>
              </w:rPr>
            </w:pPr>
            <w:r>
              <w:rPr>
                <w:rFonts w:hint="eastAsia" w:eastAsia="宋体"/>
                <w:sz w:val="21"/>
              </w:rPr>
              <w:t>限制开发建设活动的要求</w:t>
            </w:r>
          </w:p>
          <w:p>
            <w:pPr>
              <w:pStyle w:val="44"/>
              <w:widowControl/>
              <w:shd w:val="clear" w:color="auto" w:fill="FFFFFF"/>
              <w:spacing w:line="240" w:lineRule="auto"/>
              <w:ind w:firstLine="0" w:firstLineChars="0"/>
              <w:rPr>
                <w:rFonts w:eastAsia="宋体"/>
                <w:sz w:val="21"/>
              </w:rPr>
            </w:pPr>
            <w:r>
              <w:rPr>
                <w:rFonts w:hint="eastAsia" w:eastAsia="宋体"/>
                <w:sz w:val="21"/>
              </w:rPr>
              <w:t>允许开发建设活动的要求</w:t>
            </w:r>
          </w:p>
          <w:p>
            <w:pPr>
              <w:pStyle w:val="44"/>
              <w:widowControl/>
              <w:shd w:val="clear" w:color="auto" w:fill="FFFFFF"/>
              <w:spacing w:line="240" w:lineRule="auto"/>
              <w:ind w:firstLine="0" w:firstLineChars="0"/>
              <w:rPr>
                <w:rFonts w:eastAsia="宋体"/>
                <w:sz w:val="21"/>
              </w:rPr>
            </w:pPr>
            <w:r>
              <w:rPr>
                <w:rFonts w:hint="eastAsia" w:eastAsia="宋体"/>
                <w:sz w:val="21"/>
              </w:rPr>
              <w:t>不符合空间布局要求活动的退出要求</w:t>
            </w:r>
          </w:p>
          <w:p>
            <w:pPr>
              <w:pStyle w:val="44"/>
              <w:widowControl/>
              <w:shd w:val="clear" w:color="auto" w:fill="FFFFFF"/>
              <w:spacing w:line="240" w:lineRule="auto"/>
              <w:ind w:firstLine="0" w:firstLineChars="0"/>
              <w:rPr>
                <w:rFonts w:eastAsia="宋体"/>
                <w:sz w:val="21"/>
              </w:rPr>
            </w:pPr>
            <w:r>
              <w:rPr>
                <w:rFonts w:hint="eastAsia" w:eastAsia="宋体"/>
                <w:sz w:val="21"/>
              </w:rPr>
              <w:t>其他空间布局约束要求</w:t>
            </w:r>
          </w:p>
        </w:tc>
        <w:tc>
          <w:tcPr>
            <w:tcW w:w="1746" w:type="dxa"/>
            <w:vAlign w:val="center"/>
          </w:tcPr>
          <w:p>
            <w:pPr>
              <w:jc w:val="center"/>
              <w:rPr>
                <w:szCs w:val="21"/>
              </w:rPr>
            </w:pPr>
            <w:r>
              <w:rPr>
                <w:rFonts w:hint="eastAsia"/>
                <w:szCs w:val="21"/>
              </w:rPr>
              <w:t>/</w:t>
            </w:r>
          </w:p>
        </w:tc>
        <w:tc>
          <w:tcPr>
            <w:tcW w:w="917" w:type="dxa"/>
            <w:vAlign w:val="center"/>
          </w:tcPr>
          <w:p>
            <w:pPr>
              <w:jc w:val="center"/>
              <w:rPr>
                <w:szCs w:val="21"/>
              </w:rPr>
            </w:pPr>
            <w:r>
              <w:rPr>
                <w:rFonts w:hint="eastAsia"/>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pStyle w:val="44"/>
              <w:widowControl/>
              <w:spacing w:line="240" w:lineRule="auto"/>
              <w:ind w:firstLine="0" w:firstLineChars="0"/>
              <w:jc w:val="center"/>
              <w:rPr>
                <w:rFonts w:eastAsia="宋体"/>
                <w:sz w:val="21"/>
              </w:rPr>
            </w:pPr>
            <w:r>
              <w:rPr>
                <w:rFonts w:hint="eastAsia" w:eastAsia="宋体"/>
                <w:sz w:val="21"/>
              </w:rPr>
              <w:t>污染物排放管控</w:t>
            </w:r>
          </w:p>
        </w:tc>
        <w:tc>
          <w:tcPr>
            <w:tcW w:w="2976" w:type="dxa"/>
            <w:vAlign w:val="center"/>
          </w:tcPr>
          <w:p>
            <w:pPr>
              <w:pStyle w:val="44"/>
              <w:widowControl/>
              <w:shd w:val="clear" w:color="auto" w:fill="FFFFFF"/>
              <w:spacing w:before="24" w:after="24" w:line="240" w:lineRule="auto"/>
              <w:ind w:firstLine="0" w:firstLineChars="0"/>
              <w:rPr>
                <w:rFonts w:eastAsia="宋体"/>
                <w:sz w:val="21"/>
              </w:rPr>
            </w:pPr>
            <w:r>
              <w:rPr>
                <w:rFonts w:hint="eastAsia" w:eastAsia="宋体"/>
                <w:sz w:val="21"/>
              </w:rPr>
              <w:t>城镇污水污染控制措施要求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工业废水污染控制措施要求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严格落实排污许可制度，持证排污，达标排放；强化工业企业储存危险化学品监管，完善储存防护设施；加快布局分散的企业向园区集中；推进工业园区“零直排区”建设，加强企业废水预处理和排水管理，严格执行污水处理厂接管标准。</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农业面源水污染控制措施要求</w:t>
            </w:r>
          </w:p>
          <w:p>
            <w:pPr>
              <w:pStyle w:val="44"/>
              <w:widowControl/>
              <w:shd w:val="clear" w:color="auto" w:fill="FFFFFF"/>
              <w:spacing w:before="24" w:after="24" w:line="240" w:lineRule="auto"/>
              <w:ind w:firstLine="0" w:firstLineChars="0"/>
              <w:rPr>
                <w:rFonts w:eastAsia="宋体"/>
                <w:sz w:val="21"/>
              </w:rPr>
            </w:pPr>
            <w:r>
              <w:rPr>
                <w:rFonts w:hint="eastAsia" w:eastAsia="宋体"/>
                <w:sz w:val="21"/>
              </w:rPr>
              <w:t>船舶港口水污染控制措施要求</w:t>
            </w:r>
          </w:p>
          <w:p>
            <w:pPr>
              <w:rPr>
                <w:rFonts w:cs="宋体"/>
                <w:bCs/>
                <w:color w:val="000000"/>
                <w:kern w:val="0"/>
                <w:szCs w:val="21"/>
              </w:rPr>
            </w:pPr>
            <w:r>
              <w:rPr>
                <w:rFonts w:hint="eastAsia"/>
                <w:szCs w:val="21"/>
              </w:rPr>
              <w:t>饮用水水源和其它特殊水体保护要求</w:t>
            </w:r>
          </w:p>
        </w:tc>
        <w:tc>
          <w:tcPr>
            <w:tcW w:w="1746" w:type="dxa"/>
            <w:vAlign w:val="center"/>
          </w:tcPr>
          <w:p>
            <w:pPr>
              <w:jc w:val="center"/>
              <w:rPr>
                <w:szCs w:val="21"/>
              </w:rPr>
            </w:pPr>
            <w:r>
              <w:rPr>
                <w:rFonts w:hint="eastAsia"/>
                <w:szCs w:val="21"/>
              </w:rPr>
              <w:t>本项目为新建沙石加工项目，项目不涉及危险化学品的使用；项目生产车间实行全封闭，搭配洒水降尘措施，使颗粒物无组织排放控制在可控范围内；项目生产废水全部回用于生产，不外排。</w:t>
            </w:r>
          </w:p>
        </w:tc>
        <w:tc>
          <w:tcPr>
            <w:tcW w:w="917" w:type="dxa"/>
            <w:vAlign w:val="center"/>
          </w:tcPr>
          <w:p>
            <w:pPr>
              <w:jc w:val="center"/>
              <w:rPr>
                <w:szCs w:val="21"/>
              </w:rPr>
            </w:pPr>
            <w:r>
              <w:rPr>
                <w:rFonts w:hint="eastAsia"/>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jc w:val="center"/>
              <w:rPr>
                <w:rFonts w:cs="宋体"/>
                <w:bCs/>
                <w:color w:val="000000"/>
                <w:kern w:val="0"/>
                <w:szCs w:val="21"/>
              </w:rPr>
            </w:pPr>
            <w:r>
              <w:rPr>
                <w:rFonts w:hint="eastAsia"/>
                <w:szCs w:val="21"/>
              </w:rPr>
              <w:t>环境风险防控</w:t>
            </w:r>
          </w:p>
        </w:tc>
        <w:tc>
          <w:tcPr>
            <w:tcW w:w="2976" w:type="dxa"/>
            <w:vMerge w:val="restart"/>
            <w:vAlign w:val="center"/>
          </w:tcPr>
          <w:p>
            <w:pPr>
              <w:jc w:val="center"/>
              <w:rPr>
                <w:rFonts w:cs="宋体"/>
                <w:bCs/>
                <w:color w:val="000000"/>
                <w:kern w:val="0"/>
                <w:szCs w:val="21"/>
              </w:rPr>
            </w:pPr>
            <w:r>
              <w:rPr>
                <w:rFonts w:hint="eastAsia" w:cs="宋体"/>
                <w:bCs/>
                <w:color w:val="000000"/>
                <w:kern w:val="0"/>
                <w:szCs w:val="21"/>
              </w:rPr>
              <w:t>/</w:t>
            </w:r>
          </w:p>
        </w:tc>
        <w:tc>
          <w:tcPr>
            <w:tcW w:w="1746" w:type="dxa"/>
            <w:vMerge w:val="restart"/>
            <w:vAlign w:val="center"/>
          </w:tcPr>
          <w:p>
            <w:pPr>
              <w:jc w:val="center"/>
              <w:rPr>
                <w:szCs w:val="21"/>
              </w:rPr>
            </w:pPr>
            <w:r>
              <w:rPr>
                <w:rFonts w:hint="eastAsia"/>
                <w:szCs w:val="21"/>
              </w:rPr>
              <w:t>/</w:t>
            </w:r>
          </w:p>
        </w:tc>
        <w:tc>
          <w:tcPr>
            <w:tcW w:w="917" w:type="dxa"/>
            <w:vMerge w:val="restart"/>
            <w:vAlign w:val="center"/>
          </w:tcPr>
          <w:p>
            <w:pPr>
              <w:jc w:val="center"/>
              <w:rPr>
                <w:szCs w:val="21"/>
              </w:rPr>
            </w:pPr>
            <w:r>
              <w:rPr>
                <w:rFonts w:hint="eastAsia"/>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jc w:val="center"/>
              <w:rPr>
                <w:rFonts w:cs="宋体"/>
                <w:bCs/>
                <w:color w:val="000000"/>
                <w:kern w:val="0"/>
                <w:szCs w:val="21"/>
              </w:rPr>
            </w:pPr>
            <w:r>
              <w:rPr>
                <w:rFonts w:hint="eastAsia"/>
                <w:szCs w:val="21"/>
              </w:rPr>
              <w:t>资源开发效率要求</w:t>
            </w:r>
          </w:p>
        </w:tc>
        <w:tc>
          <w:tcPr>
            <w:tcW w:w="2976" w:type="dxa"/>
            <w:vMerge w:val="continue"/>
            <w:vAlign w:val="center"/>
          </w:tcPr>
          <w:p>
            <w:pPr>
              <w:jc w:val="center"/>
              <w:rPr>
                <w:rFonts w:cs="宋体"/>
                <w:bCs/>
                <w:color w:val="000000"/>
                <w:kern w:val="0"/>
                <w:szCs w:val="21"/>
              </w:rPr>
            </w:pPr>
          </w:p>
        </w:tc>
        <w:tc>
          <w:tcPr>
            <w:tcW w:w="1746" w:type="dxa"/>
            <w:vMerge w:val="continue"/>
            <w:vAlign w:val="center"/>
          </w:tcPr>
          <w:p>
            <w:pPr>
              <w:jc w:val="center"/>
              <w:rPr>
                <w:szCs w:val="21"/>
              </w:rPr>
            </w:pPr>
          </w:p>
        </w:tc>
        <w:tc>
          <w:tcPr>
            <w:tcW w:w="917" w:type="dxa"/>
            <w:vMerge w:val="continue"/>
            <w:vAlign w:val="center"/>
          </w:tcPr>
          <w:p>
            <w:pPr>
              <w:jc w:val="center"/>
              <w:rPr>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pPr>
              <w:jc w:val="center"/>
              <w:rPr>
                <w:szCs w:val="21"/>
              </w:rPr>
            </w:pPr>
            <w:r>
              <w:rPr>
                <w:rFonts w:hint="eastAsia"/>
                <w:szCs w:val="21"/>
              </w:rPr>
              <w:t>四川乐山沙湾经济开发区</w:t>
            </w:r>
          </w:p>
          <w:p>
            <w:pPr>
              <w:wordWrap w:val="0"/>
              <w:jc w:val="center"/>
              <w:rPr>
                <w:rFonts w:cs="宋体"/>
                <w:b/>
                <w:bCs/>
                <w:color w:val="000000"/>
                <w:kern w:val="0"/>
                <w:szCs w:val="21"/>
              </w:rPr>
            </w:pPr>
            <w:r>
              <w:rPr>
                <w:rFonts w:hint="eastAsia"/>
                <w:szCs w:val="21"/>
              </w:rPr>
              <w:t>YS5111112310002</w:t>
            </w:r>
          </w:p>
        </w:tc>
        <w:tc>
          <w:tcPr>
            <w:tcW w:w="5387" w:type="dxa"/>
            <w:vMerge w:val="continue"/>
            <w:vAlign w:val="center"/>
          </w:tcPr>
          <w:p>
            <w:pPr>
              <w:jc w:val="center"/>
              <w:rPr>
                <w:rFonts w:cs="宋体"/>
                <w:bCs/>
                <w:color w:val="000000"/>
                <w:kern w:val="0"/>
                <w:szCs w:val="21"/>
              </w:rPr>
            </w:pPr>
          </w:p>
        </w:tc>
        <w:tc>
          <w:tcPr>
            <w:tcW w:w="1276" w:type="dxa"/>
            <w:vAlign w:val="center"/>
          </w:tcPr>
          <w:p>
            <w:pPr>
              <w:jc w:val="center"/>
              <w:rPr>
                <w:rFonts w:cs="宋体"/>
                <w:bCs/>
                <w:color w:val="000000"/>
                <w:kern w:val="0"/>
                <w:szCs w:val="21"/>
              </w:rPr>
            </w:pPr>
            <w:r>
              <w:rPr>
                <w:rFonts w:hint="eastAsia"/>
                <w:szCs w:val="21"/>
              </w:rPr>
              <w:t>空间布局约束</w:t>
            </w:r>
          </w:p>
        </w:tc>
        <w:tc>
          <w:tcPr>
            <w:tcW w:w="2976" w:type="dxa"/>
            <w:vAlign w:val="center"/>
          </w:tcPr>
          <w:p>
            <w:pPr>
              <w:pStyle w:val="44"/>
              <w:widowControl/>
              <w:shd w:val="clear" w:color="auto" w:fill="FFFFFF"/>
              <w:spacing w:line="240" w:lineRule="auto"/>
              <w:ind w:firstLine="0" w:firstLineChars="0"/>
              <w:jc w:val="left"/>
              <w:rPr>
                <w:rFonts w:eastAsia="宋体"/>
                <w:sz w:val="21"/>
              </w:rPr>
            </w:pPr>
            <w:r>
              <w:rPr>
                <w:rFonts w:hint="eastAsia" w:eastAsia="宋体"/>
                <w:sz w:val="21"/>
              </w:rPr>
              <w:t>禁止开发建设活动的要求</w:t>
            </w:r>
          </w:p>
          <w:p>
            <w:pPr>
              <w:pStyle w:val="44"/>
              <w:widowControl/>
              <w:shd w:val="clear" w:color="auto" w:fill="FFFFFF"/>
              <w:spacing w:line="240" w:lineRule="auto"/>
              <w:ind w:firstLine="0" w:firstLineChars="0"/>
              <w:jc w:val="left"/>
              <w:rPr>
                <w:rFonts w:eastAsia="宋体"/>
                <w:sz w:val="21"/>
              </w:rPr>
            </w:pPr>
            <w:r>
              <w:rPr>
                <w:rFonts w:hint="eastAsia" w:eastAsia="宋体"/>
                <w:sz w:val="21"/>
              </w:rPr>
              <w:t>限制开发建设活动的要求</w:t>
            </w:r>
          </w:p>
          <w:p>
            <w:pPr>
              <w:pStyle w:val="44"/>
              <w:widowControl/>
              <w:shd w:val="clear" w:color="auto" w:fill="FFFFFF"/>
              <w:spacing w:line="240" w:lineRule="auto"/>
              <w:ind w:firstLine="0" w:firstLineChars="0"/>
              <w:jc w:val="left"/>
              <w:rPr>
                <w:rFonts w:eastAsia="宋体"/>
                <w:sz w:val="21"/>
              </w:rPr>
            </w:pPr>
            <w:r>
              <w:rPr>
                <w:rFonts w:hint="eastAsia" w:eastAsia="宋体"/>
                <w:sz w:val="21"/>
              </w:rPr>
              <w:t>允许开发建设活动的要求</w:t>
            </w:r>
          </w:p>
          <w:p>
            <w:pPr>
              <w:pStyle w:val="44"/>
              <w:widowControl/>
              <w:shd w:val="clear" w:color="auto" w:fill="FFFFFF"/>
              <w:spacing w:line="240" w:lineRule="auto"/>
              <w:ind w:firstLine="0" w:firstLineChars="0"/>
              <w:jc w:val="left"/>
              <w:rPr>
                <w:rFonts w:eastAsia="宋体"/>
                <w:sz w:val="21"/>
              </w:rPr>
            </w:pPr>
            <w:r>
              <w:rPr>
                <w:rFonts w:hint="eastAsia" w:eastAsia="宋体"/>
                <w:sz w:val="21"/>
              </w:rPr>
              <w:t>不符合空间布局要求活动的退出要求</w:t>
            </w:r>
          </w:p>
          <w:p>
            <w:pPr>
              <w:rPr>
                <w:rFonts w:cs="宋体"/>
                <w:bCs/>
                <w:color w:val="000000"/>
                <w:kern w:val="0"/>
                <w:szCs w:val="21"/>
              </w:rPr>
            </w:pPr>
            <w:r>
              <w:rPr>
                <w:rFonts w:hint="eastAsia"/>
                <w:szCs w:val="21"/>
              </w:rPr>
              <w:t>其他空间布局约束要求</w:t>
            </w:r>
          </w:p>
        </w:tc>
        <w:tc>
          <w:tcPr>
            <w:tcW w:w="1746" w:type="dxa"/>
            <w:vAlign w:val="center"/>
          </w:tcPr>
          <w:p>
            <w:pPr>
              <w:jc w:val="center"/>
              <w:rPr>
                <w:szCs w:val="21"/>
              </w:rPr>
            </w:pPr>
            <w:r>
              <w:rPr>
                <w:rFonts w:hint="eastAsia"/>
                <w:szCs w:val="21"/>
              </w:rPr>
              <w:t>/</w:t>
            </w:r>
          </w:p>
        </w:tc>
        <w:tc>
          <w:tcPr>
            <w:tcW w:w="917" w:type="dxa"/>
            <w:vAlign w:val="center"/>
          </w:tcPr>
          <w:p>
            <w:pPr>
              <w:jc w:val="center"/>
              <w:rPr>
                <w:szCs w:val="21"/>
              </w:rPr>
            </w:pPr>
            <w:r>
              <w:rPr>
                <w:rFonts w:hint="eastAsia"/>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pStyle w:val="44"/>
              <w:widowControl/>
              <w:spacing w:line="240" w:lineRule="auto"/>
              <w:ind w:firstLine="0" w:firstLineChars="0"/>
              <w:jc w:val="center"/>
              <w:rPr>
                <w:rFonts w:eastAsia="宋体"/>
                <w:sz w:val="21"/>
              </w:rPr>
            </w:pPr>
            <w:r>
              <w:rPr>
                <w:rFonts w:hint="eastAsia" w:eastAsia="宋体"/>
                <w:sz w:val="21"/>
              </w:rPr>
              <w:t>污染物排放管控</w:t>
            </w:r>
          </w:p>
        </w:tc>
        <w:tc>
          <w:tcPr>
            <w:tcW w:w="2976" w:type="dxa"/>
            <w:vAlign w:val="center"/>
          </w:tcPr>
          <w:p>
            <w:pPr>
              <w:pStyle w:val="44"/>
              <w:widowControl/>
              <w:shd w:val="clear" w:color="auto" w:fill="FFFFFF"/>
              <w:spacing w:line="240" w:lineRule="auto"/>
              <w:ind w:firstLine="0" w:firstLineChars="0"/>
              <w:rPr>
                <w:rFonts w:eastAsia="宋体"/>
                <w:sz w:val="21"/>
              </w:rPr>
            </w:pPr>
            <w:r>
              <w:rPr>
                <w:rFonts w:hint="eastAsia" w:eastAsia="宋体"/>
                <w:sz w:val="21"/>
              </w:rPr>
              <w:t>大气环境质量执行标准</w:t>
            </w:r>
          </w:p>
          <w:p>
            <w:pPr>
              <w:pStyle w:val="44"/>
              <w:widowControl/>
              <w:shd w:val="clear" w:color="auto" w:fill="FFFFFF"/>
              <w:spacing w:line="240" w:lineRule="auto"/>
              <w:ind w:firstLine="0" w:firstLineChars="0"/>
              <w:rPr>
                <w:rFonts w:eastAsia="宋体"/>
                <w:sz w:val="21"/>
              </w:rPr>
            </w:pPr>
            <w:r>
              <w:rPr>
                <w:rFonts w:hint="eastAsia" w:eastAsia="宋体"/>
                <w:sz w:val="21"/>
              </w:rPr>
              <w:t>《环境空气质量标准》（GB3095-2012）：二级区域大气污染物削减/替代要求</w:t>
            </w:r>
          </w:p>
          <w:p>
            <w:pPr>
              <w:pStyle w:val="44"/>
              <w:widowControl/>
              <w:shd w:val="clear" w:color="auto" w:fill="FFFFFF"/>
              <w:spacing w:line="240" w:lineRule="auto"/>
              <w:ind w:firstLine="0" w:firstLineChars="0"/>
              <w:rPr>
                <w:rFonts w:eastAsia="宋体"/>
                <w:sz w:val="21"/>
              </w:rPr>
            </w:pPr>
            <w:r>
              <w:rPr>
                <w:rFonts w:hint="eastAsia" w:eastAsia="宋体"/>
                <w:sz w:val="21"/>
              </w:rPr>
              <w:t>新增大气污染物排放的建设项目实施总量削减替代。</w:t>
            </w:r>
          </w:p>
          <w:p>
            <w:pPr>
              <w:pStyle w:val="44"/>
              <w:widowControl/>
              <w:shd w:val="clear" w:color="auto" w:fill="FFFFFF"/>
              <w:spacing w:line="240" w:lineRule="auto"/>
              <w:ind w:firstLine="0" w:firstLineChars="0"/>
              <w:rPr>
                <w:rFonts w:eastAsia="宋体"/>
                <w:sz w:val="21"/>
              </w:rPr>
            </w:pPr>
            <w:r>
              <w:rPr>
                <w:rFonts w:hint="eastAsia" w:eastAsia="宋体"/>
                <w:sz w:val="21"/>
              </w:rPr>
              <w:t>燃煤和其他能源大气污染控制要求</w:t>
            </w:r>
          </w:p>
          <w:p>
            <w:pPr>
              <w:pStyle w:val="44"/>
              <w:widowControl/>
              <w:shd w:val="clear" w:color="auto" w:fill="FFFFFF"/>
              <w:spacing w:line="240" w:lineRule="auto"/>
              <w:ind w:firstLine="0" w:firstLineChars="0"/>
              <w:rPr>
                <w:rFonts w:eastAsia="宋体"/>
                <w:sz w:val="21"/>
              </w:rPr>
            </w:pPr>
            <w:r>
              <w:rPr>
                <w:rFonts w:hint="eastAsia" w:eastAsia="宋体"/>
                <w:sz w:val="21"/>
              </w:rPr>
              <w:t>工业废气污染控制要求</w:t>
            </w:r>
          </w:p>
          <w:p>
            <w:pPr>
              <w:pStyle w:val="44"/>
              <w:widowControl/>
              <w:shd w:val="clear" w:color="auto" w:fill="FFFFFF"/>
              <w:spacing w:line="240" w:lineRule="auto"/>
              <w:ind w:firstLine="0" w:firstLineChars="0"/>
              <w:rPr>
                <w:rFonts w:eastAsia="宋体"/>
                <w:sz w:val="21"/>
              </w:rPr>
            </w:pPr>
            <w:r>
              <w:rPr>
                <w:rFonts w:hint="eastAsia" w:eastAsia="宋体"/>
                <w:sz w:val="21"/>
              </w:rPr>
              <w:t>加强工业无组织排放管控。扎实开展钢铁、建材、化工、火电、焦化、铸造等重点行业和燃煤锅炉无组织排放整治，建立管理台账。对物料（含废渣）运输、装卸、储存、转移与输送以及生产工艺过程等无组织排放实施深度治理。加强园区污染治理。推进园区绿色循环低碳发展。推动园区实施循环化改造。大力推进企业清洁生产。</w:t>
            </w:r>
          </w:p>
          <w:p>
            <w:pPr>
              <w:pStyle w:val="44"/>
              <w:widowControl/>
              <w:shd w:val="clear" w:color="auto" w:fill="FFFFFF"/>
              <w:spacing w:line="240" w:lineRule="auto"/>
              <w:ind w:firstLine="0" w:firstLineChars="0"/>
              <w:rPr>
                <w:rFonts w:eastAsia="宋体"/>
                <w:sz w:val="21"/>
              </w:rPr>
            </w:pPr>
            <w:r>
              <w:rPr>
                <w:rFonts w:hint="eastAsia" w:eastAsia="宋体"/>
                <w:sz w:val="21"/>
              </w:rPr>
              <w:t>机动车船大气污染控制要求</w:t>
            </w:r>
          </w:p>
          <w:p>
            <w:pPr>
              <w:pStyle w:val="44"/>
              <w:widowControl/>
              <w:shd w:val="clear" w:color="auto" w:fill="FFFFFF"/>
              <w:spacing w:line="240" w:lineRule="auto"/>
              <w:ind w:firstLine="0" w:firstLineChars="0"/>
              <w:rPr>
                <w:rFonts w:eastAsia="宋体"/>
                <w:sz w:val="21"/>
              </w:rPr>
            </w:pPr>
            <w:r>
              <w:rPr>
                <w:rFonts w:hint="eastAsia" w:eastAsia="宋体"/>
                <w:sz w:val="21"/>
              </w:rPr>
              <w:t>扬尘污染控制要求</w:t>
            </w:r>
          </w:p>
          <w:p>
            <w:pPr>
              <w:pStyle w:val="44"/>
              <w:widowControl/>
              <w:shd w:val="clear" w:color="auto" w:fill="FFFFFF"/>
              <w:spacing w:line="240" w:lineRule="auto"/>
              <w:ind w:firstLine="0" w:firstLineChars="0"/>
              <w:rPr>
                <w:rFonts w:eastAsia="宋体"/>
                <w:sz w:val="21"/>
              </w:rPr>
            </w:pPr>
            <w:r>
              <w:rPr>
                <w:rFonts w:hint="eastAsia" w:eastAsia="宋体"/>
                <w:sz w:val="21"/>
              </w:rPr>
              <w:t>农业生产经营活动大气污染控制要求</w:t>
            </w:r>
          </w:p>
          <w:p>
            <w:pPr>
              <w:pStyle w:val="44"/>
              <w:widowControl/>
              <w:shd w:val="clear" w:color="auto" w:fill="FFFFFF"/>
              <w:spacing w:line="240" w:lineRule="auto"/>
              <w:ind w:firstLine="0" w:firstLineChars="0"/>
              <w:rPr>
                <w:rFonts w:eastAsia="宋体"/>
                <w:sz w:val="21"/>
              </w:rPr>
            </w:pPr>
            <w:r>
              <w:rPr>
                <w:rFonts w:hint="eastAsia" w:eastAsia="宋体"/>
                <w:sz w:val="21"/>
              </w:rPr>
              <w:t>重点行业企业专项治理要求</w:t>
            </w:r>
          </w:p>
          <w:p>
            <w:pPr>
              <w:pStyle w:val="44"/>
              <w:widowControl/>
              <w:shd w:val="clear" w:color="auto" w:fill="FFFFFF"/>
              <w:spacing w:line="240" w:lineRule="auto"/>
              <w:ind w:firstLine="0" w:firstLineChars="0"/>
              <w:rPr>
                <w:rFonts w:eastAsia="宋体"/>
                <w:sz w:val="21"/>
              </w:rPr>
            </w:pPr>
            <w:r>
              <w:rPr>
                <w:rFonts w:hint="eastAsia" w:eastAsia="宋体"/>
                <w:sz w:val="21"/>
              </w:rPr>
              <w:t>其他大气污染物排放管控要求</w:t>
            </w:r>
          </w:p>
        </w:tc>
        <w:tc>
          <w:tcPr>
            <w:tcW w:w="1746" w:type="dxa"/>
            <w:vAlign w:val="center"/>
          </w:tcPr>
          <w:p>
            <w:pPr>
              <w:jc w:val="center"/>
              <w:rPr>
                <w:szCs w:val="21"/>
              </w:rPr>
            </w:pPr>
            <w:r>
              <w:rPr>
                <w:rFonts w:hint="eastAsia"/>
                <w:szCs w:val="21"/>
              </w:rPr>
              <w:t>本项目为新建沙石加工项目，项目生产车间实行全封闭，搭配洒水降尘措施，使颗粒物无组织排放控制在可控范围内。</w:t>
            </w:r>
          </w:p>
        </w:tc>
        <w:tc>
          <w:tcPr>
            <w:tcW w:w="917" w:type="dxa"/>
            <w:vAlign w:val="center"/>
          </w:tcPr>
          <w:p>
            <w:pPr>
              <w:jc w:val="center"/>
              <w:rPr>
                <w:szCs w:val="21"/>
              </w:rPr>
            </w:pPr>
            <w:r>
              <w:rPr>
                <w:rFonts w:hint="eastAsia"/>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jc w:val="center"/>
              <w:rPr>
                <w:rFonts w:cs="宋体"/>
                <w:bCs/>
                <w:color w:val="000000"/>
                <w:kern w:val="0"/>
                <w:szCs w:val="21"/>
              </w:rPr>
            </w:pPr>
            <w:r>
              <w:rPr>
                <w:rFonts w:hint="eastAsia"/>
                <w:szCs w:val="21"/>
              </w:rPr>
              <w:t>环境风险防控</w:t>
            </w:r>
          </w:p>
        </w:tc>
        <w:tc>
          <w:tcPr>
            <w:tcW w:w="2976" w:type="dxa"/>
            <w:vMerge w:val="restart"/>
            <w:vAlign w:val="center"/>
          </w:tcPr>
          <w:p>
            <w:pPr>
              <w:jc w:val="center"/>
              <w:rPr>
                <w:rFonts w:cs="宋体"/>
                <w:bCs/>
                <w:color w:val="000000"/>
                <w:kern w:val="0"/>
                <w:szCs w:val="21"/>
              </w:rPr>
            </w:pPr>
            <w:r>
              <w:rPr>
                <w:rFonts w:hint="eastAsia" w:cs="宋体"/>
                <w:bCs/>
                <w:color w:val="000000"/>
                <w:kern w:val="0"/>
                <w:szCs w:val="21"/>
              </w:rPr>
              <w:t>/</w:t>
            </w:r>
          </w:p>
        </w:tc>
        <w:tc>
          <w:tcPr>
            <w:tcW w:w="1746" w:type="dxa"/>
            <w:vMerge w:val="restart"/>
            <w:vAlign w:val="center"/>
          </w:tcPr>
          <w:p>
            <w:pPr>
              <w:jc w:val="center"/>
              <w:rPr>
                <w:szCs w:val="21"/>
              </w:rPr>
            </w:pPr>
            <w:r>
              <w:rPr>
                <w:rFonts w:hint="eastAsia"/>
                <w:szCs w:val="21"/>
              </w:rPr>
              <w:t>/</w:t>
            </w:r>
          </w:p>
        </w:tc>
        <w:tc>
          <w:tcPr>
            <w:tcW w:w="917" w:type="dxa"/>
            <w:vMerge w:val="restart"/>
            <w:vAlign w:val="center"/>
          </w:tcPr>
          <w:p>
            <w:pPr>
              <w:jc w:val="center"/>
              <w:rPr>
                <w:szCs w:val="21"/>
              </w:rPr>
            </w:pPr>
            <w:r>
              <w:rPr>
                <w:rFonts w:hint="eastAsia"/>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jc w:val="center"/>
              <w:rPr>
                <w:rFonts w:cs="宋体"/>
                <w:bCs/>
                <w:color w:val="000000"/>
                <w:kern w:val="0"/>
                <w:szCs w:val="21"/>
              </w:rPr>
            </w:pPr>
            <w:r>
              <w:rPr>
                <w:rFonts w:hint="eastAsia"/>
                <w:szCs w:val="21"/>
              </w:rPr>
              <w:t>资源开发效率要求</w:t>
            </w:r>
          </w:p>
        </w:tc>
        <w:tc>
          <w:tcPr>
            <w:tcW w:w="2976" w:type="dxa"/>
            <w:vMerge w:val="continue"/>
            <w:vAlign w:val="center"/>
          </w:tcPr>
          <w:p>
            <w:pPr>
              <w:jc w:val="center"/>
              <w:rPr>
                <w:rFonts w:cs="宋体"/>
                <w:bCs/>
                <w:color w:val="000000"/>
                <w:kern w:val="0"/>
                <w:szCs w:val="21"/>
              </w:rPr>
            </w:pPr>
          </w:p>
        </w:tc>
        <w:tc>
          <w:tcPr>
            <w:tcW w:w="1746" w:type="dxa"/>
            <w:vMerge w:val="continue"/>
            <w:vAlign w:val="center"/>
          </w:tcPr>
          <w:p>
            <w:pPr>
              <w:jc w:val="center"/>
              <w:rPr>
                <w:szCs w:val="21"/>
              </w:rPr>
            </w:pPr>
          </w:p>
        </w:tc>
        <w:tc>
          <w:tcPr>
            <w:tcW w:w="917" w:type="dxa"/>
            <w:vMerge w:val="continue"/>
            <w:vAlign w:val="center"/>
          </w:tcPr>
          <w:p>
            <w:pPr>
              <w:jc w:val="center"/>
              <w:rPr>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pPr>
              <w:jc w:val="center"/>
              <w:rPr>
                <w:szCs w:val="21"/>
              </w:rPr>
            </w:pPr>
            <w:r>
              <w:rPr>
                <w:rFonts w:hint="eastAsia"/>
                <w:szCs w:val="21"/>
              </w:rPr>
              <w:t>沙湾区建设用地污染风险重点管控区</w:t>
            </w:r>
          </w:p>
          <w:p>
            <w:pPr>
              <w:wordWrap w:val="0"/>
              <w:jc w:val="center"/>
              <w:rPr>
                <w:rFonts w:cs="宋体"/>
                <w:b/>
                <w:bCs/>
                <w:color w:val="000000"/>
                <w:kern w:val="0"/>
                <w:szCs w:val="21"/>
              </w:rPr>
            </w:pPr>
            <w:r>
              <w:rPr>
                <w:rFonts w:hint="eastAsia"/>
                <w:szCs w:val="21"/>
              </w:rPr>
              <w:t>YS5111112420003</w:t>
            </w:r>
          </w:p>
        </w:tc>
        <w:tc>
          <w:tcPr>
            <w:tcW w:w="5387" w:type="dxa"/>
            <w:vMerge w:val="continue"/>
            <w:vAlign w:val="center"/>
          </w:tcPr>
          <w:p>
            <w:pPr>
              <w:jc w:val="center"/>
              <w:rPr>
                <w:rFonts w:cs="宋体"/>
                <w:bCs/>
                <w:color w:val="000000"/>
                <w:kern w:val="0"/>
                <w:szCs w:val="21"/>
              </w:rPr>
            </w:pPr>
          </w:p>
        </w:tc>
        <w:tc>
          <w:tcPr>
            <w:tcW w:w="1276" w:type="dxa"/>
            <w:vAlign w:val="center"/>
          </w:tcPr>
          <w:p>
            <w:pPr>
              <w:jc w:val="center"/>
              <w:rPr>
                <w:rFonts w:cs="宋体"/>
                <w:bCs/>
                <w:color w:val="000000"/>
                <w:kern w:val="0"/>
                <w:szCs w:val="21"/>
              </w:rPr>
            </w:pPr>
            <w:r>
              <w:rPr>
                <w:rFonts w:hint="eastAsia"/>
                <w:szCs w:val="21"/>
              </w:rPr>
              <w:t>空间布局约束</w:t>
            </w:r>
          </w:p>
        </w:tc>
        <w:tc>
          <w:tcPr>
            <w:tcW w:w="2976" w:type="dxa"/>
            <w:vAlign w:val="center"/>
          </w:tcPr>
          <w:p>
            <w:pPr>
              <w:pStyle w:val="44"/>
              <w:widowControl/>
              <w:shd w:val="clear" w:color="auto" w:fill="FFFFFF"/>
              <w:spacing w:line="240" w:lineRule="auto"/>
              <w:ind w:firstLine="0" w:firstLineChars="0"/>
              <w:jc w:val="left"/>
              <w:rPr>
                <w:rFonts w:eastAsia="宋体"/>
                <w:sz w:val="21"/>
              </w:rPr>
            </w:pPr>
            <w:r>
              <w:rPr>
                <w:rFonts w:hint="eastAsia" w:eastAsia="宋体"/>
                <w:sz w:val="21"/>
              </w:rPr>
              <w:t>禁止开发建设活动的要求</w:t>
            </w:r>
          </w:p>
          <w:p>
            <w:pPr>
              <w:pStyle w:val="44"/>
              <w:widowControl/>
              <w:shd w:val="clear" w:color="auto" w:fill="FFFFFF"/>
              <w:spacing w:line="240" w:lineRule="auto"/>
              <w:ind w:firstLine="0" w:firstLineChars="0"/>
              <w:jc w:val="left"/>
              <w:rPr>
                <w:rFonts w:eastAsia="宋体"/>
                <w:sz w:val="21"/>
              </w:rPr>
            </w:pPr>
            <w:r>
              <w:rPr>
                <w:rFonts w:hint="eastAsia" w:eastAsia="宋体"/>
                <w:sz w:val="21"/>
              </w:rPr>
              <w:t>限制开发建设活动的要求</w:t>
            </w:r>
          </w:p>
          <w:p>
            <w:pPr>
              <w:pStyle w:val="44"/>
              <w:widowControl/>
              <w:shd w:val="clear" w:color="auto" w:fill="FFFFFF"/>
              <w:spacing w:line="240" w:lineRule="auto"/>
              <w:ind w:firstLine="0" w:firstLineChars="0"/>
              <w:jc w:val="left"/>
              <w:rPr>
                <w:rFonts w:eastAsia="宋体"/>
                <w:sz w:val="21"/>
              </w:rPr>
            </w:pPr>
            <w:r>
              <w:rPr>
                <w:rFonts w:hint="eastAsia" w:eastAsia="宋体"/>
                <w:sz w:val="21"/>
              </w:rPr>
              <w:t>允许开发建设活动的要求</w:t>
            </w:r>
          </w:p>
          <w:p>
            <w:pPr>
              <w:pStyle w:val="44"/>
              <w:widowControl/>
              <w:shd w:val="clear" w:color="auto" w:fill="FFFFFF"/>
              <w:spacing w:line="240" w:lineRule="auto"/>
              <w:ind w:firstLine="0" w:firstLineChars="0"/>
              <w:jc w:val="left"/>
              <w:rPr>
                <w:rFonts w:eastAsia="宋体"/>
                <w:sz w:val="21"/>
              </w:rPr>
            </w:pPr>
            <w:r>
              <w:rPr>
                <w:rFonts w:hint="eastAsia" w:eastAsia="宋体"/>
                <w:sz w:val="21"/>
              </w:rPr>
              <w:t>不符合空间布局要求活动的退出要求</w:t>
            </w:r>
          </w:p>
          <w:p>
            <w:pPr>
              <w:pStyle w:val="44"/>
              <w:widowControl/>
              <w:shd w:val="clear" w:color="auto" w:fill="FFFFFF"/>
              <w:spacing w:line="240" w:lineRule="auto"/>
              <w:ind w:firstLine="0" w:firstLineChars="0"/>
              <w:jc w:val="left"/>
              <w:rPr>
                <w:rFonts w:eastAsia="宋体"/>
                <w:sz w:val="21"/>
              </w:rPr>
            </w:pPr>
            <w:r>
              <w:rPr>
                <w:rFonts w:hint="eastAsia" w:eastAsia="宋体"/>
                <w:sz w:val="21"/>
              </w:rPr>
              <w:t>其他空间布局约束要求</w:t>
            </w:r>
          </w:p>
        </w:tc>
        <w:tc>
          <w:tcPr>
            <w:tcW w:w="1746" w:type="dxa"/>
            <w:vAlign w:val="center"/>
          </w:tcPr>
          <w:p>
            <w:pPr>
              <w:jc w:val="center"/>
              <w:rPr>
                <w:szCs w:val="21"/>
              </w:rPr>
            </w:pPr>
            <w:r>
              <w:rPr>
                <w:rFonts w:hint="eastAsia"/>
                <w:szCs w:val="21"/>
              </w:rPr>
              <w:t>/</w:t>
            </w:r>
          </w:p>
        </w:tc>
        <w:tc>
          <w:tcPr>
            <w:tcW w:w="917" w:type="dxa"/>
            <w:vAlign w:val="center"/>
          </w:tcPr>
          <w:p>
            <w:pPr>
              <w:jc w:val="center"/>
              <w:rPr>
                <w:szCs w:val="21"/>
              </w:rPr>
            </w:pPr>
            <w:r>
              <w:rPr>
                <w:rFonts w:hint="eastAsia"/>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pStyle w:val="44"/>
              <w:widowControl/>
              <w:spacing w:line="240" w:lineRule="auto"/>
              <w:ind w:firstLine="0" w:firstLineChars="0"/>
              <w:jc w:val="center"/>
              <w:rPr>
                <w:rFonts w:eastAsia="宋体"/>
                <w:sz w:val="21"/>
              </w:rPr>
            </w:pPr>
            <w:r>
              <w:rPr>
                <w:rFonts w:hint="eastAsia" w:eastAsia="宋体"/>
                <w:sz w:val="21"/>
              </w:rPr>
              <w:t>污染物排放管控</w:t>
            </w:r>
          </w:p>
        </w:tc>
        <w:tc>
          <w:tcPr>
            <w:tcW w:w="2976" w:type="dxa"/>
            <w:vMerge w:val="restart"/>
            <w:vAlign w:val="center"/>
          </w:tcPr>
          <w:p>
            <w:pPr>
              <w:jc w:val="center"/>
              <w:rPr>
                <w:rFonts w:cs="宋体"/>
                <w:bCs/>
                <w:color w:val="000000"/>
                <w:kern w:val="0"/>
                <w:szCs w:val="21"/>
              </w:rPr>
            </w:pPr>
            <w:r>
              <w:rPr>
                <w:rFonts w:hint="eastAsia" w:cs="宋体"/>
                <w:bCs/>
                <w:color w:val="000000"/>
                <w:kern w:val="0"/>
                <w:szCs w:val="21"/>
              </w:rPr>
              <w:t>/</w:t>
            </w:r>
          </w:p>
        </w:tc>
        <w:tc>
          <w:tcPr>
            <w:tcW w:w="1746" w:type="dxa"/>
            <w:vMerge w:val="restart"/>
            <w:vAlign w:val="center"/>
          </w:tcPr>
          <w:p>
            <w:pPr>
              <w:jc w:val="center"/>
              <w:rPr>
                <w:szCs w:val="21"/>
              </w:rPr>
            </w:pPr>
            <w:r>
              <w:rPr>
                <w:rFonts w:hint="eastAsia"/>
                <w:szCs w:val="21"/>
              </w:rPr>
              <w:t>/</w:t>
            </w:r>
          </w:p>
        </w:tc>
        <w:tc>
          <w:tcPr>
            <w:tcW w:w="917" w:type="dxa"/>
            <w:vMerge w:val="restart"/>
            <w:vAlign w:val="center"/>
          </w:tcPr>
          <w:p>
            <w:pPr>
              <w:jc w:val="center"/>
              <w:rPr>
                <w:szCs w:val="21"/>
              </w:rPr>
            </w:pPr>
            <w:r>
              <w:rPr>
                <w:rFonts w:hint="eastAsia"/>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jc w:val="center"/>
              <w:rPr>
                <w:rFonts w:cs="宋体"/>
                <w:bCs/>
                <w:color w:val="000000"/>
                <w:kern w:val="0"/>
                <w:szCs w:val="21"/>
              </w:rPr>
            </w:pPr>
            <w:r>
              <w:rPr>
                <w:rFonts w:hint="eastAsia"/>
                <w:szCs w:val="21"/>
              </w:rPr>
              <w:t>环境风险防控</w:t>
            </w:r>
          </w:p>
        </w:tc>
        <w:tc>
          <w:tcPr>
            <w:tcW w:w="2976" w:type="dxa"/>
            <w:vMerge w:val="continue"/>
            <w:vAlign w:val="center"/>
          </w:tcPr>
          <w:p>
            <w:pPr>
              <w:jc w:val="center"/>
              <w:rPr>
                <w:rFonts w:cs="宋体"/>
                <w:bCs/>
                <w:color w:val="000000"/>
                <w:kern w:val="0"/>
                <w:szCs w:val="21"/>
              </w:rPr>
            </w:pPr>
          </w:p>
        </w:tc>
        <w:tc>
          <w:tcPr>
            <w:tcW w:w="1746" w:type="dxa"/>
            <w:vMerge w:val="continue"/>
            <w:vAlign w:val="center"/>
          </w:tcPr>
          <w:p>
            <w:pPr>
              <w:jc w:val="center"/>
              <w:rPr>
                <w:szCs w:val="21"/>
              </w:rPr>
            </w:pPr>
          </w:p>
        </w:tc>
        <w:tc>
          <w:tcPr>
            <w:tcW w:w="917" w:type="dxa"/>
            <w:vMerge w:val="continue"/>
            <w:vAlign w:val="center"/>
          </w:tcPr>
          <w:p>
            <w:pPr>
              <w:jc w:val="center"/>
              <w:rPr>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pPr>
              <w:jc w:val="center"/>
              <w:rPr>
                <w:rFonts w:cs="宋体"/>
                <w:b/>
                <w:bCs/>
                <w:color w:val="000000"/>
                <w:kern w:val="0"/>
                <w:szCs w:val="21"/>
              </w:rPr>
            </w:pPr>
          </w:p>
        </w:tc>
        <w:tc>
          <w:tcPr>
            <w:tcW w:w="5387" w:type="dxa"/>
            <w:vMerge w:val="continue"/>
            <w:vAlign w:val="center"/>
          </w:tcPr>
          <w:p>
            <w:pPr>
              <w:jc w:val="center"/>
              <w:rPr>
                <w:rFonts w:cs="宋体"/>
                <w:bCs/>
                <w:color w:val="000000"/>
                <w:kern w:val="0"/>
                <w:szCs w:val="21"/>
              </w:rPr>
            </w:pPr>
          </w:p>
        </w:tc>
        <w:tc>
          <w:tcPr>
            <w:tcW w:w="1276" w:type="dxa"/>
            <w:vAlign w:val="center"/>
          </w:tcPr>
          <w:p>
            <w:pPr>
              <w:jc w:val="center"/>
              <w:rPr>
                <w:rFonts w:cs="宋体"/>
                <w:bCs/>
                <w:color w:val="000000"/>
                <w:kern w:val="0"/>
                <w:szCs w:val="21"/>
              </w:rPr>
            </w:pPr>
            <w:r>
              <w:rPr>
                <w:rFonts w:hint="eastAsia"/>
                <w:szCs w:val="21"/>
              </w:rPr>
              <w:t>资源开发效率要求</w:t>
            </w:r>
          </w:p>
        </w:tc>
        <w:tc>
          <w:tcPr>
            <w:tcW w:w="2976" w:type="dxa"/>
            <w:vMerge w:val="continue"/>
            <w:vAlign w:val="center"/>
          </w:tcPr>
          <w:p>
            <w:pPr>
              <w:jc w:val="center"/>
              <w:rPr>
                <w:rFonts w:cs="宋体"/>
                <w:bCs/>
                <w:color w:val="000000"/>
                <w:kern w:val="0"/>
                <w:szCs w:val="21"/>
              </w:rPr>
            </w:pPr>
          </w:p>
        </w:tc>
        <w:tc>
          <w:tcPr>
            <w:tcW w:w="1746" w:type="dxa"/>
            <w:vMerge w:val="continue"/>
            <w:vAlign w:val="center"/>
          </w:tcPr>
          <w:p>
            <w:pPr>
              <w:jc w:val="center"/>
              <w:rPr>
                <w:szCs w:val="21"/>
              </w:rPr>
            </w:pPr>
          </w:p>
        </w:tc>
        <w:tc>
          <w:tcPr>
            <w:tcW w:w="917" w:type="dxa"/>
            <w:vMerge w:val="continue"/>
            <w:vAlign w:val="center"/>
          </w:tcPr>
          <w:p>
            <w:pPr>
              <w:jc w:val="center"/>
              <w:rPr>
                <w:szCs w:val="21"/>
              </w:rPr>
            </w:pPr>
          </w:p>
        </w:tc>
      </w:tr>
    </w:tbl>
    <w:p>
      <w:pPr>
        <w:pStyle w:val="12"/>
        <w:jc w:val="both"/>
        <w:outlineLvl w:val="0"/>
        <w:rPr>
          <w:rFonts w:ascii="Times New Roman" w:hAnsi="Times New Roman"/>
          <w:snapToGrid w:val="0"/>
          <w:color w:val="000000" w:themeColor="text1"/>
          <w:sz w:val="30"/>
          <w:szCs w:val="30"/>
          <w14:textFill>
            <w14:solidFill>
              <w14:schemeClr w14:val="tx1"/>
            </w14:solidFill>
          </w14:textFill>
        </w:rPr>
      </w:pPr>
      <w:r>
        <w:rPr>
          <w:rFonts w:hint="eastAsia" w:ascii="Times New Roman" w:hAnsi="Times New Roman" w:cs="宋体"/>
          <w:color w:val="000000" w:themeColor="text1"/>
          <w:szCs w:val="24"/>
          <w14:textFill>
            <w14:solidFill>
              <w14:schemeClr w14:val="tx1"/>
            </w14:solidFill>
          </w14:textFill>
        </w:rPr>
        <w:t>综上所述，本项目的建设符合“三线一单”相关要求。</w:t>
      </w:r>
    </w:p>
    <w:p>
      <w:pPr>
        <w:pStyle w:val="12"/>
        <w:jc w:val="center"/>
        <w:outlineLvl w:val="0"/>
        <w:rPr>
          <w:rFonts w:ascii="Times New Roman" w:hAnsi="Times New Roman"/>
          <w:snapToGrid w:val="0"/>
          <w:sz w:val="30"/>
          <w:szCs w:val="30"/>
        </w:rPr>
      </w:pPr>
    </w:p>
    <w:p>
      <w:pPr>
        <w:pStyle w:val="12"/>
        <w:jc w:val="center"/>
        <w:outlineLvl w:val="0"/>
        <w:rPr>
          <w:rFonts w:ascii="Times New Roman" w:hAnsi="Times New Roman"/>
          <w:snapToGrid w:val="0"/>
          <w:sz w:val="30"/>
          <w:szCs w:val="30"/>
        </w:rPr>
      </w:pPr>
    </w:p>
    <w:p>
      <w:pPr>
        <w:pStyle w:val="12"/>
        <w:jc w:val="center"/>
        <w:outlineLvl w:val="0"/>
        <w:rPr>
          <w:rFonts w:ascii="Times New Roman" w:hAnsi="Times New Roman"/>
          <w:snapToGrid w:val="0"/>
          <w:sz w:val="30"/>
          <w:szCs w:val="30"/>
        </w:rPr>
        <w:sectPr>
          <w:pgSz w:w="16838" w:h="11906" w:orient="landscape"/>
          <w:pgMar w:top="1531" w:right="1701" w:bottom="1531" w:left="1701" w:header="851" w:footer="851" w:gutter="0"/>
          <w:cols w:space="720" w:num="1"/>
          <w:docGrid w:linePitch="312" w:charSpace="0"/>
        </w:sectPr>
      </w:pPr>
    </w:p>
    <w:tbl>
      <w:tblPr>
        <w:tblStyle w:val="15"/>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591"/>
        <w:gridCol w:w="8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7" w:type="dxa"/>
          </w:tcPr>
          <w:p>
            <w:pPr>
              <w:pStyle w:val="12"/>
              <w:jc w:val="center"/>
              <w:outlineLvl w:val="0"/>
              <w:rPr>
                <w:rFonts w:ascii="Times New Roman" w:hAnsi="Times New Roman"/>
                <w:snapToGrid w:val="0"/>
                <w:sz w:val="30"/>
                <w:szCs w:val="30"/>
              </w:rPr>
            </w:pPr>
          </w:p>
        </w:tc>
        <w:tc>
          <w:tcPr>
            <w:tcW w:w="8924" w:type="dxa"/>
          </w:tcPr>
          <w:p>
            <w:pPr>
              <w:widowControl/>
              <w:spacing w:line="360" w:lineRule="auto"/>
              <w:ind w:firstLine="482" w:firstLineChars="200"/>
              <w:rPr>
                <w:rFonts w:cs="黑体"/>
                <w:b/>
                <w:color w:val="000000" w:themeColor="text1"/>
                <w:sz w:val="24"/>
                <w14:textFill>
                  <w14:solidFill>
                    <w14:schemeClr w14:val="tx1"/>
                  </w14:solidFill>
                </w14:textFill>
              </w:rPr>
            </w:pPr>
            <w:r>
              <w:rPr>
                <w:rFonts w:hint="eastAsia" w:cs="黑体"/>
                <w:b/>
                <w:color w:val="000000" w:themeColor="text1"/>
                <w:sz w:val="24"/>
                <w14:textFill>
                  <w14:solidFill>
                    <w14:schemeClr w14:val="tx1"/>
                  </w14:solidFill>
                </w14:textFill>
              </w:rPr>
              <w:t>1</w:t>
            </w:r>
            <w:r>
              <w:rPr>
                <w:rFonts w:cs="黑体"/>
                <w:b/>
                <w:color w:val="000000" w:themeColor="text1"/>
                <w:sz w:val="24"/>
                <w14:textFill>
                  <w14:solidFill>
                    <w14:schemeClr w14:val="tx1"/>
                  </w14:solidFill>
                </w14:textFill>
              </w:rPr>
              <w:t>2</w:t>
            </w:r>
            <w:r>
              <w:rPr>
                <w:rFonts w:hint="eastAsia" w:cs="黑体"/>
                <w:b/>
                <w:color w:val="000000" w:themeColor="text1"/>
                <w:sz w:val="24"/>
                <w14:textFill>
                  <w14:solidFill>
                    <w14:schemeClr w14:val="tx1"/>
                  </w14:solidFill>
                </w14:textFill>
              </w:rPr>
              <w:t>、与《乐山市人民政府关于落实生态保护红线、环境质量底线、</w:t>
            </w:r>
            <w:r>
              <w:rPr>
                <w:rFonts w:cs="黑体"/>
                <w:b/>
                <w:color w:val="000000" w:themeColor="text1"/>
                <w:sz w:val="24"/>
                <w14:textFill>
                  <w14:solidFill>
                    <w14:schemeClr w14:val="tx1"/>
                  </w14:solidFill>
                </w14:textFill>
              </w:rPr>
              <w:t>资源利用上线制定生态环境准入清单实施生态环境分区管控的通知</w:t>
            </w:r>
            <w:r>
              <w:rPr>
                <w:rFonts w:hint="eastAsia" w:cs="黑体"/>
                <w:b/>
                <w:color w:val="000000" w:themeColor="text1"/>
                <w:sz w:val="24"/>
                <w14:textFill>
                  <w14:solidFill>
                    <w14:schemeClr w14:val="tx1"/>
                  </w14:solidFill>
                </w14:textFill>
              </w:rPr>
              <w:t>》（乐府〔2021〕7号）符合性分析</w:t>
            </w:r>
          </w:p>
          <w:p>
            <w:pPr>
              <w:autoSpaceDE w:val="0"/>
              <w:autoSpaceDN w:val="0"/>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乐山市人民政府于2021年6月7日发布了《关于落实生态保护红线、环境质量底线、资源利用上线制定生态环境准入清单实施生态环境分区管控的通知》（乐府发[2021]7号），根据通知，将全市行政区域从生态环境保护角度划分为优先保护、重点管控和一般管控三类环境管控单元。</w:t>
            </w:r>
          </w:p>
          <w:p>
            <w:pPr>
              <w:autoSpaceDE w:val="0"/>
              <w:autoSpaceDN w:val="0"/>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①优先保护单元。以生态环境保护为主的区域，全市划分优先保护单元26个，主要包括生态保护红线、自然保护地、饮用水水源保护区等，应以生态环境保护优先为原则，严格执行相关法律、法规要求，严守生态环境质量底线，确保生态环境功能不降低。</w:t>
            </w:r>
          </w:p>
          <w:p>
            <w:pPr>
              <w:autoSpaceDE w:val="0"/>
              <w:autoSpaceDN w:val="0"/>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②重点管控单元。涉及水、大气、土壤、自然资源等资源环境要素重点管控的区域，全市划分重点管控单元33个，主要包括人口密集的城镇规划区和产业集聚的工业园区（工业集聚区）等，应不断提升资源利用效率，有针对性地加强污染物排放控制和环境风险防控，解决生态环境质量不达标、生态环境风险突出等问题，制定差别化的生态环境准入要求。对环境质量不达标区域，提出污染物削减比例要求；对环境质量达标区域，提出允许排放量建议指标。</w:t>
            </w:r>
          </w:p>
          <w:p>
            <w:pPr>
              <w:autoSpaceDE w:val="0"/>
              <w:autoSpaceDN w:val="0"/>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③一般管控单元。除优先保护单元和重点管控单元之外的其他区域，全市共划分一般管控单元6个。执行区域生态环境保护的基本要求，重点加强农业、生活等领域污染治理。</w:t>
            </w:r>
          </w:p>
          <w:p>
            <w:pPr>
              <w:pStyle w:val="53"/>
              <w:ind w:firstLine="480"/>
              <w:jc w:val="both"/>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乐山市环境管控单元分布图见下图</w:t>
            </w:r>
            <w:r>
              <w:rPr>
                <w:rFonts w:hint="eastAsia" w:ascii="Times New Roman"/>
                <w:color w:val="000000" w:themeColor="text1"/>
                <w14:textFill>
                  <w14:solidFill>
                    <w14:schemeClr w14:val="tx1"/>
                  </w14:solidFill>
                </w14:textFill>
              </w:rPr>
              <w:t>：</w:t>
            </w:r>
          </w:p>
          <w:p>
            <w:pPr>
              <w:pStyle w:val="6"/>
              <w:spacing w:before="0" w:after="0" w:line="240" w:lineRule="auto"/>
              <w:ind w:right="0"/>
              <w:rPr>
                <w:color w:val="000000" w:themeColor="text1"/>
                <w14:textFill>
                  <w14:solidFill>
                    <w14:schemeClr w14:val="tx1"/>
                  </w14:solidFill>
                </w14:textFill>
              </w:rPr>
            </w:pPr>
            <w:r>
              <w:rPr>
                <w:color w:val="000000" w:themeColor="text1"/>
                <w:lang w:val="en-US"/>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2639695</wp:posOffset>
                      </wp:positionH>
                      <wp:positionV relativeFrom="paragraph">
                        <wp:posOffset>775970</wp:posOffset>
                      </wp:positionV>
                      <wp:extent cx="708025" cy="259080"/>
                      <wp:effectExtent l="285750" t="0" r="15875" b="350520"/>
                      <wp:wrapNone/>
                      <wp:docPr id="1114" name="自选图形 805"/>
                      <wp:cNvGraphicFramePr/>
                      <a:graphic xmlns:a="http://schemas.openxmlformats.org/drawingml/2006/main">
                        <a:graphicData uri="http://schemas.microsoft.com/office/word/2010/wordprocessingShape">
                          <wps:wsp>
                            <wps:cNvSpPr>
                              <a:spLocks noChangeArrowheads="1"/>
                            </wps:cNvSpPr>
                            <wps:spPr bwMode="auto">
                              <a:xfrm>
                                <a:off x="0" y="0"/>
                                <a:ext cx="708025" cy="259080"/>
                              </a:xfrm>
                              <a:prstGeom prst="wedgeRectCallout">
                                <a:avLst>
                                  <a:gd name="adj1" fmla="val -84405"/>
                                  <a:gd name="adj2" fmla="val 153663"/>
                                </a:avLst>
                              </a:prstGeom>
                              <a:solidFill>
                                <a:srgbClr val="D9D9D9"/>
                              </a:solidFill>
                              <a:ln w="9525" cmpd="sng">
                                <a:solidFill>
                                  <a:srgbClr val="000000"/>
                                </a:solidFill>
                                <a:miter lim="800000"/>
                              </a:ln>
                              <a:effectLst/>
                            </wps:spPr>
                            <wps:txbx>
                              <w:txbxContent>
                                <w:p>
                                  <w:pPr>
                                    <w:jc w:val="center"/>
                                  </w:pPr>
                                  <w:r>
                                    <w:rPr>
                                      <w:rFonts w:hint="eastAsia"/>
                                    </w:rPr>
                                    <w:t>本项目</w:t>
                                  </w:r>
                                </w:p>
                              </w:txbxContent>
                            </wps:txbx>
                            <wps:bodyPr rot="0" vert="horz" wrap="square" lIns="91440" tIns="45720" rIns="91440" bIns="45720" anchor="t" anchorCtr="0" upright="1">
                              <a:noAutofit/>
                            </wps:bodyPr>
                          </wps:wsp>
                        </a:graphicData>
                      </a:graphic>
                    </wp:anchor>
                  </w:drawing>
                </mc:Choice>
                <mc:Fallback>
                  <w:pict>
                    <v:shape id="自选图形 805" o:spid="_x0000_s1026" o:spt="61" type="#_x0000_t61" style="position:absolute;left:0pt;margin-left:207.85pt;margin-top:61.1pt;height:20.4pt;width:55.75pt;z-index:251664384;mso-width-relative:page;mso-height-relative:page;" fillcolor="#D9D9D9" filled="t" stroked="t" coordsize="21600,21600" o:gfxdata="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xpTar1gAAAAsBAAAPAAAAAAAAAAEAIAAAACIA&#10;AABkcnMvZG93bnJldi54bWxQSwECFAAUAAAACACHTuJAQdCRsH0CAAD8BAAADgAAAAAAAAABACAA&#10;AAAlAQAAZHJzL2Uyb0RvYy54bWxQSwUGAAAAAAYABgBZAQAAFAYAAAAA&#10;" adj="-7431,43991">
                      <v:fill on="t" focussize="0,0"/>
                      <v:stroke color="#000000" miterlimit="8" joinstyle="miter"/>
                      <v:imagedata o:title=""/>
                      <o:lock v:ext="edit" aspectratio="f"/>
                      <v:textbox>
                        <w:txbxContent>
                          <w:p>
                            <w:pPr>
                              <w:jc w:val="center"/>
                            </w:pPr>
                            <w:r>
                              <w:rPr>
                                <w:rFonts w:hint="eastAsia"/>
                              </w:rPr>
                              <w:t>本项目</w:t>
                            </w:r>
                          </w:p>
                        </w:txbxContent>
                      </v:textbox>
                    </v:shape>
                  </w:pict>
                </mc:Fallback>
              </mc:AlternateContent>
            </w:r>
            <w:r>
              <w:rPr>
                <w:rFonts w:hint="eastAsia"/>
                <w:color w:val="000000" w:themeColor="text1"/>
                <w:lang w:val="en-US"/>
                <w14:textFill>
                  <w14:solidFill>
                    <w14:schemeClr w14:val="tx1"/>
                  </w14:solidFill>
                </w14:textFill>
              </w:rPr>
              <w:drawing>
                <wp:inline distT="0" distB="0" distL="0" distR="0">
                  <wp:extent cx="5441315" cy="3714750"/>
                  <wp:effectExtent l="0" t="0" r="6985" b="0"/>
                  <wp:docPr id="448" name="图片 58" descr="乐山市环境分区管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58" descr="乐山市环境分区管控图"/>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454599" cy="3723499"/>
                          </a:xfrm>
                          <a:prstGeom prst="rect">
                            <a:avLst/>
                          </a:prstGeom>
                          <a:noFill/>
                          <a:ln>
                            <a:noFill/>
                          </a:ln>
                          <a:effectLst/>
                        </pic:spPr>
                      </pic:pic>
                    </a:graphicData>
                  </a:graphic>
                </wp:inline>
              </w:drawing>
            </w:r>
          </w:p>
          <w:p>
            <w:pPr>
              <w:spacing w:line="360" w:lineRule="auto"/>
              <w:jc w:val="center"/>
              <w:rPr>
                <w:rFonts w:cs="黑体"/>
                <w:b/>
                <w:color w:val="000000" w:themeColor="text1"/>
                <w14:textFill>
                  <w14:solidFill>
                    <w14:schemeClr w14:val="tx1"/>
                  </w14:solidFill>
                </w14:textFill>
              </w:rPr>
            </w:pPr>
            <w:r>
              <w:rPr>
                <w:rFonts w:hint="eastAsia" w:cs="黑体"/>
                <w:b/>
                <w:color w:val="000000" w:themeColor="text1"/>
                <w14:textFill>
                  <w14:solidFill>
                    <w14:schemeClr w14:val="tx1"/>
                  </w14:solidFill>
                </w14:textFill>
              </w:rPr>
              <w:t>图1-</w:t>
            </w:r>
            <w:r>
              <w:rPr>
                <w:rFonts w:cs="黑体"/>
                <w:b/>
                <w:color w:val="000000" w:themeColor="text1"/>
                <w14:textFill>
                  <w14:solidFill>
                    <w14:schemeClr w14:val="tx1"/>
                  </w14:solidFill>
                </w14:textFill>
              </w:rPr>
              <w:t>3</w:t>
            </w:r>
            <w:r>
              <w:rPr>
                <w:rFonts w:hint="eastAsia" w:cs="黑体"/>
                <w:b/>
                <w:color w:val="000000" w:themeColor="text1"/>
                <w14:textFill>
                  <w14:solidFill>
                    <w14:schemeClr w14:val="tx1"/>
                  </w14:solidFill>
                </w14:textFill>
              </w:rPr>
              <w:t xml:space="preserve"> 乐山市环境管控单元图</w:t>
            </w:r>
          </w:p>
          <w:p>
            <w:pPr>
              <w:pStyle w:val="38"/>
              <w:wordWrap/>
              <w:topLinePunct w:val="0"/>
              <w:autoSpaceDE w:val="0"/>
              <w:autoSpaceDN w:val="0"/>
              <w:ind w:firstLine="48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根据《乐山市人民政府关于落实生态保护红线、环境质量底线、资源利用上线和生态环境准入清单要求实施生态环境分区管控的通知》，本项目属于工业重点管控单元，本项目与乐山市、沙湾区生态环境准入总体要求符合性分析如下表所示。</w:t>
            </w:r>
          </w:p>
          <w:p>
            <w:pPr>
              <w:pStyle w:val="38"/>
              <w:wordWrap/>
              <w:topLinePunct w:val="0"/>
              <w:autoSpaceDE w:val="0"/>
              <w:autoSpaceDN w:val="0"/>
              <w:spacing w:line="240" w:lineRule="auto"/>
              <w:ind w:firstLine="0" w:firstLineChars="0"/>
              <w:jc w:val="center"/>
              <w:rPr>
                <w:b/>
                <w:bCs/>
                <w:color w:val="000000" w:themeColor="text1"/>
                <w14:textFill>
                  <w14:solidFill>
                    <w14:schemeClr w14:val="tx1"/>
                  </w14:solidFill>
                </w14:textFill>
              </w:rPr>
            </w:pPr>
            <w:r>
              <w:rPr>
                <w:rFonts w:hint="eastAsia" w:cs="黑体"/>
                <w:b/>
                <w:color w:val="000000" w:themeColor="text1"/>
                <w:sz w:val="21"/>
                <w:szCs w:val="21"/>
                <w14:textFill>
                  <w14:solidFill>
                    <w14:schemeClr w14:val="tx1"/>
                  </w14:solidFill>
                </w14:textFill>
              </w:rPr>
              <w:t>表1-</w:t>
            </w:r>
            <w:r>
              <w:rPr>
                <w:rFonts w:cs="黑体"/>
                <w:b/>
                <w:color w:val="000000" w:themeColor="text1"/>
                <w:sz w:val="21"/>
                <w:szCs w:val="21"/>
                <w14:textFill>
                  <w14:solidFill>
                    <w14:schemeClr w14:val="tx1"/>
                  </w14:solidFill>
                </w14:textFill>
              </w:rPr>
              <w:t>12</w:t>
            </w:r>
            <w:r>
              <w:rPr>
                <w:rFonts w:hint="eastAsia" w:cs="黑体"/>
                <w:b/>
                <w:color w:val="000000" w:themeColor="text1"/>
                <w:sz w:val="21"/>
                <w:szCs w:val="21"/>
                <w14:textFill>
                  <w14:solidFill>
                    <w14:schemeClr w14:val="tx1"/>
                  </w14:solidFill>
                </w14:textFill>
              </w:rPr>
              <w:t xml:space="preserve"> 本项目与乐山市、沙湾区生态环境准入总体要求符合性</w:t>
            </w:r>
          </w:p>
          <w:tbl>
            <w:tblPr>
              <w:tblStyle w:val="14"/>
              <w:tblW w:w="854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4395"/>
              <w:gridCol w:w="2409"/>
              <w:gridCol w:w="86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13" w:type="pct"/>
                  <w:shd w:val="clear" w:color="auto" w:fill="C7DAF1"/>
                  <w:vAlign w:val="center"/>
                </w:tcPr>
                <w:p>
                  <w:pPr>
                    <w:autoSpaceDE w:val="0"/>
                    <w:autoSpaceDN w:val="0"/>
                    <w:adjustRightInd w:val="0"/>
                    <w:snapToGrid w:val="0"/>
                    <w:jc w:val="center"/>
                    <w:rPr>
                      <w:rFonts w:cs="宋体"/>
                      <w:b/>
                      <w:color w:val="000000" w:themeColor="text1"/>
                      <w:szCs w:val="21"/>
                      <w14:textFill>
                        <w14:solidFill>
                          <w14:schemeClr w14:val="tx1"/>
                        </w14:solidFill>
                      </w14:textFill>
                    </w:rPr>
                  </w:pPr>
                  <w:r>
                    <w:rPr>
                      <w:rFonts w:hint="eastAsia" w:cs="宋体"/>
                      <w:b/>
                      <w:color w:val="000000" w:themeColor="text1"/>
                      <w:szCs w:val="21"/>
                      <w14:textFill>
                        <w14:solidFill>
                          <w14:schemeClr w14:val="tx1"/>
                        </w14:solidFill>
                      </w14:textFill>
                    </w:rPr>
                    <w:t>城市</w:t>
                  </w:r>
                </w:p>
              </w:tc>
              <w:tc>
                <w:tcPr>
                  <w:tcW w:w="2573" w:type="pct"/>
                  <w:shd w:val="clear" w:color="auto" w:fill="C7DAF1"/>
                  <w:vAlign w:val="center"/>
                </w:tcPr>
                <w:p>
                  <w:pPr>
                    <w:autoSpaceDE w:val="0"/>
                    <w:autoSpaceDN w:val="0"/>
                    <w:adjustRightInd w:val="0"/>
                    <w:snapToGrid w:val="0"/>
                    <w:jc w:val="center"/>
                    <w:rPr>
                      <w:rFonts w:cs="宋体"/>
                      <w:b/>
                      <w:color w:val="000000" w:themeColor="text1"/>
                      <w:szCs w:val="21"/>
                      <w14:textFill>
                        <w14:solidFill>
                          <w14:schemeClr w14:val="tx1"/>
                        </w14:solidFill>
                      </w14:textFill>
                    </w:rPr>
                  </w:pPr>
                  <w:r>
                    <w:rPr>
                      <w:rFonts w:hint="eastAsia" w:cs="宋体"/>
                      <w:b/>
                      <w:color w:val="000000" w:themeColor="text1"/>
                      <w:szCs w:val="21"/>
                      <w14:textFill>
                        <w14:solidFill>
                          <w14:schemeClr w14:val="tx1"/>
                        </w14:solidFill>
                      </w14:textFill>
                    </w:rPr>
                    <w:t>准入要求</w:t>
                  </w:r>
                </w:p>
              </w:tc>
              <w:tc>
                <w:tcPr>
                  <w:tcW w:w="1410" w:type="pct"/>
                  <w:shd w:val="clear" w:color="auto" w:fill="C7DAF1"/>
                  <w:vAlign w:val="center"/>
                </w:tcPr>
                <w:p>
                  <w:pPr>
                    <w:autoSpaceDE w:val="0"/>
                    <w:autoSpaceDN w:val="0"/>
                    <w:adjustRightInd w:val="0"/>
                    <w:snapToGrid w:val="0"/>
                    <w:jc w:val="center"/>
                    <w:rPr>
                      <w:rFonts w:cs="宋体"/>
                      <w:b/>
                      <w:color w:val="000000" w:themeColor="text1"/>
                      <w:szCs w:val="21"/>
                      <w14:textFill>
                        <w14:solidFill>
                          <w14:schemeClr w14:val="tx1"/>
                        </w14:solidFill>
                      </w14:textFill>
                    </w:rPr>
                  </w:pPr>
                  <w:r>
                    <w:rPr>
                      <w:rFonts w:hint="eastAsia" w:cs="宋体"/>
                      <w:b/>
                      <w:color w:val="000000" w:themeColor="text1"/>
                      <w:szCs w:val="21"/>
                      <w14:textFill>
                        <w14:solidFill>
                          <w14:schemeClr w14:val="tx1"/>
                        </w14:solidFill>
                      </w14:textFill>
                    </w:rPr>
                    <w:t>本项目情况</w:t>
                  </w:r>
                </w:p>
              </w:tc>
              <w:tc>
                <w:tcPr>
                  <w:tcW w:w="504" w:type="pct"/>
                  <w:shd w:val="clear" w:color="auto" w:fill="C7DAF1"/>
                  <w:vAlign w:val="center"/>
                </w:tcPr>
                <w:p>
                  <w:pPr>
                    <w:autoSpaceDE w:val="0"/>
                    <w:autoSpaceDN w:val="0"/>
                    <w:adjustRightInd w:val="0"/>
                    <w:snapToGrid w:val="0"/>
                    <w:jc w:val="center"/>
                    <w:rPr>
                      <w:rFonts w:cs="宋体"/>
                      <w:b/>
                      <w:color w:val="000000" w:themeColor="text1"/>
                      <w:szCs w:val="21"/>
                      <w14:textFill>
                        <w14:solidFill>
                          <w14:schemeClr w14:val="tx1"/>
                        </w14:solidFill>
                      </w14:textFill>
                    </w:rPr>
                  </w:pPr>
                  <w:r>
                    <w:rPr>
                      <w:rFonts w:hint="eastAsia" w:cs="宋体"/>
                      <w:b/>
                      <w:color w:val="000000" w:themeColor="text1"/>
                      <w:szCs w:val="2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513" w:type="pct"/>
                  <w:vAlign w:val="center"/>
                </w:tcPr>
                <w:p>
                  <w:pPr>
                    <w:autoSpaceDE w:val="0"/>
                    <w:autoSpaceDN w:val="0"/>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乐山市</w:t>
                  </w:r>
                </w:p>
              </w:tc>
              <w:tc>
                <w:tcPr>
                  <w:tcW w:w="2573" w:type="pct"/>
                  <w:vAlign w:val="center"/>
                </w:tcPr>
                <w:p>
                  <w:pPr>
                    <w:autoSpaceDE w:val="0"/>
                    <w:autoSpaceDN w:val="0"/>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1.对化工、钢铁、水泥、陶瓷、造纸、铁合金、砖瓦等重点产业提出严格资源环境绩效水平要求；</w:t>
                  </w:r>
                </w:p>
                <w:p>
                  <w:pPr>
                    <w:autoSpaceDE w:val="0"/>
                    <w:autoSpaceDN w:val="0"/>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2.禁止在长江干支流岸线一公里范围内新建、扩建化工园区和化工项目；鼓励现有化工企业逐步搬入合规园区；</w:t>
                  </w:r>
                </w:p>
                <w:p>
                  <w:pPr>
                    <w:autoSpaceDE w:val="0"/>
                    <w:autoSpaceDN w:val="0"/>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3.按照“一总部五基地”工业总体布局，推进城区以及布局不合理的高排放、高能耗企业“退城入园”，引导企业在搬迁改造中压减低端、低效、负效产能；</w:t>
                  </w:r>
                </w:p>
                <w:p>
                  <w:pPr>
                    <w:autoSpaceDE w:val="0"/>
                    <w:autoSpaceDN w:val="0"/>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4.严格控制高排放、高能耗项目准入；严格执行能源消费总量和强度双控制度；严格执行煤炭消费总量控制要求；</w:t>
                  </w:r>
                </w:p>
                <w:p>
                  <w:pPr>
                    <w:autoSpaceDE w:val="0"/>
                    <w:autoSpaceDN w:val="0"/>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5.引进项目应符合园区规划环评和区域产业准入清单要求。</w:t>
                  </w:r>
                </w:p>
              </w:tc>
              <w:tc>
                <w:tcPr>
                  <w:tcW w:w="1410" w:type="pct"/>
                  <w:vAlign w:val="center"/>
                </w:tcPr>
                <w:p>
                  <w:pPr>
                    <w:autoSpaceDE w:val="0"/>
                    <w:autoSpaceDN w:val="0"/>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项目为新建砂石加工项目，不属于化工、钢铁等重点行业，不属于高排放、高能耗项目。本项目产生的废气能够做到达标排放；生产污水全部回用于生产或蒸发损耗，不外排。项目属于建材行业，符合园区规划环评以及跟踪环评中准入要求。</w:t>
                  </w:r>
                </w:p>
              </w:tc>
              <w:tc>
                <w:tcPr>
                  <w:tcW w:w="504" w:type="pct"/>
                  <w:vAlign w:val="center"/>
                </w:tcPr>
                <w:p>
                  <w:pPr>
                    <w:autoSpaceDE w:val="0"/>
                    <w:autoSpaceDN w:val="0"/>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513" w:type="pct"/>
                  <w:vAlign w:val="center"/>
                </w:tcPr>
                <w:p>
                  <w:pPr>
                    <w:autoSpaceDE w:val="0"/>
                    <w:autoSpaceDN w:val="0"/>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沙湾区</w:t>
                  </w:r>
                </w:p>
              </w:tc>
              <w:tc>
                <w:tcPr>
                  <w:tcW w:w="2573" w:type="pct"/>
                  <w:vAlign w:val="center"/>
                </w:tcPr>
                <w:p>
                  <w:pPr>
                    <w:autoSpaceDE w:val="0"/>
                    <w:autoSpaceDN w:val="0"/>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1.优化调整产业结构，严格高排放、高能耗项目环境准入要求；</w:t>
                  </w:r>
                </w:p>
                <w:p>
                  <w:pPr>
                    <w:autoSpaceDE w:val="0"/>
                    <w:autoSpaceDN w:val="0"/>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2.禁止在长江干支流岸线一公里范围内新建、扩建化工园区和化工项目；</w:t>
                  </w:r>
                </w:p>
                <w:p>
                  <w:pPr>
                    <w:autoSpaceDE w:val="0"/>
                    <w:autoSpaceDN w:val="0"/>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3.加强区域大气污染治理，禁止违规新增钢铁、水泥等行业产能，推动大气深度治理改造；执行大气污染物特别排放限值；</w:t>
                  </w:r>
                </w:p>
                <w:p>
                  <w:pPr>
                    <w:autoSpaceDE w:val="0"/>
                    <w:autoSpaceDN w:val="0"/>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4.加强大渡河良好水体保护，严格控制大渡河流域新建、扩建水环境风险突出项目；加强城乡生态环境保护基础设施建设；</w:t>
                  </w:r>
                </w:p>
                <w:p>
                  <w:pPr>
                    <w:autoSpaceDE w:val="0"/>
                    <w:autoSpaceDN w:val="0"/>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5.加强非金属矿山生态环境保护，系统推进矿山生态保护修复；</w:t>
                  </w:r>
                </w:p>
                <w:p>
                  <w:pPr>
                    <w:autoSpaceDE w:val="0"/>
                    <w:autoSpaceDN w:val="0"/>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6.纸浆造纸行业严格执行其行业资源环境绩效指标准入要求。</w:t>
                  </w:r>
                </w:p>
              </w:tc>
              <w:tc>
                <w:tcPr>
                  <w:tcW w:w="1410" w:type="pct"/>
                  <w:vAlign w:val="center"/>
                </w:tcPr>
                <w:p>
                  <w:pPr>
                    <w:autoSpaceDE w:val="0"/>
                    <w:autoSpaceDN w:val="0"/>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本项目不属于化工、钢铁等重点行业，不属于高排放、高能耗项目。本项目产生的废气能够做到达标排放；生产污水全部回用于生产或蒸发损耗，不外排。项目不涉及矿山开采；不属于制浆造纸行业。</w:t>
                  </w:r>
                </w:p>
              </w:tc>
              <w:tc>
                <w:tcPr>
                  <w:tcW w:w="504" w:type="pct"/>
                  <w:vAlign w:val="center"/>
                </w:tcPr>
                <w:p>
                  <w:pPr>
                    <w:autoSpaceDE w:val="0"/>
                    <w:autoSpaceDN w:val="0"/>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符合</w:t>
                  </w:r>
                </w:p>
              </w:tc>
            </w:tr>
          </w:tbl>
          <w:p>
            <w:pPr>
              <w:pStyle w:val="12"/>
              <w:jc w:val="center"/>
              <w:outlineLvl w:val="0"/>
              <w:rPr>
                <w:rFonts w:ascii="Times New Roman" w:hAnsi="Times New Roman"/>
                <w:snapToGrid w:val="0"/>
                <w:sz w:val="30"/>
                <w:szCs w:val="30"/>
              </w:rPr>
            </w:pPr>
          </w:p>
        </w:tc>
      </w:tr>
    </w:tbl>
    <w:p>
      <w:pPr>
        <w:pStyle w:val="12"/>
        <w:jc w:val="center"/>
        <w:outlineLvl w:val="0"/>
        <w:rPr>
          <w:rFonts w:ascii="Times New Roman" w:hAnsi="Times New Roman"/>
          <w:snapToGrid w:val="0"/>
          <w:sz w:val="30"/>
          <w:szCs w:val="30"/>
        </w:rPr>
        <w:sectPr>
          <w:pgSz w:w="11906" w:h="16838"/>
          <w:pgMar w:top="1701" w:right="1531" w:bottom="1701" w:left="1531" w:header="851" w:footer="851" w:gutter="0"/>
          <w:cols w:space="720" w:num="1"/>
          <w:docGrid w:linePitch="312" w:charSpace="0"/>
        </w:sectPr>
      </w:pPr>
    </w:p>
    <w:p>
      <w:pPr>
        <w:pStyle w:val="12"/>
        <w:jc w:val="center"/>
        <w:outlineLvl w:val="0"/>
        <w:rPr>
          <w:rFonts w:ascii="Times New Roman" w:hAnsi="Times New Roman"/>
          <w:snapToGrid w:val="0"/>
          <w:sz w:val="30"/>
          <w:szCs w:val="30"/>
        </w:rPr>
      </w:pPr>
      <w:r>
        <w:rPr>
          <w:rFonts w:hint="eastAsia" w:ascii="Times New Roman" w:hAnsi="Times New Roman"/>
          <w:snapToGrid w:val="0"/>
          <w:sz w:val="30"/>
          <w:szCs w:val="30"/>
        </w:rPr>
        <w:t>二、建设项目工程分析</w:t>
      </w:r>
    </w:p>
    <w:tbl>
      <w:tblPr>
        <w:tblStyle w:val="14"/>
        <w:tblW w:w="94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85" w:type="dxa"/>
          <w:left w:w="108" w:type="dxa"/>
          <w:bottom w:w="85" w:type="dxa"/>
          <w:right w:w="108" w:type="dxa"/>
        </w:tblCellMar>
      </w:tblPr>
      <w:tblGrid>
        <w:gridCol w:w="699"/>
        <w:gridCol w:w="87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463" w:hRule="atLeast"/>
          <w:jc w:val="center"/>
        </w:trPr>
        <w:tc>
          <w:tcPr>
            <w:tcW w:w="699" w:type="dxa"/>
            <w:vAlign w:val="center"/>
          </w:tcPr>
          <w:p>
            <w:pPr>
              <w:pStyle w:val="12"/>
              <w:adjustRightInd w:val="0"/>
              <w:snapToGrid w:val="0"/>
              <w:spacing w:before="0" w:beforeAutospacing="0" w:after="0" w:afterAutospacing="0"/>
              <w:jc w:val="center"/>
              <w:rPr>
                <w:rFonts w:ascii="Times New Roman" w:hAnsi="Times New Roman" w:cs="宋体"/>
                <w:szCs w:val="24"/>
                <w:lang w:val="en-US"/>
              </w:rPr>
            </w:pPr>
            <w:r>
              <w:rPr>
                <w:rFonts w:hint="eastAsia" w:ascii="Times New Roman" w:hAnsi="Times New Roman" w:cs="宋体"/>
                <w:szCs w:val="24"/>
                <w:lang w:val="en-US"/>
              </w:rPr>
              <w:t>建设内容</w:t>
            </w:r>
          </w:p>
        </w:tc>
        <w:tc>
          <w:tcPr>
            <w:tcW w:w="8787" w:type="dxa"/>
          </w:tcPr>
          <w:p>
            <w:pPr>
              <w:adjustRightInd w:val="0"/>
              <w:snapToGrid w:val="0"/>
              <w:spacing w:line="360" w:lineRule="auto"/>
              <w:ind w:firstLine="482" w:firstLineChars="200"/>
              <w:rPr>
                <w:rFonts w:cs="宋体"/>
                <w:b/>
                <w:bCs/>
                <w:sz w:val="24"/>
              </w:rPr>
            </w:pPr>
            <w:r>
              <w:rPr>
                <w:rFonts w:hint="eastAsia" w:cs="宋体"/>
                <w:b/>
                <w:bCs/>
                <w:sz w:val="24"/>
              </w:rPr>
              <w:t>1、项目由来</w:t>
            </w:r>
          </w:p>
          <w:p>
            <w:pPr>
              <w:spacing w:line="360" w:lineRule="auto"/>
              <w:ind w:firstLine="480" w:firstLineChars="200"/>
              <w:rPr>
                <w:sz w:val="24"/>
              </w:rPr>
            </w:pPr>
            <w:r>
              <w:rPr>
                <w:rFonts w:hint="eastAsia" w:cs="宋体"/>
                <w:bCs/>
                <w:sz w:val="24"/>
              </w:rPr>
              <w:t>为满足行洪需要，每年需对大渡河流域进行清淤，在大渡河清淤过程中会产生大量弃方（主要为大渡河清淤产生的连砂石）</w:t>
            </w:r>
            <w:r>
              <w:rPr>
                <w:rFonts w:hint="eastAsia"/>
                <w:sz w:val="24"/>
              </w:rPr>
              <w:t>，沙湾河段的部分弃方</w:t>
            </w:r>
            <w:r>
              <w:rPr>
                <w:rFonts w:hint="eastAsia" w:cs="宋体"/>
                <w:bCs/>
                <w:sz w:val="24"/>
              </w:rPr>
              <w:t>堆放于</w:t>
            </w:r>
            <w:r>
              <w:rPr>
                <w:rFonts w:hint="eastAsia" w:cs="宋体"/>
                <w:sz w:val="24"/>
              </w:rPr>
              <w:t>沙湾区嘉农镇王场村</w:t>
            </w:r>
            <w:r>
              <w:rPr>
                <w:sz w:val="24"/>
              </w:rPr>
              <w:t>民生不锈钢产业园嘉农组团</w:t>
            </w:r>
            <w:r>
              <w:rPr>
                <w:rFonts w:hint="eastAsia"/>
                <w:sz w:val="24"/>
              </w:rPr>
              <w:t>内，用以工业园区地面的回填、平整。</w:t>
            </w:r>
          </w:p>
          <w:p>
            <w:pPr>
              <w:spacing w:line="360" w:lineRule="auto"/>
              <w:ind w:firstLine="480" w:firstLineChars="200"/>
              <w:rPr>
                <w:rFonts w:cs="宋体"/>
                <w:bCs/>
                <w:sz w:val="24"/>
              </w:rPr>
            </w:pPr>
            <w:r>
              <w:rPr>
                <w:rFonts w:hint="eastAsia" w:cs="宋体"/>
                <w:bCs/>
                <w:sz w:val="24"/>
              </w:rPr>
              <w:t>随着乐山近几年的高速发展，近期乐山机场、乐汉、乐西高速的修建，需要大量的砂石。中</w:t>
            </w:r>
            <w:r>
              <w:rPr>
                <w:rFonts w:cs="宋体"/>
                <w:bCs/>
                <w:sz w:val="24"/>
              </w:rPr>
              <w:t>国</w:t>
            </w:r>
            <w:r>
              <w:rPr>
                <w:rFonts w:hint="eastAsia" w:cs="宋体"/>
                <w:bCs/>
                <w:sz w:val="24"/>
              </w:rPr>
              <w:t>国</w:t>
            </w:r>
            <w:r>
              <w:rPr>
                <w:rFonts w:cs="宋体"/>
                <w:bCs/>
                <w:sz w:val="24"/>
              </w:rPr>
              <w:t>家发展改革委工业和信息化部</w:t>
            </w:r>
            <w:r>
              <w:rPr>
                <w:rFonts w:hint="eastAsia" w:cs="宋体"/>
                <w:bCs/>
                <w:sz w:val="24"/>
              </w:rPr>
              <w:t>、</w:t>
            </w:r>
            <w:r>
              <w:rPr>
                <w:rFonts w:cs="宋体"/>
                <w:bCs/>
                <w:sz w:val="24"/>
              </w:rPr>
              <w:t>公安部</w:t>
            </w:r>
            <w:r>
              <w:rPr>
                <w:rFonts w:hint="eastAsia" w:cs="宋体"/>
                <w:bCs/>
                <w:sz w:val="24"/>
              </w:rPr>
              <w:t>、</w:t>
            </w:r>
            <w:r>
              <w:rPr>
                <w:rFonts w:cs="宋体"/>
                <w:bCs/>
                <w:sz w:val="24"/>
              </w:rPr>
              <w:t>财政部</w:t>
            </w:r>
            <w:r>
              <w:rPr>
                <w:rFonts w:hint="eastAsia" w:cs="宋体"/>
                <w:bCs/>
                <w:sz w:val="24"/>
              </w:rPr>
              <w:t>、</w:t>
            </w:r>
            <w:r>
              <w:rPr>
                <w:rFonts w:cs="宋体"/>
                <w:bCs/>
                <w:sz w:val="24"/>
              </w:rPr>
              <w:t>自然资源部</w:t>
            </w:r>
            <w:r>
              <w:rPr>
                <w:rFonts w:hint="eastAsia" w:cs="宋体"/>
                <w:bCs/>
                <w:sz w:val="24"/>
              </w:rPr>
              <w:t>、</w:t>
            </w:r>
            <w:r>
              <w:rPr>
                <w:rFonts w:cs="宋体"/>
                <w:bCs/>
                <w:sz w:val="24"/>
              </w:rPr>
              <w:t>生态环境部</w:t>
            </w:r>
            <w:r>
              <w:rPr>
                <w:rFonts w:hint="eastAsia" w:cs="宋体"/>
                <w:bCs/>
                <w:sz w:val="24"/>
              </w:rPr>
              <w:t>、</w:t>
            </w:r>
            <w:r>
              <w:rPr>
                <w:rFonts w:cs="宋体"/>
                <w:bCs/>
                <w:sz w:val="24"/>
              </w:rPr>
              <w:t>住房城乡建设部</w:t>
            </w:r>
            <w:r>
              <w:rPr>
                <w:rFonts w:hint="eastAsia" w:cs="宋体"/>
                <w:bCs/>
                <w:sz w:val="24"/>
              </w:rPr>
              <w:t>、</w:t>
            </w:r>
            <w:r>
              <w:rPr>
                <w:rFonts w:cs="宋体"/>
                <w:bCs/>
                <w:sz w:val="24"/>
              </w:rPr>
              <w:t>交通运输部</w:t>
            </w:r>
            <w:r>
              <w:rPr>
                <w:rFonts w:hint="eastAsia" w:cs="宋体"/>
                <w:bCs/>
                <w:sz w:val="24"/>
              </w:rPr>
              <w:t>、</w:t>
            </w:r>
            <w:r>
              <w:rPr>
                <w:rFonts w:cs="宋体"/>
                <w:bCs/>
                <w:sz w:val="24"/>
              </w:rPr>
              <w:t>水利部</w:t>
            </w:r>
            <w:r>
              <w:rPr>
                <w:rFonts w:hint="eastAsia" w:cs="宋体"/>
                <w:bCs/>
                <w:sz w:val="24"/>
              </w:rPr>
              <w:t>、</w:t>
            </w:r>
            <w:r>
              <w:rPr>
                <w:rFonts w:cs="宋体"/>
                <w:bCs/>
                <w:sz w:val="24"/>
              </w:rPr>
              <w:t>商务部</w:t>
            </w:r>
            <w:r>
              <w:rPr>
                <w:rFonts w:hint="eastAsia" w:cs="宋体"/>
                <w:bCs/>
                <w:sz w:val="24"/>
              </w:rPr>
              <w:t>、</w:t>
            </w:r>
            <w:r>
              <w:rPr>
                <w:rFonts w:cs="宋体"/>
                <w:bCs/>
                <w:sz w:val="24"/>
              </w:rPr>
              <w:t>应急管理部</w:t>
            </w:r>
            <w:r>
              <w:rPr>
                <w:rFonts w:hint="eastAsia" w:cs="宋体"/>
                <w:bCs/>
                <w:sz w:val="24"/>
              </w:rPr>
              <w:t>、</w:t>
            </w:r>
            <w:r>
              <w:rPr>
                <w:rFonts w:cs="宋体"/>
                <w:bCs/>
                <w:sz w:val="24"/>
              </w:rPr>
              <w:t>市场监管总局</w:t>
            </w:r>
            <w:r>
              <w:rPr>
                <w:rFonts w:hint="eastAsia" w:cs="宋体"/>
                <w:bCs/>
                <w:sz w:val="24"/>
              </w:rPr>
              <w:t>、</w:t>
            </w:r>
            <w:r>
              <w:rPr>
                <w:rFonts w:cs="宋体"/>
                <w:bCs/>
                <w:sz w:val="24"/>
              </w:rPr>
              <w:t>国家统计局</w:t>
            </w:r>
            <w:r>
              <w:rPr>
                <w:rFonts w:hint="eastAsia" w:cs="宋体"/>
                <w:bCs/>
                <w:sz w:val="24"/>
              </w:rPr>
              <w:t>、</w:t>
            </w:r>
            <w:r>
              <w:rPr>
                <w:rFonts w:cs="宋体"/>
                <w:bCs/>
                <w:sz w:val="24"/>
              </w:rPr>
              <w:t>中国海警局</w:t>
            </w:r>
            <w:r>
              <w:rPr>
                <w:rFonts w:hint="eastAsia" w:cs="宋体"/>
                <w:bCs/>
                <w:sz w:val="24"/>
              </w:rPr>
              <w:t>、</w:t>
            </w:r>
            <w:r>
              <w:rPr>
                <w:rFonts w:cs="宋体"/>
                <w:bCs/>
                <w:sz w:val="24"/>
              </w:rPr>
              <w:t>中国国家铁路集团有限公司</w:t>
            </w:r>
            <w:r>
              <w:rPr>
                <w:rFonts w:hint="eastAsia" w:cs="宋体"/>
                <w:bCs/>
                <w:sz w:val="24"/>
              </w:rPr>
              <w:t>于2020年3月25日联合印发了《关于印发&lt;关于促进砂石行业健康有序发展的指导意见&gt;的通知》（发改价格[2020]473号），通知指出：“确保重点工程项目需要。市场供应紧张、价格涨幅较大的地区，要针对性制定应急保供方案，切实采取有效措施，加强货源和运输调度的统筹协调，确保重点工程项目建设不受影响。”</w:t>
            </w:r>
          </w:p>
          <w:p>
            <w:pPr>
              <w:spacing w:line="360" w:lineRule="auto"/>
              <w:ind w:firstLine="480" w:firstLineChars="200"/>
              <w:rPr>
                <w:sz w:val="24"/>
              </w:rPr>
            </w:pPr>
            <w:r>
              <w:rPr>
                <w:rFonts w:hint="eastAsia"/>
                <w:sz w:val="24"/>
              </w:rPr>
              <w:t>由于河道清淤产生的连砂石属于优质砂石资源，产品品质好，适用于多种重点工程的修建，因此，乐山市沙湾区人民政府于2022年将原沙湾区嘉农镇王场村民生不锈钢产业园嘉农组团内用于工业园区回填的弃方（连砂石）进行拍卖（预估挖出可利用废弃物全部数量约为110万方（预估187万吨）），乐山市沙湾区铜河资源投资运营有限公司依法取得了该弃方（连砂石）的加工权，拟将此弃方内可利用废弃物挖出作为加工砂石原料，实现“废物再利用”。</w:t>
            </w:r>
          </w:p>
          <w:p>
            <w:pPr>
              <w:spacing w:line="360" w:lineRule="auto"/>
              <w:ind w:firstLine="480" w:firstLineChars="200"/>
              <w:rPr>
                <w:rFonts w:cs="宋体"/>
                <w:bCs/>
                <w:sz w:val="24"/>
              </w:rPr>
            </w:pPr>
            <w:r>
              <w:rPr>
                <w:rFonts w:hint="eastAsia" w:cs="宋体"/>
                <w:bCs/>
                <w:sz w:val="24"/>
              </w:rPr>
              <w:t>乐山市沙湾区铜河资源投资运营有限公司于2</w:t>
            </w:r>
            <w:r>
              <w:rPr>
                <w:rFonts w:cs="宋体"/>
                <w:bCs/>
                <w:sz w:val="24"/>
              </w:rPr>
              <w:t>022</w:t>
            </w:r>
            <w:r>
              <w:rPr>
                <w:rFonts w:hint="eastAsia" w:cs="宋体"/>
                <w:bCs/>
                <w:sz w:val="24"/>
              </w:rPr>
              <w:t>年1</w:t>
            </w:r>
            <w:r>
              <w:rPr>
                <w:rFonts w:cs="宋体"/>
                <w:bCs/>
                <w:sz w:val="24"/>
              </w:rPr>
              <w:t>0</w:t>
            </w:r>
            <w:r>
              <w:rPr>
                <w:rFonts w:hint="eastAsia" w:cs="宋体"/>
                <w:bCs/>
                <w:sz w:val="24"/>
              </w:rPr>
              <w:t>月在</w:t>
            </w:r>
            <w:r>
              <w:rPr>
                <w:rFonts w:hint="eastAsia" w:cs="宋体"/>
                <w:kern w:val="0"/>
                <w:sz w:val="24"/>
              </w:rPr>
              <w:t>沙湾区发展和改革局立项备案了</w:t>
            </w:r>
            <w:r>
              <w:rPr>
                <w:rFonts w:hint="eastAsia" w:cs="宋体"/>
                <w:bCs/>
                <w:sz w:val="24"/>
              </w:rPr>
              <w:t>“乐山市沙湾区铜河资源绿色建材加工厂项目</w:t>
            </w:r>
            <w:r>
              <w:rPr>
                <w:rFonts w:cs="宋体"/>
                <w:bCs/>
                <w:sz w:val="24"/>
              </w:rPr>
              <w:t>-</w:t>
            </w:r>
            <w:r>
              <w:rPr>
                <w:rFonts w:hint="eastAsia" w:cs="宋体"/>
                <w:bCs/>
                <w:sz w:val="24"/>
              </w:rPr>
              <w:t>土石方工程”</w:t>
            </w:r>
            <w:r>
              <w:rPr>
                <w:rFonts w:hint="eastAsia" w:cs="宋体"/>
                <w:kern w:val="0"/>
                <w:sz w:val="24"/>
              </w:rPr>
              <w:t>（备案号：川投资备【2210-511111-04-01-819912】FGQB-0220号）</w:t>
            </w:r>
            <w:r>
              <w:rPr>
                <w:rFonts w:hint="eastAsia" w:cs="宋体"/>
                <w:bCs/>
                <w:sz w:val="24"/>
              </w:rPr>
              <w:t>。备案后，乐山市沙湾区铜河资源投资运营有限公司将砂石加工的经营权进行了公开招标，2023年5月8日，乐山市睿玺建材有限公司中标了乐山市沙湾区铜河资源投资运营有限公司拍卖的“乐山市沙湾区铜河资源绿色建材加工厂项目-土石方工程”</w:t>
            </w:r>
            <w:r>
              <w:rPr>
                <w:rFonts w:hint="eastAsia"/>
              </w:rPr>
              <w:t>，</w:t>
            </w:r>
            <w:r>
              <w:rPr>
                <w:rFonts w:hint="eastAsia" w:cs="宋体"/>
                <w:bCs/>
                <w:sz w:val="24"/>
              </w:rPr>
              <w:t>实施砂石加工，工期直至将该地块清挖的约110万方可利用废弃物全部加工完成。</w:t>
            </w:r>
          </w:p>
          <w:p>
            <w:pPr>
              <w:spacing w:line="360" w:lineRule="auto"/>
              <w:ind w:firstLine="482" w:firstLineChars="200"/>
              <w:rPr>
                <w:rFonts w:cs="宋体"/>
                <w:b/>
                <w:bCs/>
                <w:sz w:val="24"/>
              </w:rPr>
            </w:pPr>
            <w:r>
              <w:rPr>
                <w:rFonts w:hint="eastAsia" w:cs="宋体"/>
                <w:b/>
                <w:bCs/>
                <w:sz w:val="24"/>
              </w:rPr>
              <w:t>本项目主要建设内容为：于原弃方堆放地内新建生产厂房2</w:t>
            </w:r>
            <w:r>
              <w:rPr>
                <w:rFonts w:cs="宋体"/>
                <w:b/>
                <w:bCs/>
                <w:sz w:val="24"/>
              </w:rPr>
              <w:t>000</w:t>
            </w:r>
            <w:r>
              <w:rPr>
                <w:rFonts w:hint="eastAsia" w:cs="宋体"/>
                <w:b/>
                <w:bCs/>
                <w:sz w:val="24"/>
              </w:rPr>
              <w:t>m</w:t>
            </w:r>
            <w:r>
              <w:rPr>
                <w:rFonts w:cs="宋体"/>
                <w:b/>
                <w:bCs/>
                <w:sz w:val="24"/>
                <w:vertAlign w:val="superscript"/>
              </w:rPr>
              <w:t>2</w:t>
            </w:r>
            <w:r>
              <w:rPr>
                <w:rFonts w:hint="eastAsia" w:cs="宋体"/>
                <w:b/>
                <w:bCs/>
                <w:sz w:val="24"/>
              </w:rPr>
              <w:t>，建设2条砂石生产线及配套设备；设置产品堆场</w:t>
            </w:r>
            <w:r>
              <w:rPr>
                <w:rFonts w:cs="宋体"/>
                <w:b/>
                <w:bCs/>
                <w:sz w:val="24"/>
              </w:rPr>
              <w:t>1200</w:t>
            </w:r>
            <w:r>
              <w:rPr>
                <w:rFonts w:hint="eastAsia" w:cs="宋体"/>
                <w:b/>
                <w:bCs/>
                <w:sz w:val="24"/>
              </w:rPr>
              <w:t>m</w:t>
            </w:r>
            <w:r>
              <w:rPr>
                <w:rFonts w:cs="宋体"/>
                <w:b/>
                <w:bCs/>
                <w:sz w:val="24"/>
                <w:vertAlign w:val="superscript"/>
              </w:rPr>
              <w:t>2</w:t>
            </w:r>
            <w:r>
              <w:rPr>
                <w:rFonts w:hint="eastAsia" w:cs="宋体"/>
                <w:b/>
                <w:bCs/>
                <w:sz w:val="24"/>
              </w:rPr>
              <w:t>以及道路硬化等相关配套设施；年产1</w:t>
            </w:r>
            <w:r>
              <w:rPr>
                <w:rFonts w:cs="宋体"/>
                <w:b/>
                <w:bCs/>
                <w:sz w:val="24"/>
              </w:rPr>
              <w:t>87</w:t>
            </w:r>
            <w:r>
              <w:rPr>
                <w:rFonts w:hint="eastAsia" w:cs="宋体"/>
                <w:b/>
                <w:bCs/>
                <w:sz w:val="24"/>
              </w:rPr>
              <w:t>万吨建筑用砂石，将原弃方堆放地内现有废弃石料消耗完毕后，不再生产。因厂房建设于原弃方堆放地内，项目原料堆放依托原弃方堆放地现有土地，不另外建设堆场；原料仅使用对场内现有堆存连砂石，不进行开采和外购。</w:t>
            </w:r>
            <w:r>
              <w:rPr>
                <w:rFonts w:hint="eastAsia"/>
                <w:sz w:val="24"/>
              </w:rPr>
              <w:t>因该项目已由</w:t>
            </w:r>
            <w:r>
              <w:rPr>
                <w:rFonts w:hint="eastAsia" w:cs="宋体"/>
                <w:bCs/>
                <w:sz w:val="24"/>
              </w:rPr>
              <w:t>乐山市沙湾区铜河资源投资运营有限公司</w:t>
            </w:r>
            <w:r>
              <w:rPr>
                <w:rFonts w:hint="eastAsia" w:cs="宋体"/>
                <w:kern w:val="0"/>
                <w:sz w:val="24"/>
              </w:rPr>
              <w:t>于2022年10月21日在沙湾区发展和改革局立项备案，</w:t>
            </w:r>
            <w:r>
              <w:rPr>
                <w:rFonts w:hint="eastAsia" w:cs="宋体"/>
                <w:bCs/>
                <w:sz w:val="24"/>
              </w:rPr>
              <w:t>乐山市睿玺建材有限公司无需另作备案</w:t>
            </w:r>
            <w:r>
              <w:rPr>
                <w:rFonts w:hint="eastAsia" w:cs="宋体"/>
                <w:kern w:val="0"/>
                <w:sz w:val="24"/>
              </w:rPr>
              <w:t>。但</w:t>
            </w:r>
            <w:r>
              <w:rPr>
                <w:rFonts w:hint="eastAsia" w:cs="宋体"/>
                <w:b/>
                <w:kern w:val="0"/>
                <w:sz w:val="24"/>
                <w:u w:val="single"/>
              </w:rPr>
              <w:t>由于</w:t>
            </w:r>
            <w:r>
              <w:rPr>
                <w:rFonts w:hint="eastAsia" w:cs="宋体"/>
                <w:b/>
                <w:bCs/>
                <w:sz w:val="24"/>
                <w:u w:val="single"/>
              </w:rPr>
              <w:t>乐山市睿玺建材有限公司对</w:t>
            </w:r>
            <w:r>
              <w:rPr>
                <w:rFonts w:hint="eastAsia" w:cs="宋体"/>
                <w:b/>
                <w:kern w:val="0"/>
                <w:sz w:val="24"/>
                <w:u w:val="single"/>
              </w:rPr>
              <w:t>项目进行建设和运营，施工期和运营期产生的环境问题均由</w:t>
            </w:r>
            <w:r>
              <w:rPr>
                <w:rFonts w:hint="eastAsia" w:cs="宋体"/>
                <w:b/>
                <w:bCs/>
                <w:sz w:val="24"/>
                <w:u w:val="single"/>
              </w:rPr>
              <w:t>乐山市睿玺建材有限公司</w:t>
            </w:r>
            <w:r>
              <w:rPr>
                <w:rFonts w:hint="eastAsia" w:cs="宋体"/>
                <w:b/>
                <w:kern w:val="0"/>
                <w:sz w:val="24"/>
                <w:u w:val="single"/>
              </w:rPr>
              <w:t>项负责。因此，项目业主为乐山市睿玺建材有限公司（具体见环保责任关系说明）</w:t>
            </w:r>
            <w:r>
              <w:rPr>
                <w:rFonts w:hint="eastAsia" w:cs="宋体"/>
                <w:b/>
                <w:kern w:val="0"/>
                <w:sz w:val="24"/>
              </w:rPr>
              <w:t>。</w:t>
            </w:r>
          </w:p>
          <w:p>
            <w:pPr>
              <w:spacing w:line="360" w:lineRule="auto"/>
              <w:ind w:firstLine="480" w:firstLineChars="200"/>
              <w:rPr>
                <w:sz w:val="24"/>
              </w:rPr>
            </w:pPr>
            <w:r>
              <w:rPr>
                <w:rFonts w:hint="eastAsia"/>
                <w:sz w:val="24"/>
              </w:rPr>
              <w:t>按照《中华人民共和国环境保护法》、《中华人民共和国环境影响评价法》和《建设项目环境保护管理条例》（国务院令第</w:t>
            </w:r>
            <w:r>
              <w:rPr>
                <w:sz w:val="24"/>
              </w:rPr>
              <w:t>682</w:t>
            </w:r>
            <w:r>
              <w:rPr>
                <w:rFonts w:hint="eastAsia"/>
                <w:sz w:val="24"/>
              </w:rPr>
              <w:t>号令）的有关规定，一切新建、扩建、技改项目必须进行环境影响评价。根据《建设项目环境影响评价分类管理名录（2021年版）》（生态环境部令第16号），本项目属于“三十九、废弃资源综合利用业 42”中“非金属废料和碎屑加工处理 422”，应当编制环境影响报告表。为此，</w:t>
            </w:r>
            <w:r>
              <w:rPr>
                <w:rFonts w:hint="eastAsia" w:cs="宋体"/>
                <w:bCs/>
                <w:sz w:val="24"/>
              </w:rPr>
              <w:t>乐山市睿玺建材有限公司</w:t>
            </w:r>
            <w:r>
              <w:rPr>
                <w:rFonts w:hint="eastAsia"/>
                <w:sz w:val="24"/>
              </w:rPr>
              <w:t>委托乐山市四维环保科技有限责任公司开展该项目环境影响评价工作。我公司接受委托后，派工程技术人员到现场进行调查和资料收集，按照国家建设项目环境影响报告表的有关技术规范要求，编制完成该项目环境影响报告表。</w:t>
            </w:r>
          </w:p>
          <w:p>
            <w:pPr>
              <w:adjustRightInd w:val="0"/>
              <w:snapToGrid w:val="0"/>
              <w:spacing w:line="360" w:lineRule="auto"/>
              <w:ind w:firstLine="482" w:firstLineChars="200"/>
              <w:rPr>
                <w:rFonts w:cs="宋体"/>
                <w:b/>
                <w:bCs/>
                <w:sz w:val="24"/>
              </w:rPr>
            </w:pPr>
            <w:r>
              <w:rPr>
                <w:rFonts w:hint="eastAsia" w:cs="宋体"/>
                <w:b/>
                <w:bCs/>
                <w:sz w:val="24"/>
              </w:rPr>
              <w:t>2、项目名称、建设单位、建设地点、性质</w:t>
            </w:r>
          </w:p>
          <w:p>
            <w:pPr>
              <w:adjustRightInd w:val="0"/>
              <w:snapToGrid w:val="0"/>
              <w:spacing w:line="360" w:lineRule="auto"/>
              <w:ind w:firstLine="480" w:firstLineChars="200"/>
              <w:rPr>
                <w:rFonts w:cs="宋体"/>
                <w:bCs/>
                <w:sz w:val="24"/>
              </w:rPr>
            </w:pPr>
            <w:r>
              <w:rPr>
                <w:rFonts w:hint="eastAsia" w:cs="宋体"/>
                <w:bCs/>
                <w:sz w:val="24"/>
              </w:rPr>
              <w:t>项目名称：</w:t>
            </w:r>
            <w:r>
              <w:rPr>
                <w:rFonts w:hint="eastAsia" w:cs="宋体"/>
                <w:sz w:val="24"/>
              </w:rPr>
              <w:t>乐山市沙湾区铜河资源绿色建材加工厂项目</w:t>
            </w:r>
          </w:p>
          <w:p>
            <w:pPr>
              <w:adjustRightInd w:val="0"/>
              <w:snapToGrid w:val="0"/>
              <w:spacing w:line="360" w:lineRule="auto"/>
              <w:ind w:firstLine="480" w:firstLineChars="200"/>
              <w:rPr>
                <w:rFonts w:cs="宋体"/>
                <w:bCs/>
                <w:sz w:val="24"/>
              </w:rPr>
            </w:pPr>
            <w:r>
              <w:rPr>
                <w:rFonts w:hint="eastAsia" w:cs="宋体"/>
                <w:bCs/>
                <w:sz w:val="24"/>
              </w:rPr>
              <w:t>建设单位：乐山市睿玺建材有限公司</w:t>
            </w:r>
          </w:p>
          <w:p>
            <w:pPr>
              <w:adjustRightInd w:val="0"/>
              <w:snapToGrid w:val="0"/>
              <w:spacing w:line="360" w:lineRule="auto"/>
              <w:ind w:firstLine="480" w:firstLineChars="200"/>
              <w:rPr>
                <w:rFonts w:cs="宋体"/>
                <w:bCs/>
                <w:sz w:val="24"/>
              </w:rPr>
            </w:pPr>
            <w:r>
              <w:rPr>
                <w:rFonts w:hint="eastAsia" w:cs="宋体"/>
                <w:bCs/>
                <w:sz w:val="24"/>
              </w:rPr>
              <w:t>建设地点：</w:t>
            </w:r>
            <w:r>
              <w:rPr>
                <w:rFonts w:hint="eastAsia" w:cs="宋体"/>
                <w:sz w:val="24"/>
              </w:rPr>
              <w:t>四川省乐山市沙湾区嘉农镇王场村</w:t>
            </w:r>
            <w:r>
              <w:rPr>
                <w:sz w:val="24"/>
              </w:rPr>
              <w:t>民生不锈钢产业园嘉农组团</w:t>
            </w:r>
          </w:p>
          <w:p>
            <w:pPr>
              <w:adjustRightInd w:val="0"/>
              <w:snapToGrid w:val="0"/>
              <w:spacing w:line="360" w:lineRule="auto"/>
              <w:ind w:firstLine="480" w:firstLineChars="200"/>
              <w:rPr>
                <w:rFonts w:cs="宋体"/>
                <w:bCs/>
                <w:sz w:val="24"/>
              </w:rPr>
            </w:pPr>
            <w:r>
              <w:rPr>
                <w:rFonts w:hint="eastAsia" w:cs="宋体"/>
                <w:bCs/>
                <w:sz w:val="24"/>
              </w:rPr>
              <w:t>建设性质：新建</w:t>
            </w:r>
          </w:p>
          <w:p>
            <w:pPr>
              <w:adjustRightInd w:val="0"/>
              <w:snapToGrid w:val="0"/>
              <w:spacing w:line="360" w:lineRule="auto"/>
              <w:ind w:firstLine="480" w:firstLineChars="200"/>
              <w:rPr>
                <w:rFonts w:cs="宋体"/>
                <w:bCs/>
                <w:sz w:val="24"/>
              </w:rPr>
            </w:pPr>
            <w:r>
              <w:rPr>
                <w:rFonts w:hint="eastAsia" w:cs="宋体"/>
                <w:bCs/>
                <w:sz w:val="24"/>
              </w:rPr>
              <w:t>项目总投资：</w:t>
            </w:r>
            <w:r>
              <w:rPr>
                <w:rFonts w:cs="宋体"/>
                <w:bCs/>
                <w:sz w:val="24"/>
              </w:rPr>
              <w:t>7000</w:t>
            </w:r>
            <w:r>
              <w:rPr>
                <w:rFonts w:hint="eastAsia" w:cs="宋体"/>
                <w:bCs/>
                <w:sz w:val="24"/>
              </w:rPr>
              <w:t>万元</w:t>
            </w:r>
          </w:p>
          <w:p>
            <w:pPr>
              <w:adjustRightInd w:val="0"/>
              <w:snapToGrid w:val="0"/>
              <w:spacing w:line="360" w:lineRule="auto"/>
              <w:ind w:firstLine="480" w:firstLineChars="200"/>
              <w:rPr>
                <w:rFonts w:cs="宋体"/>
                <w:bCs/>
                <w:sz w:val="24"/>
              </w:rPr>
            </w:pPr>
            <w:r>
              <w:rPr>
                <w:rFonts w:hint="eastAsia" w:cs="宋体"/>
                <w:bCs/>
                <w:sz w:val="24"/>
              </w:rPr>
              <w:t>3、</w:t>
            </w:r>
            <w:r>
              <w:rPr>
                <w:rFonts w:hint="eastAsia"/>
                <w:b/>
                <w:color w:val="000000"/>
                <w:sz w:val="24"/>
              </w:rPr>
              <w:t>产品方案和产品规模</w:t>
            </w:r>
          </w:p>
          <w:p>
            <w:pPr>
              <w:adjustRightInd w:val="0"/>
              <w:snapToGrid w:val="0"/>
              <w:jc w:val="center"/>
              <w:rPr>
                <w:b/>
                <w:color w:val="000000"/>
                <w:szCs w:val="21"/>
              </w:rPr>
            </w:pPr>
            <w:r>
              <w:rPr>
                <w:rFonts w:hint="eastAsia"/>
                <w:b/>
                <w:color w:val="000000"/>
                <w:szCs w:val="21"/>
              </w:rPr>
              <w:t>表2</w:t>
            </w:r>
            <w:r>
              <w:rPr>
                <w:b/>
                <w:color w:val="000000"/>
                <w:szCs w:val="21"/>
              </w:rPr>
              <w:t xml:space="preserve">-1 </w:t>
            </w:r>
            <w:r>
              <w:rPr>
                <w:rFonts w:hint="eastAsia"/>
                <w:b/>
                <w:color w:val="000000"/>
                <w:szCs w:val="21"/>
              </w:rPr>
              <w:t>本项目生产规模及产品方案</w:t>
            </w:r>
          </w:p>
          <w:tbl>
            <w:tblPr>
              <w:tblStyle w:val="14"/>
              <w:tblW w:w="852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612"/>
              <w:gridCol w:w="2613"/>
              <w:gridCol w:w="261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8" w:type="dxa"/>
                  <w:vAlign w:val="center"/>
                </w:tcPr>
                <w:p>
                  <w:pPr>
                    <w:pStyle w:val="36"/>
                    <w:rPr>
                      <w:b/>
                      <w:color w:val="000000"/>
                    </w:rPr>
                  </w:pPr>
                  <w:r>
                    <w:rPr>
                      <w:rFonts w:hint="eastAsia"/>
                      <w:b/>
                      <w:color w:val="000000"/>
                    </w:rPr>
                    <w:t>序号</w:t>
                  </w:r>
                </w:p>
              </w:tc>
              <w:tc>
                <w:tcPr>
                  <w:tcW w:w="2612" w:type="dxa"/>
                  <w:vAlign w:val="center"/>
                </w:tcPr>
                <w:p>
                  <w:pPr>
                    <w:pStyle w:val="36"/>
                    <w:rPr>
                      <w:b/>
                      <w:color w:val="000000"/>
                    </w:rPr>
                  </w:pPr>
                  <w:r>
                    <w:rPr>
                      <w:rFonts w:hint="eastAsia"/>
                      <w:b/>
                      <w:color w:val="000000"/>
                    </w:rPr>
                    <w:t>产品名称</w:t>
                  </w:r>
                </w:p>
              </w:tc>
              <w:tc>
                <w:tcPr>
                  <w:tcW w:w="2613" w:type="dxa"/>
                </w:tcPr>
                <w:p>
                  <w:pPr>
                    <w:pStyle w:val="36"/>
                    <w:rPr>
                      <w:b/>
                      <w:color w:val="000000"/>
                    </w:rPr>
                  </w:pPr>
                  <w:r>
                    <w:rPr>
                      <w:rFonts w:hint="eastAsia"/>
                      <w:b/>
                      <w:color w:val="000000"/>
                    </w:rPr>
                    <w:t>规格（mm）</w:t>
                  </w:r>
                </w:p>
              </w:tc>
              <w:tc>
                <w:tcPr>
                  <w:tcW w:w="2613" w:type="dxa"/>
                  <w:vAlign w:val="center"/>
                </w:tcPr>
                <w:p>
                  <w:pPr>
                    <w:pStyle w:val="36"/>
                    <w:rPr>
                      <w:b/>
                      <w:color w:val="000000"/>
                    </w:rPr>
                  </w:pPr>
                  <w:r>
                    <w:rPr>
                      <w:rFonts w:hint="eastAsia"/>
                      <w:b/>
                      <w:color w:val="000000"/>
                    </w:rPr>
                    <w:t>年产量（万t/a）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8" w:type="dxa"/>
                  <w:vAlign w:val="center"/>
                </w:tcPr>
                <w:p>
                  <w:pPr>
                    <w:pStyle w:val="36"/>
                    <w:rPr>
                      <w:color w:val="000000"/>
                    </w:rPr>
                  </w:pPr>
                  <w:r>
                    <w:rPr>
                      <w:rFonts w:hint="eastAsia"/>
                      <w:color w:val="000000"/>
                    </w:rPr>
                    <w:t>1</w:t>
                  </w:r>
                </w:p>
              </w:tc>
              <w:tc>
                <w:tcPr>
                  <w:tcW w:w="2612" w:type="dxa"/>
                  <w:vAlign w:val="center"/>
                </w:tcPr>
                <w:p>
                  <w:pPr>
                    <w:pStyle w:val="47"/>
                  </w:pPr>
                  <w:r>
                    <w:rPr>
                      <w:rFonts w:hint="eastAsia"/>
                    </w:rPr>
                    <w:t>自然砂</w:t>
                  </w:r>
                </w:p>
              </w:tc>
              <w:tc>
                <w:tcPr>
                  <w:tcW w:w="2613" w:type="dxa"/>
                  <w:vAlign w:val="center"/>
                </w:tcPr>
                <w:p>
                  <w:pPr>
                    <w:pStyle w:val="47"/>
                  </w:pPr>
                  <w:r>
                    <w:t>≤5</w:t>
                  </w:r>
                </w:p>
              </w:tc>
              <w:tc>
                <w:tcPr>
                  <w:tcW w:w="2613" w:type="dxa"/>
                  <w:vAlign w:val="center"/>
                </w:tcPr>
                <w:p>
                  <w:pPr>
                    <w:pStyle w:val="47"/>
                  </w:pPr>
                  <w:r>
                    <w:t>59.0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8" w:type="dxa"/>
                  <w:vAlign w:val="center"/>
                </w:tcPr>
                <w:p>
                  <w:pPr>
                    <w:pStyle w:val="36"/>
                    <w:rPr>
                      <w:color w:val="000000"/>
                    </w:rPr>
                  </w:pPr>
                  <w:r>
                    <w:rPr>
                      <w:rFonts w:hint="eastAsia"/>
                      <w:color w:val="000000"/>
                    </w:rPr>
                    <w:t>2</w:t>
                  </w:r>
                </w:p>
              </w:tc>
              <w:tc>
                <w:tcPr>
                  <w:tcW w:w="2612" w:type="dxa"/>
                  <w:vAlign w:val="center"/>
                </w:tcPr>
                <w:p>
                  <w:pPr>
                    <w:pStyle w:val="47"/>
                  </w:pPr>
                  <w:r>
                    <w:rPr>
                      <w:rFonts w:hint="eastAsia"/>
                    </w:rPr>
                    <w:t>机制砂</w:t>
                  </w:r>
                </w:p>
              </w:tc>
              <w:tc>
                <w:tcPr>
                  <w:tcW w:w="2613" w:type="dxa"/>
                  <w:vAlign w:val="center"/>
                </w:tcPr>
                <w:p>
                  <w:pPr>
                    <w:pStyle w:val="47"/>
                  </w:pPr>
                  <w:r>
                    <w:t>≤5</w:t>
                  </w:r>
                </w:p>
              </w:tc>
              <w:tc>
                <w:tcPr>
                  <w:tcW w:w="2613" w:type="dxa"/>
                  <w:vAlign w:val="center"/>
                </w:tcPr>
                <w:p>
                  <w:pPr>
                    <w:pStyle w:val="47"/>
                  </w:pPr>
                  <w:r>
                    <w:t>44.0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8" w:type="dxa"/>
                  <w:vMerge w:val="restart"/>
                  <w:vAlign w:val="center"/>
                </w:tcPr>
                <w:p>
                  <w:pPr>
                    <w:pStyle w:val="36"/>
                    <w:rPr>
                      <w:color w:val="000000"/>
                    </w:rPr>
                  </w:pPr>
                  <w:r>
                    <w:rPr>
                      <w:rFonts w:hint="eastAsia"/>
                      <w:color w:val="000000"/>
                    </w:rPr>
                    <w:t>3</w:t>
                  </w:r>
                </w:p>
              </w:tc>
              <w:tc>
                <w:tcPr>
                  <w:tcW w:w="2612" w:type="dxa"/>
                  <w:vMerge w:val="restart"/>
                  <w:vAlign w:val="center"/>
                </w:tcPr>
                <w:p>
                  <w:pPr>
                    <w:pStyle w:val="47"/>
                  </w:pPr>
                  <w:r>
                    <w:rPr>
                      <w:rFonts w:hint="eastAsia"/>
                    </w:rPr>
                    <w:t>碎石</w:t>
                  </w:r>
                </w:p>
              </w:tc>
              <w:tc>
                <w:tcPr>
                  <w:tcW w:w="2613" w:type="dxa"/>
                  <w:vAlign w:val="center"/>
                </w:tcPr>
                <w:p>
                  <w:pPr>
                    <w:pStyle w:val="47"/>
                  </w:pPr>
                  <w:r>
                    <w:t>5~10</w:t>
                  </w:r>
                </w:p>
              </w:tc>
              <w:tc>
                <w:tcPr>
                  <w:tcW w:w="2613" w:type="dxa"/>
                  <w:vAlign w:val="center"/>
                </w:tcPr>
                <w:p>
                  <w:pPr>
                    <w:pStyle w:val="47"/>
                  </w:pPr>
                  <w:r>
                    <w:t>42.0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8" w:type="dxa"/>
                  <w:vMerge w:val="continue"/>
                  <w:vAlign w:val="center"/>
                </w:tcPr>
                <w:p>
                  <w:pPr>
                    <w:pStyle w:val="36"/>
                    <w:rPr>
                      <w:color w:val="000000"/>
                    </w:rPr>
                  </w:pPr>
                </w:p>
              </w:tc>
              <w:tc>
                <w:tcPr>
                  <w:tcW w:w="2612" w:type="dxa"/>
                  <w:vMerge w:val="continue"/>
                  <w:vAlign w:val="center"/>
                </w:tcPr>
                <w:p>
                  <w:pPr>
                    <w:pStyle w:val="47"/>
                  </w:pPr>
                </w:p>
              </w:tc>
              <w:tc>
                <w:tcPr>
                  <w:tcW w:w="2613" w:type="dxa"/>
                  <w:vAlign w:val="center"/>
                </w:tcPr>
                <w:p>
                  <w:pPr>
                    <w:pStyle w:val="47"/>
                  </w:pPr>
                  <w:r>
                    <w:rPr>
                      <w:rFonts w:hint="eastAsia"/>
                    </w:rPr>
                    <w:t>1</w:t>
                  </w:r>
                  <w:r>
                    <w:t>0~20</w:t>
                  </w:r>
                </w:p>
              </w:tc>
              <w:tc>
                <w:tcPr>
                  <w:tcW w:w="2613" w:type="dxa"/>
                  <w:vAlign w:val="center"/>
                </w:tcPr>
                <w:p>
                  <w:pPr>
                    <w:pStyle w:val="47"/>
                  </w:pPr>
                  <w:r>
                    <w:rPr>
                      <w:rFonts w:hint="eastAsia"/>
                    </w:rPr>
                    <w:t>3</w:t>
                  </w:r>
                  <w:r>
                    <w:t>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8" w:type="dxa"/>
                  <w:vMerge w:val="continue"/>
                  <w:vAlign w:val="center"/>
                </w:tcPr>
                <w:p>
                  <w:pPr>
                    <w:pStyle w:val="36"/>
                    <w:rPr>
                      <w:color w:val="000000"/>
                    </w:rPr>
                  </w:pPr>
                </w:p>
              </w:tc>
              <w:tc>
                <w:tcPr>
                  <w:tcW w:w="2612" w:type="dxa"/>
                  <w:vMerge w:val="continue"/>
                  <w:vAlign w:val="center"/>
                </w:tcPr>
                <w:p>
                  <w:pPr>
                    <w:pStyle w:val="47"/>
                  </w:pPr>
                </w:p>
              </w:tc>
              <w:tc>
                <w:tcPr>
                  <w:tcW w:w="2613" w:type="dxa"/>
                  <w:vAlign w:val="center"/>
                </w:tcPr>
                <w:p>
                  <w:pPr>
                    <w:pStyle w:val="47"/>
                  </w:pPr>
                  <w:r>
                    <w:rPr>
                      <w:rFonts w:hint="eastAsia"/>
                    </w:rPr>
                    <w:t>2</w:t>
                  </w:r>
                  <w:r>
                    <w:t>0~31.5</w:t>
                  </w:r>
                </w:p>
              </w:tc>
              <w:tc>
                <w:tcPr>
                  <w:tcW w:w="2613" w:type="dxa"/>
                  <w:vAlign w:val="center"/>
                </w:tcPr>
                <w:p>
                  <w:pPr>
                    <w:pStyle w:val="47"/>
                  </w:pPr>
                  <w:r>
                    <w:rPr>
                      <w:rFonts w:hint="eastAsia"/>
                    </w:rPr>
                    <w:t>1</w:t>
                  </w:r>
                  <w: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8" w:type="dxa"/>
                  <w:vAlign w:val="center"/>
                </w:tcPr>
                <w:p>
                  <w:pPr>
                    <w:pStyle w:val="36"/>
                    <w:rPr>
                      <w:color w:val="000000"/>
                    </w:rPr>
                  </w:pPr>
                  <w:r>
                    <w:rPr>
                      <w:rFonts w:hint="eastAsia"/>
                      <w:color w:val="000000"/>
                    </w:rPr>
                    <w:t>4</w:t>
                  </w:r>
                </w:p>
              </w:tc>
              <w:tc>
                <w:tcPr>
                  <w:tcW w:w="2612" w:type="dxa"/>
                  <w:vAlign w:val="center"/>
                </w:tcPr>
                <w:p>
                  <w:pPr>
                    <w:pStyle w:val="47"/>
                  </w:pPr>
                  <w:r>
                    <w:rPr>
                      <w:rFonts w:hint="eastAsia"/>
                    </w:rPr>
                    <w:t>总计</w:t>
                  </w:r>
                </w:p>
              </w:tc>
              <w:tc>
                <w:tcPr>
                  <w:tcW w:w="2613" w:type="dxa"/>
                  <w:vAlign w:val="center"/>
                </w:tcPr>
                <w:p>
                  <w:pPr>
                    <w:pStyle w:val="47"/>
                  </w:pPr>
                  <w:r>
                    <w:rPr>
                      <w:rFonts w:hint="eastAsia"/>
                    </w:rPr>
                    <w:t>/</w:t>
                  </w:r>
                </w:p>
              </w:tc>
              <w:tc>
                <w:tcPr>
                  <w:tcW w:w="2613" w:type="dxa"/>
                  <w:vAlign w:val="center"/>
                </w:tcPr>
                <w:p>
                  <w:pPr>
                    <w:pStyle w:val="47"/>
                  </w:pPr>
                  <w:r>
                    <w:t>187.0</w:t>
                  </w:r>
                </w:p>
              </w:tc>
            </w:tr>
          </w:tbl>
          <w:p>
            <w:pPr>
              <w:adjustRightInd w:val="0"/>
              <w:snapToGrid w:val="0"/>
              <w:spacing w:before="120" w:beforeLines="50" w:line="360" w:lineRule="auto"/>
              <w:ind w:firstLine="482" w:firstLineChars="200"/>
              <w:rPr>
                <w:rFonts w:cs="宋体"/>
                <w:b/>
                <w:bCs/>
                <w:sz w:val="24"/>
              </w:rPr>
            </w:pPr>
            <w:r>
              <w:rPr>
                <w:rFonts w:cs="宋体"/>
                <w:b/>
                <w:bCs/>
                <w:sz w:val="24"/>
              </w:rPr>
              <w:t>4</w:t>
            </w:r>
            <w:r>
              <w:rPr>
                <w:rFonts w:hint="eastAsia" w:cs="宋体"/>
                <w:b/>
                <w:bCs/>
                <w:sz w:val="24"/>
              </w:rPr>
              <w:t>、项目建设内容及规模</w:t>
            </w:r>
          </w:p>
          <w:p>
            <w:pPr>
              <w:adjustRightInd w:val="0"/>
              <w:snapToGrid w:val="0"/>
              <w:spacing w:line="360" w:lineRule="auto"/>
              <w:ind w:firstLine="480" w:firstLineChars="200"/>
              <w:rPr>
                <w:rFonts w:cs="宋体"/>
                <w:bCs/>
                <w:sz w:val="24"/>
              </w:rPr>
            </w:pPr>
            <w:r>
              <w:rPr>
                <w:rFonts w:hint="eastAsia" w:cs="宋体"/>
                <w:bCs/>
                <w:sz w:val="24"/>
              </w:rPr>
              <w:t>本项目主要建设内容为：原弃方堆放地内新建生产厂房2000m</w:t>
            </w:r>
            <w:r>
              <w:rPr>
                <w:rFonts w:hint="eastAsia" w:cs="宋体"/>
                <w:bCs/>
                <w:sz w:val="24"/>
                <w:vertAlign w:val="superscript"/>
              </w:rPr>
              <w:t>2</w:t>
            </w:r>
            <w:r>
              <w:rPr>
                <w:rFonts w:hint="eastAsia" w:cs="宋体"/>
                <w:bCs/>
                <w:sz w:val="24"/>
              </w:rPr>
              <w:t>，建设2条砂石生产线及配套设备；设置产品堆场1200m</w:t>
            </w:r>
            <w:r>
              <w:rPr>
                <w:rFonts w:hint="eastAsia" w:cs="宋体"/>
                <w:bCs/>
                <w:sz w:val="24"/>
                <w:vertAlign w:val="superscript"/>
              </w:rPr>
              <w:t>2</w:t>
            </w:r>
            <w:r>
              <w:rPr>
                <w:rFonts w:hint="eastAsia" w:cs="宋体"/>
                <w:bCs/>
                <w:sz w:val="24"/>
              </w:rPr>
              <w:t>以及道路硬化等相关配套设施；年产187万吨建筑用砂石，将原弃方堆放地内现有废弃石料消耗完毕后，不再生产。因厂房建设于原弃方堆放地内，项目原料堆放依托原弃方堆放地现有土地，不另外建设堆场；</w:t>
            </w:r>
            <w:r>
              <w:rPr>
                <w:rFonts w:hint="eastAsia" w:cs="宋体"/>
                <w:b/>
                <w:bCs/>
                <w:sz w:val="24"/>
              </w:rPr>
              <w:t>原料仅使用对场内现有堆存连砂石，不进行开采和外购</w:t>
            </w:r>
            <w:r>
              <w:rPr>
                <w:rFonts w:hint="eastAsia" w:cs="宋体"/>
                <w:bCs/>
                <w:sz w:val="24"/>
              </w:rPr>
              <w:t>。</w:t>
            </w:r>
          </w:p>
          <w:p>
            <w:pPr>
              <w:spacing w:line="360" w:lineRule="auto"/>
              <w:ind w:firstLine="480" w:firstLineChars="200"/>
              <w:rPr>
                <w:color w:val="000000"/>
                <w:sz w:val="24"/>
              </w:rPr>
            </w:pPr>
            <w:r>
              <w:rPr>
                <w:rFonts w:hint="eastAsia" w:cs="宋体"/>
                <w:bCs/>
                <w:sz w:val="24"/>
              </w:rPr>
              <w:t>本项目主要由</w:t>
            </w:r>
            <w:r>
              <w:rPr>
                <w:rFonts w:hint="eastAsia"/>
                <w:color w:val="000000"/>
                <w:sz w:val="24"/>
              </w:rPr>
              <w:t>主体工程、公用工程、办公生活设施以及环保工程等项目组成，本项目组成及主要的环境问题如下表。</w:t>
            </w:r>
          </w:p>
          <w:p>
            <w:pPr>
              <w:jc w:val="center"/>
              <w:rPr>
                <w:b/>
                <w:color w:val="000000"/>
                <w:szCs w:val="21"/>
              </w:rPr>
            </w:pPr>
            <w:r>
              <w:rPr>
                <w:rFonts w:hint="eastAsia"/>
                <w:b/>
                <w:color w:val="000000"/>
                <w:szCs w:val="21"/>
              </w:rPr>
              <w:t>表2</w:t>
            </w:r>
            <w:r>
              <w:rPr>
                <w:b/>
                <w:color w:val="000000"/>
                <w:szCs w:val="21"/>
              </w:rPr>
              <w:t xml:space="preserve">-2 </w:t>
            </w:r>
            <w:r>
              <w:rPr>
                <w:rFonts w:hint="eastAsia"/>
                <w:b/>
                <w:color w:val="000000"/>
                <w:szCs w:val="21"/>
              </w:rPr>
              <w:t>项目组成及主要的环境问题</w:t>
            </w:r>
          </w:p>
          <w:tbl>
            <w:tblPr>
              <w:tblStyle w:val="14"/>
              <w:tblW w:w="857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033"/>
              <w:gridCol w:w="851"/>
              <w:gridCol w:w="1417"/>
              <w:gridCol w:w="3544"/>
              <w:gridCol w:w="850"/>
              <w:gridCol w:w="88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884" w:type="dxa"/>
                  <w:gridSpan w:val="2"/>
                  <w:vMerge w:val="restart"/>
                  <w:vAlign w:val="center"/>
                </w:tcPr>
                <w:p>
                  <w:pPr>
                    <w:pStyle w:val="47"/>
                    <w:rPr>
                      <w:rFonts w:cs="宋体"/>
                      <w:b/>
                      <w:color w:val="000000"/>
                    </w:rPr>
                  </w:pPr>
                  <w:r>
                    <w:rPr>
                      <w:rFonts w:hint="eastAsia" w:cs="宋体"/>
                      <w:b/>
                      <w:color w:val="000000"/>
                    </w:rPr>
                    <w:t>工程分类及项目名称</w:t>
                  </w:r>
                </w:p>
              </w:tc>
              <w:tc>
                <w:tcPr>
                  <w:tcW w:w="4961" w:type="dxa"/>
                  <w:gridSpan w:val="2"/>
                  <w:vMerge w:val="restart"/>
                  <w:vAlign w:val="center"/>
                </w:tcPr>
                <w:p>
                  <w:pPr>
                    <w:pStyle w:val="47"/>
                    <w:rPr>
                      <w:rFonts w:cs="宋体"/>
                      <w:b/>
                      <w:color w:val="000000"/>
                    </w:rPr>
                  </w:pPr>
                  <w:r>
                    <w:rPr>
                      <w:rFonts w:hint="eastAsia" w:cs="宋体"/>
                      <w:b/>
                      <w:color w:val="000000"/>
                    </w:rPr>
                    <w:t>工程内容</w:t>
                  </w:r>
                </w:p>
              </w:tc>
              <w:tc>
                <w:tcPr>
                  <w:tcW w:w="1731" w:type="dxa"/>
                  <w:gridSpan w:val="2"/>
                  <w:vAlign w:val="center"/>
                </w:tcPr>
                <w:p>
                  <w:pPr>
                    <w:pStyle w:val="47"/>
                    <w:rPr>
                      <w:rFonts w:cs="宋体"/>
                      <w:b/>
                      <w:color w:val="000000"/>
                    </w:rPr>
                  </w:pPr>
                  <w:r>
                    <w:rPr>
                      <w:rFonts w:hint="eastAsia" w:cs="宋体"/>
                      <w:b/>
                      <w:color w:val="000000"/>
                    </w:rPr>
                    <w:t>主要环境问题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884" w:type="dxa"/>
                  <w:gridSpan w:val="2"/>
                  <w:vMerge w:val="continue"/>
                  <w:vAlign w:val="center"/>
                </w:tcPr>
                <w:p>
                  <w:pPr>
                    <w:pStyle w:val="47"/>
                    <w:rPr>
                      <w:rFonts w:cs="宋体"/>
                      <w:color w:val="000000"/>
                    </w:rPr>
                  </w:pPr>
                </w:p>
              </w:tc>
              <w:tc>
                <w:tcPr>
                  <w:tcW w:w="4961" w:type="dxa"/>
                  <w:gridSpan w:val="2"/>
                  <w:vMerge w:val="continue"/>
                  <w:vAlign w:val="center"/>
                </w:tcPr>
                <w:p>
                  <w:pPr>
                    <w:pStyle w:val="47"/>
                    <w:rPr>
                      <w:rFonts w:cs="宋体"/>
                      <w:color w:val="000000"/>
                    </w:rPr>
                  </w:pPr>
                </w:p>
              </w:tc>
              <w:tc>
                <w:tcPr>
                  <w:tcW w:w="850" w:type="dxa"/>
                  <w:vAlign w:val="center"/>
                </w:tcPr>
                <w:p>
                  <w:pPr>
                    <w:pStyle w:val="47"/>
                    <w:rPr>
                      <w:rFonts w:cs="宋体"/>
                      <w:b/>
                      <w:color w:val="000000"/>
                    </w:rPr>
                  </w:pPr>
                  <w:r>
                    <w:rPr>
                      <w:rFonts w:hint="eastAsia" w:cs="宋体"/>
                      <w:b/>
                      <w:color w:val="000000"/>
                    </w:rPr>
                    <w:t>施工期</w:t>
                  </w:r>
                </w:p>
              </w:tc>
              <w:tc>
                <w:tcPr>
                  <w:tcW w:w="881" w:type="dxa"/>
                  <w:vAlign w:val="center"/>
                </w:tcPr>
                <w:p>
                  <w:pPr>
                    <w:pStyle w:val="47"/>
                    <w:rPr>
                      <w:rFonts w:cs="宋体"/>
                      <w:b/>
                      <w:color w:val="000000"/>
                    </w:rPr>
                  </w:pPr>
                  <w:r>
                    <w:rPr>
                      <w:rFonts w:hint="eastAsia" w:cs="宋体"/>
                      <w:b/>
                      <w:color w:val="000000"/>
                    </w:rPr>
                    <w:t>运营期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Align w:val="center"/>
                </w:tcPr>
                <w:p>
                  <w:pPr>
                    <w:pStyle w:val="47"/>
                    <w:rPr>
                      <w:rFonts w:cs="宋体"/>
                      <w:color w:val="000000"/>
                    </w:rPr>
                  </w:pPr>
                  <w:r>
                    <w:rPr>
                      <w:rFonts w:hint="eastAsia" w:cs="宋体"/>
                      <w:color w:val="000000"/>
                    </w:rPr>
                    <w:t>主体工程</w:t>
                  </w:r>
                </w:p>
              </w:tc>
              <w:tc>
                <w:tcPr>
                  <w:tcW w:w="851" w:type="dxa"/>
                  <w:vAlign w:val="center"/>
                </w:tcPr>
                <w:p>
                  <w:pPr>
                    <w:pStyle w:val="47"/>
                    <w:rPr>
                      <w:rFonts w:cs="宋体"/>
                      <w:color w:val="000000"/>
                    </w:rPr>
                  </w:pPr>
                  <w:r>
                    <w:rPr>
                      <w:rFonts w:hint="eastAsia" w:cs="宋体"/>
                      <w:color w:val="000000"/>
                    </w:rPr>
                    <w:t>生产车间</w:t>
                  </w:r>
                </w:p>
              </w:tc>
              <w:tc>
                <w:tcPr>
                  <w:tcW w:w="4961" w:type="dxa"/>
                  <w:gridSpan w:val="2"/>
                  <w:vAlign w:val="center"/>
                </w:tcPr>
                <w:p>
                  <w:pPr>
                    <w:pStyle w:val="36"/>
                    <w:rPr>
                      <w:color w:val="000000"/>
                      <w:highlight w:val="yellow"/>
                    </w:rPr>
                  </w:pPr>
                  <w:r>
                    <w:rPr>
                      <w:rFonts w:hint="eastAsia"/>
                      <w:color w:val="000000"/>
                    </w:rPr>
                    <w:t>新建生产车间</w:t>
                  </w:r>
                  <w:r>
                    <w:rPr>
                      <w:color w:val="000000"/>
                    </w:rPr>
                    <w:t>2000</w:t>
                  </w:r>
                  <w:r>
                    <w:rPr>
                      <w:rFonts w:hint="eastAsia"/>
                      <w:color w:val="000000"/>
                    </w:rPr>
                    <w:t>m</w:t>
                  </w:r>
                  <w:r>
                    <w:rPr>
                      <w:color w:val="000000"/>
                      <w:vertAlign w:val="superscript"/>
                    </w:rPr>
                    <w:t>2</w:t>
                  </w:r>
                  <w:r>
                    <w:rPr>
                      <w:rFonts w:hint="eastAsia"/>
                      <w:color w:val="000000"/>
                    </w:rPr>
                    <w:t>，彩钢结构全封闭式厂房，车间内布置颚式破碎机、圆锥破碎机、振动筛等生产设备，建设2条砂石生产线及配套设施，项目建成后年产砂石1</w:t>
                  </w:r>
                  <w:r>
                    <w:rPr>
                      <w:color w:val="000000"/>
                    </w:rPr>
                    <w:t>87</w:t>
                  </w:r>
                  <w:r>
                    <w:rPr>
                      <w:rFonts w:hint="eastAsia"/>
                      <w:color w:val="000000"/>
                    </w:rPr>
                    <w:t>万t。</w:t>
                  </w:r>
                </w:p>
              </w:tc>
              <w:tc>
                <w:tcPr>
                  <w:tcW w:w="850" w:type="dxa"/>
                  <w:vMerge w:val="restart"/>
                  <w:vAlign w:val="center"/>
                </w:tcPr>
                <w:p>
                  <w:pPr>
                    <w:pStyle w:val="47"/>
                    <w:rPr>
                      <w:rFonts w:cs="宋体"/>
                      <w:color w:val="000000"/>
                    </w:rPr>
                  </w:pPr>
                  <w:r>
                    <w:rPr>
                      <w:rFonts w:hint="eastAsia" w:cs="宋体"/>
                      <w:color w:val="000000"/>
                    </w:rPr>
                    <w:t>废水</w:t>
                  </w:r>
                </w:p>
                <w:p>
                  <w:pPr>
                    <w:pStyle w:val="47"/>
                    <w:rPr>
                      <w:rFonts w:cs="宋体"/>
                      <w:color w:val="000000"/>
                    </w:rPr>
                  </w:pPr>
                  <w:r>
                    <w:rPr>
                      <w:rFonts w:hint="eastAsia" w:cs="宋体"/>
                      <w:color w:val="000000"/>
                    </w:rPr>
                    <w:t>噪声</w:t>
                  </w:r>
                </w:p>
                <w:p>
                  <w:pPr>
                    <w:pStyle w:val="47"/>
                    <w:rPr>
                      <w:rFonts w:cs="宋体"/>
                      <w:color w:val="000000"/>
                    </w:rPr>
                  </w:pPr>
                  <w:r>
                    <w:rPr>
                      <w:rFonts w:hint="eastAsia" w:cs="宋体"/>
                      <w:color w:val="000000"/>
                    </w:rPr>
                    <w:t>废气</w:t>
                  </w:r>
                </w:p>
                <w:p>
                  <w:pPr>
                    <w:pStyle w:val="47"/>
                    <w:rPr>
                      <w:rFonts w:cs="宋体"/>
                      <w:color w:val="000000"/>
                    </w:rPr>
                  </w:pPr>
                  <w:r>
                    <w:rPr>
                      <w:rFonts w:hint="eastAsia" w:cs="宋体"/>
                      <w:color w:val="000000"/>
                    </w:rPr>
                    <w:t>固废</w:t>
                  </w:r>
                </w:p>
              </w:tc>
              <w:tc>
                <w:tcPr>
                  <w:tcW w:w="881" w:type="dxa"/>
                  <w:vAlign w:val="center"/>
                </w:tcPr>
                <w:p>
                  <w:pPr>
                    <w:pStyle w:val="47"/>
                    <w:rPr>
                      <w:rFonts w:cs="宋体"/>
                      <w:color w:val="000000"/>
                    </w:rPr>
                  </w:pPr>
                  <w:r>
                    <w:rPr>
                      <w:rFonts w:hint="eastAsia" w:cs="宋体"/>
                      <w:color w:val="000000"/>
                    </w:rPr>
                    <w:t>废气</w:t>
                  </w:r>
                </w:p>
                <w:p>
                  <w:pPr>
                    <w:pStyle w:val="47"/>
                    <w:rPr>
                      <w:rFonts w:cs="宋体"/>
                      <w:color w:val="000000"/>
                    </w:rPr>
                  </w:pPr>
                  <w:r>
                    <w:rPr>
                      <w:rFonts w:hint="eastAsia" w:cs="宋体"/>
                      <w:color w:val="000000"/>
                    </w:rPr>
                    <w:t>噪声</w:t>
                  </w:r>
                </w:p>
                <w:p>
                  <w:pPr>
                    <w:pStyle w:val="47"/>
                    <w:rPr>
                      <w:rFonts w:cs="宋体"/>
                      <w:color w:val="000000"/>
                    </w:rPr>
                  </w:pPr>
                  <w:r>
                    <w:rPr>
                      <w:rFonts w:hint="eastAsia" w:cs="宋体"/>
                      <w:color w:val="000000"/>
                    </w:rPr>
                    <w:t>固废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Align w:val="center"/>
                </w:tcPr>
                <w:p>
                  <w:pPr>
                    <w:pStyle w:val="47"/>
                    <w:rPr>
                      <w:rFonts w:cs="宋体"/>
                      <w:color w:val="000000"/>
                    </w:rPr>
                  </w:pPr>
                  <w:r>
                    <w:rPr>
                      <w:rFonts w:hint="eastAsia" w:cs="宋体"/>
                      <w:color w:val="000000"/>
                    </w:rPr>
                    <w:t>辅助工程</w:t>
                  </w:r>
                </w:p>
              </w:tc>
              <w:tc>
                <w:tcPr>
                  <w:tcW w:w="851" w:type="dxa"/>
                  <w:vAlign w:val="center"/>
                </w:tcPr>
                <w:p>
                  <w:pPr>
                    <w:jc w:val="center"/>
                    <w:rPr>
                      <w:szCs w:val="21"/>
                    </w:rPr>
                  </w:pPr>
                  <w:r>
                    <w:rPr>
                      <w:szCs w:val="21"/>
                    </w:rPr>
                    <w:t>供电系统</w:t>
                  </w:r>
                </w:p>
              </w:tc>
              <w:tc>
                <w:tcPr>
                  <w:tcW w:w="4961" w:type="dxa"/>
                  <w:gridSpan w:val="2"/>
                  <w:vAlign w:val="center"/>
                </w:tcPr>
                <w:p>
                  <w:pPr>
                    <w:jc w:val="center"/>
                    <w:rPr>
                      <w:szCs w:val="21"/>
                    </w:rPr>
                  </w:pPr>
                  <w:r>
                    <w:rPr>
                      <w:rFonts w:hint="eastAsia"/>
                    </w:rPr>
                    <w:t>由当地电网接入，厂区设</w:t>
                  </w:r>
                  <w:r>
                    <w:t>250KVA变压器一台</w:t>
                  </w:r>
                </w:p>
              </w:tc>
              <w:tc>
                <w:tcPr>
                  <w:tcW w:w="850" w:type="dxa"/>
                  <w:vMerge w:val="continue"/>
                  <w:vAlign w:val="center"/>
                </w:tcPr>
                <w:p>
                  <w:pPr>
                    <w:pStyle w:val="47"/>
                    <w:rPr>
                      <w:rFonts w:cs="宋体"/>
                      <w:color w:val="000000"/>
                    </w:rPr>
                  </w:pPr>
                </w:p>
              </w:tc>
              <w:tc>
                <w:tcPr>
                  <w:tcW w:w="881" w:type="dxa"/>
                  <w:vAlign w:val="center"/>
                </w:tcPr>
                <w:p>
                  <w:pPr>
                    <w:jc w:val="center"/>
                  </w:pPr>
                  <w:r>
                    <w:rPr>
                      <w:rFonts w:hint="eastAsia"/>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restart"/>
                  <w:vAlign w:val="center"/>
                </w:tcPr>
                <w:p>
                  <w:pPr>
                    <w:pStyle w:val="47"/>
                    <w:rPr>
                      <w:rFonts w:cs="宋体"/>
                      <w:color w:val="000000"/>
                    </w:rPr>
                  </w:pPr>
                  <w:r>
                    <w:rPr>
                      <w:rFonts w:hint="eastAsia" w:cs="宋体"/>
                      <w:color w:val="000000"/>
                    </w:rPr>
                    <w:t>储运工程</w:t>
                  </w:r>
                </w:p>
              </w:tc>
              <w:tc>
                <w:tcPr>
                  <w:tcW w:w="851" w:type="dxa"/>
                  <w:vAlign w:val="center"/>
                </w:tcPr>
                <w:p>
                  <w:pPr>
                    <w:pStyle w:val="47"/>
                    <w:rPr>
                      <w:rFonts w:cs="宋体"/>
                      <w:color w:val="000000"/>
                    </w:rPr>
                  </w:pPr>
                  <w:r>
                    <w:rPr>
                      <w:rFonts w:hint="eastAsia" w:cs="宋体"/>
                      <w:color w:val="000000"/>
                    </w:rPr>
                    <w:t>产品堆场</w:t>
                  </w:r>
                </w:p>
              </w:tc>
              <w:tc>
                <w:tcPr>
                  <w:tcW w:w="4961" w:type="dxa"/>
                  <w:gridSpan w:val="2"/>
                  <w:vAlign w:val="center"/>
                </w:tcPr>
                <w:p>
                  <w:pPr>
                    <w:pStyle w:val="36"/>
                    <w:rPr>
                      <w:color w:val="000000"/>
                    </w:rPr>
                  </w:pPr>
                  <w:r>
                    <w:rPr>
                      <w:rFonts w:hint="eastAsia"/>
                      <w:color w:val="000000"/>
                    </w:rPr>
                    <w:t>新建产品堆场</w:t>
                  </w:r>
                  <w:r>
                    <w:rPr>
                      <w:color w:val="000000"/>
                    </w:rPr>
                    <w:t>1200</w:t>
                  </w:r>
                  <w:r>
                    <w:rPr>
                      <w:rFonts w:hint="eastAsia"/>
                      <w:color w:val="000000"/>
                    </w:rPr>
                    <w:t>m</w:t>
                  </w:r>
                  <w:r>
                    <w:rPr>
                      <w:color w:val="000000"/>
                      <w:vertAlign w:val="superscript"/>
                    </w:rPr>
                    <w:t>2</w:t>
                  </w:r>
                  <w:r>
                    <w:rPr>
                      <w:rFonts w:hint="eastAsia"/>
                      <w:color w:val="000000"/>
                    </w:rPr>
                    <w:t>，位于生产车间南面。</w:t>
                  </w:r>
                </w:p>
              </w:tc>
              <w:tc>
                <w:tcPr>
                  <w:tcW w:w="850" w:type="dxa"/>
                  <w:vMerge w:val="continue"/>
                  <w:vAlign w:val="center"/>
                </w:tcPr>
                <w:p>
                  <w:pPr>
                    <w:pStyle w:val="47"/>
                    <w:rPr>
                      <w:rFonts w:cs="宋体"/>
                      <w:color w:val="000000"/>
                    </w:rPr>
                  </w:pPr>
                </w:p>
              </w:tc>
              <w:tc>
                <w:tcPr>
                  <w:tcW w:w="881" w:type="dxa"/>
                  <w:vAlign w:val="center"/>
                </w:tcPr>
                <w:p>
                  <w:pPr>
                    <w:pStyle w:val="47"/>
                    <w:rPr>
                      <w:rFonts w:cs="宋体"/>
                      <w:color w:val="000000"/>
                    </w:rPr>
                  </w:pPr>
                  <w:r>
                    <w:rPr>
                      <w:rFonts w:hint="eastAsia" w:cs="宋体"/>
                      <w:color w:val="000000"/>
                    </w:rPr>
                    <w:t>废气</w:t>
                  </w:r>
                </w:p>
                <w:p>
                  <w:pPr>
                    <w:pStyle w:val="47"/>
                    <w:rPr>
                      <w:rFonts w:cs="宋体"/>
                      <w:color w:val="000000"/>
                    </w:rPr>
                  </w:pPr>
                  <w:r>
                    <w:rPr>
                      <w:rFonts w:hint="eastAsia"/>
                    </w:rPr>
                    <w:t>噪声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rFonts w:cs="宋体"/>
                      <w:color w:val="000000"/>
                    </w:rPr>
                  </w:pPr>
                </w:p>
              </w:tc>
              <w:tc>
                <w:tcPr>
                  <w:tcW w:w="851" w:type="dxa"/>
                  <w:vAlign w:val="center"/>
                </w:tcPr>
                <w:p>
                  <w:pPr>
                    <w:pStyle w:val="47"/>
                    <w:rPr>
                      <w:rFonts w:cs="宋体"/>
                      <w:color w:val="000000"/>
                    </w:rPr>
                  </w:pPr>
                  <w:r>
                    <w:rPr>
                      <w:rFonts w:hint="eastAsia" w:cs="宋体"/>
                      <w:color w:val="000000"/>
                    </w:rPr>
                    <w:t>厂区运输道路</w:t>
                  </w:r>
                </w:p>
              </w:tc>
              <w:tc>
                <w:tcPr>
                  <w:tcW w:w="4961" w:type="dxa"/>
                  <w:gridSpan w:val="2"/>
                  <w:vAlign w:val="center"/>
                </w:tcPr>
                <w:p>
                  <w:pPr>
                    <w:pStyle w:val="36"/>
                    <w:rPr>
                      <w:color w:val="000000"/>
                    </w:rPr>
                  </w:pPr>
                  <w:r>
                    <w:rPr>
                      <w:rFonts w:hint="eastAsia"/>
                      <w:color w:val="000000"/>
                    </w:rPr>
                    <w:t>厂区地面全部硬化，供产品运输</w:t>
                  </w:r>
                </w:p>
              </w:tc>
              <w:tc>
                <w:tcPr>
                  <w:tcW w:w="850" w:type="dxa"/>
                  <w:vMerge w:val="continue"/>
                  <w:vAlign w:val="center"/>
                </w:tcPr>
                <w:p>
                  <w:pPr>
                    <w:pStyle w:val="47"/>
                    <w:rPr>
                      <w:rFonts w:cs="宋体"/>
                      <w:color w:val="000000"/>
                    </w:rPr>
                  </w:pPr>
                </w:p>
              </w:tc>
              <w:tc>
                <w:tcPr>
                  <w:tcW w:w="881" w:type="dxa"/>
                  <w:vAlign w:val="center"/>
                </w:tcPr>
                <w:p>
                  <w:pPr>
                    <w:pStyle w:val="47"/>
                    <w:rPr>
                      <w:rFonts w:cs="宋体"/>
                      <w:color w:val="000000"/>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Align w:val="center"/>
                </w:tcPr>
                <w:p>
                  <w:pPr>
                    <w:pStyle w:val="47"/>
                    <w:rPr>
                      <w:color w:val="000000"/>
                    </w:rPr>
                  </w:pPr>
                  <w:r>
                    <w:rPr>
                      <w:color w:val="000000"/>
                    </w:rPr>
                    <w:t>办公及生活设施</w:t>
                  </w:r>
                </w:p>
              </w:tc>
              <w:tc>
                <w:tcPr>
                  <w:tcW w:w="851" w:type="dxa"/>
                  <w:vAlign w:val="center"/>
                </w:tcPr>
                <w:p>
                  <w:pPr>
                    <w:jc w:val="center"/>
                    <w:rPr>
                      <w:color w:val="000000"/>
                      <w:szCs w:val="21"/>
                    </w:rPr>
                  </w:pPr>
                  <w:r>
                    <w:rPr>
                      <w:rFonts w:hint="eastAsia"/>
                      <w:color w:val="000000"/>
                      <w:szCs w:val="21"/>
                    </w:rPr>
                    <w:t>值班室</w:t>
                  </w:r>
                </w:p>
              </w:tc>
              <w:tc>
                <w:tcPr>
                  <w:tcW w:w="4961" w:type="dxa"/>
                  <w:gridSpan w:val="2"/>
                  <w:vAlign w:val="center"/>
                </w:tcPr>
                <w:p>
                  <w:pPr>
                    <w:jc w:val="center"/>
                    <w:rPr>
                      <w:color w:val="000000"/>
                      <w:szCs w:val="21"/>
                    </w:rPr>
                  </w:pPr>
                  <w:r>
                    <w:rPr>
                      <w:color w:val="000000"/>
                      <w:szCs w:val="21"/>
                    </w:rPr>
                    <w:t>位于</w:t>
                  </w:r>
                  <w:r>
                    <w:rPr>
                      <w:rFonts w:hint="eastAsia"/>
                      <w:color w:val="000000"/>
                      <w:szCs w:val="21"/>
                    </w:rPr>
                    <w:t>生产</w:t>
                  </w:r>
                  <w:r>
                    <w:rPr>
                      <w:color w:val="000000"/>
                      <w:szCs w:val="21"/>
                    </w:rPr>
                    <w:t>车间</w:t>
                  </w:r>
                  <w:r>
                    <w:rPr>
                      <w:rFonts w:hint="eastAsia"/>
                      <w:color w:val="000000"/>
                      <w:szCs w:val="21"/>
                    </w:rPr>
                    <w:t>东</w:t>
                  </w:r>
                  <w:r>
                    <w:rPr>
                      <w:color w:val="000000"/>
                      <w:szCs w:val="21"/>
                    </w:rPr>
                    <w:t>面，占地面积100m</w:t>
                  </w:r>
                  <w:r>
                    <w:rPr>
                      <w:color w:val="000000"/>
                      <w:szCs w:val="21"/>
                      <w:vertAlign w:val="superscript"/>
                    </w:rPr>
                    <w:t>2</w:t>
                  </w:r>
                </w:p>
              </w:tc>
              <w:tc>
                <w:tcPr>
                  <w:tcW w:w="850" w:type="dxa"/>
                  <w:vMerge w:val="continue"/>
                  <w:vAlign w:val="center"/>
                </w:tcPr>
                <w:p>
                  <w:pPr>
                    <w:pStyle w:val="47"/>
                    <w:rPr>
                      <w:rFonts w:cs="宋体"/>
                      <w:color w:val="000000"/>
                    </w:rPr>
                  </w:pPr>
                </w:p>
              </w:tc>
              <w:tc>
                <w:tcPr>
                  <w:tcW w:w="881" w:type="dxa"/>
                  <w:vAlign w:val="center"/>
                </w:tcPr>
                <w:p>
                  <w:pPr>
                    <w:pStyle w:val="47"/>
                    <w:rPr>
                      <w:rFonts w:cs="宋体"/>
                      <w:color w:val="000000"/>
                    </w:rPr>
                  </w:pPr>
                  <w:r>
                    <w:rPr>
                      <w:rFonts w:hint="eastAsia" w:cs="宋体"/>
                      <w:color w:val="000000"/>
                    </w:rPr>
                    <w:t>噪声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Align w:val="center"/>
                </w:tcPr>
                <w:p>
                  <w:pPr>
                    <w:pStyle w:val="47"/>
                    <w:rPr>
                      <w:color w:val="000000"/>
                    </w:rPr>
                  </w:pPr>
                  <w:r>
                    <w:rPr>
                      <w:color w:val="000000"/>
                    </w:rPr>
                    <w:t>公用工程</w:t>
                  </w:r>
                </w:p>
              </w:tc>
              <w:tc>
                <w:tcPr>
                  <w:tcW w:w="851" w:type="dxa"/>
                  <w:vAlign w:val="center"/>
                </w:tcPr>
                <w:p>
                  <w:pPr>
                    <w:jc w:val="center"/>
                    <w:rPr>
                      <w:szCs w:val="21"/>
                    </w:rPr>
                  </w:pPr>
                  <w:r>
                    <w:rPr>
                      <w:szCs w:val="21"/>
                    </w:rPr>
                    <w:t>供水系统</w:t>
                  </w:r>
                </w:p>
              </w:tc>
              <w:tc>
                <w:tcPr>
                  <w:tcW w:w="4961" w:type="dxa"/>
                  <w:gridSpan w:val="2"/>
                  <w:vAlign w:val="center"/>
                </w:tcPr>
                <w:p>
                  <w:pPr>
                    <w:jc w:val="center"/>
                    <w:rPr>
                      <w:szCs w:val="21"/>
                    </w:rPr>
                  </w:pPr>
                  <w:r>
                    <w:rPr>
                      <w:rFonts w:hint="eastAsia"/>
                      <w:szCs w:val="21"/>
                    </w:rPr>
                    <w:t>生产用水与生活用水经园区给水管网供给</w:t>
                  </w:r>
                </w:p>
              </w:tc>
              <w:tc>
                <w:tcPr>
                  <w:tcW w:w="850" w:type="dxa"/>
                  <w:vMerge w:val="continue"/>
                  <w:vAlign w:val="center"/>
                </w:tcPr>
                <w:p>
                  <w:pPr>
                    <w:pStyle w:val="47"/>
                    <w:rPr>
                      <w:rFonts w:cs="宋体"/>
                      <w:color w:val="000000"/>
                    </w:rPr>
                  </w:pPr>
                </w:p>
              </w:tc>
              <w:tc>
                <w:tcPr>
                  <w:tcW w:w="881" w:type="dxa"/>
                  <w:vAlign w:val="center"/>
                </w:tcPr>
                <w:p>
                  <w:pPr>
                    <w:pStyle w:val="47"/>
                    <w:rPr>
                      <w:rFonts w:cs="宋体"/>
                      <w:color w:val="000000"/>
                    </w:rPr>
                  </w:pPr>
                  <w:r>
                    <w:rPr>
                      <w:rFonts w:hint="eastAsia" w:cs="宋体"/>
                      <w:color w:val="000000"/>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restart"/>
                  <w:vAlign w:val="center"/>
                </w:tcPr>
                <w:p>
                  <w:pPr>
                    <w:pStyle w:val="47"/>
                    <w:rPr>
                      <w:color w:val="000000"/>
                    </w:rPr>
                  </w:pPr>
                  <w:r>
                    <w:rPr>
                      <w:color w:val="000000"/>
                    </w:rPr>
                    <w:t>环保工程</w:t>
                  </w:r>
                </w:p>
              </w:tc>
              <w:tc>
                <w:tcPr>
                  <w:tcW w:w="851" w:type="dxa"/>
                  <w:vMerge w:val="restart"/>
                  <w:vAlign w:val="center"/>
                </w:tcPr>
                <w:p>
                  <w:pPr>
                    <w:pStyle w:val="47"/>
                    <w:rPr>
                      <w:color w:val="000000"/>
                    </w:rPr>
                  </w:pPr>
                  <w:r>
                    <w:rPr>
                      <w:rFonts w:hint="eastAsia"/>
                      <w:color w:val="000000"/>
                    </w:rPr>
                    <w:t>废水</w:t>
                  </w:r>
                </w:p>
              </w:tc>
              <w:tc>
                <w:tcPr>
                  <w:tcW w:w="1417" w:type="dxa"/>
                  <w:vAlign w:val="center"/>
                </w:tcPr>
                <w:p>
                  <w:pPr>
                    <w:adjustRightInd w:val="0"/>
                    <w:jc w:val="center"/>
                    <w:rPr>
                      <w:bCs/>
                      <w:color w:val="000000"/>
                      <w:szCs w:val="21"/>
                    </w:rPr>
                  </w:pPr>
                  <w:r>
                    <w:rPr>
                      <w:rFonts w:hint="eastAsia"/>
                      <w:bCs/>
                      <w:color w:val="000000"/>
                      <w:szCs w:val="21"/>
                    </w:rPr>
                    <w:t>员工生活污水</w:t>
                  </w:r>
                </w:p>
              </w:tc>
              <w:tc>
                <w:tcPr>
                  <w:tcW w:w="3544" w:type="dxa"/>
                  <w:vAlign w:val="center"/>
                </w:tcPr>
                <w:p>
                  <w:pPr>
                    <w:jc w:val="center"/>
                    <w:rPr>
                      <w:rFonts w:cs="宋体"/>
                      <w:color w:val="000000"/>
                      <w:szCs w:val="21"/>
                    </w:rPr>
                  </w:pPr>
                  <w:r>
                    <w:rPr>
                      <w:rFonts w:hint="eastAsia" w:ascii="Calibri" w:hAnsi="宋体" w:cs="宋体"/>
                      <w:color w:val="000000"/>
                      <w:szCs w:val="21"/>
                    </w:rPr>
                    <w:t>生活污水依托既有污水处理设施处理</w:t>
                  </w:r>
                </w:p>
              </w:tc>
              <w:tc>
                <w:tcPr>
                  <w:tcW w:w="850" w:type="dxa"/>
                  <w:vMerge w:val="continue"/>
                  <w:vAlign w:val="center"/>
                </w:tcPr>
                <w:p>
                  <w:pPr>
                    <w:jc w:val="center"/>
                    <w:rPr>
                      <w:rFonts w:cs="宋体"/>
                      <w:color w:val="000000"/>
                    </w:rPr>
                  </w:pPr>
                </w:p>
              </w:tc>
              <w:tc>
                <w:tcPr>
                  <w:tcW w:w="881" w:type="dxa"/>
                  <w:vMerge w:val="restart"/>
                  <w:vAlign w:val="center"/>
                </w:tcPr>
                <w:p>
                  <w:pPr>
                    <w:pStyle w:val="47"/>
                    <w:rPr>
                      <w:rFonts w:cs="宋体"/>
                      <w:color w:val="000000"/>
                    </w:rPr>
                  </w:pPr>
                  <w:r>
                    <w:rPr>
                      <w:rFonts w:hint="eastAsia" w:cs="宋体"/>
                      <w:color w:val="000000"/>
                    </w:rPr>
                    <w:t>废水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color w:val="000000"/>
                    </w:rPr>
                  </w:pPr>
                </w:p>
              </w:tc>
              <w:tc>
                <w:tcPr>
                  <w:tcW w:w="851" w:type="dxa"/>
                  <w:vMerge w:val="continue"/>
                  <w:vAlign w:val="center"/>
                </w:tcPr>
                <w:p>
                  <w:pPr>
                    <w:pStyle w:val="47"/>
                    <w:rPr>
                      <w:color w:val="000000"/>
                    </w:rPr>
                  </w:pPr>
                </w:p>
              </w:tc>
              <w:tc>
                <w:tcPr>
                  <w:tcW w:w="1417" w:type="dxa"/>
                  <w:vAlign w:val="center"/>
                </w:tcPr>
                <w:p>
                  <w:pPr>
                    <w:pStyle w:val="47"/>
                    <w:rPr>
                      <w:rFonts w:hAnsi="宋体"/>
                    </w:rPr>
                  </w:pPr>
                  <w:r>
                    <w:rPr>
                      <w:rFonts w:hint="eastAsia" w:hAnsi="宋体"/>
                    </w:rPr>
                    <w:t>洗砂废水</w:t>
                  </w:r>
                </w:p>
              </w:tc>
              <w:tc>
                <w:tcPr>
                  <w:tcW w:w="3544" w:type="dxa"/>
                  <w:vAlign w:val="center"/>
                </w:tcPr>
                <w:p>
                  <w:pPr>
                    <w:pStyle w:val="47"/>
                    <w:rPr>
                      <w:rFonts w:hAnsi="宋体"/>
                    </w:rPr>
                  </w:pPr>
                  <w:r>
                    <w:rPr>
                      <w:rFonts w:hint="eastAsia"/>
                    </w:rPr>
                    <w:t>洗砂废水经污水收集后泵入浓缩罐（1个，处理能力250m³/h，投加絮凝剂）处理后，清水进入</w:t>
                  </w:r>
                  <w:r>
                    <w:t>500</w:t>
                  </w:r>
                  <w:r>
                    <w:rPr>
                      <w:rFonts w:hint="eastAsia"/>
                    </w:rPr>
                    <w:t>m³清水池回用，污泥</w:t>
                  </w:r>
                  <w:r>
                    <w:rPr>
                      <w:rFonts w:hint="eastAsia" w:hAnsi="宋体"/>
                    </w:rPr>
                    <w:t>经压滤机压滤脱水后按政府要求堆放至指定地点</w:t>
                  </w:r>
                  <w:r>
                    <w:rPr>
                      <w:rFonts w:hint="eastAsia"/>
                    </w:rPr>
                    <w:t>，压滤废水返回浓缩罐进行处理</w:t>
                  </w:r>
                </w:p>
              </w:tc>
              <w:tc>
                <w:tcPr>
                  <w:tcW w:w="850" w:type="dxa"/>
                  <w:vMerge w:val="continue"/>
                  <w:vAlign w:val="center"/>
                </w:tcPr>
                <w:p>
                  <w:pPr>
                    <w:jc w:val="center"/>
                    <w:rPr>
                      <w:rFonts w:cs="宋体"/>
                      <w:color w:val="000000"/>
                    </w:rPr>
                  </w:pPr>
                </w:p>
              </w:tc>
              <w:tc>
                <w:tcPr>
                  <w:tcW w:w="881" w:type="dxa"/>
                  <w:vMerge w:val="continue"/>
                  <w:vAlign w:val="center"/>
                </w:tcPr>
                <w:p>
                  <w:pPr>
                    <w:pStyle w:val="47"/>
                    <w:rPr>
                      <w:rFonts w:cs="宋体"/>
                      <w:color w:val="000000"/>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color w:val="000000"/>
                    </w:rPr>
                  </w:pPr>
                </w:p>
              </w:tc>
              <w:tc>
                <w:tcPr>
                  <w:tcW w:w="851" w:type="dxa"/>
                  <w:vMerge w:val="continue"/>
                  <w:vAlign w:val="center"/>
                </w:tcPr>
                <w:p>
                  <w:pPr>
                    <w:pStyle w:val="47"/>
                    <w:rPr>
                      <w:color w:val="000000"/>
                    </w:rPr>
                  </w:pPr>
                </w:p>
              </w:tc>
              <w:tc>
                <w:tcPr>
                  <w:tcW w:w="1417" w:type="dxa"/>
                  <w:vAlign w:val="center"/>
                </w:tcPr>
                <w:p>
                  <w:pPr>
                    <w:pStyle w:val="47"/>
                    <w:rPr>
                      <w:rFonts w:hAnsi="宋体"/>
                    </w:rPr>
                  </w:pPr>
                  <w:r>
                    <w:rPr>
                      <w:rFonts w:hint="eastAsia" w:hAnsi="宋体"/>
                    </w:rPr>
                    <w:t>车辆冲洗废水</w:t>
                  </w:r>
                </w:p>
              </w:tc>
              <w:tc>
                <w:tcPr>
                  <w:tcW w:w="3544" w:type="dxa"/>
                  <w:vAlign w:val="center"/>
                </w:tcPr>
                <w:p>
                  <w:pPr>
                    <w:pStyle w:val="47"/>
                    <w:rPr>
                      <w:rFonts w:hAnsi="宋体"/>
                    </w:rPr>
                  </w:pPr>
                  <w:r>
                    <w:rPr>
                      <w:rFonts w:hint="eastAsia" w:hAnsi="宋体"/>
                    </w:rPr>
                    <w:t>厂区进出口设一清洗池，对出厂车辆进行冲洗，冲洗废水经浓密罐沉淀后回用</w:t>
                  </w:r>
                </w:p>
              </w:tc>
              <w:tc>
                <w:tcPr>
                  <w:tcW w:w="850" w:type="dxa"/>
                  <w:vMerge w:val="continue"/>
                  <w:vAlign w:val="center"/>
                </w:tcPr>
                <w:p>
                  <w:pPr>
                    <w:jc w:val="center"/>
                    <w:rPr>
                      <w:rFonts w:cs="宋体"/>
                      <w:color w:val="000000"/>
                    </w:rPr>
                  </w:pPr>
                </w:p>
              </w:tc>
              <w:tc>
                <w:tcPr>
                  <w:tcW w:w="881" w:type="dxa"/>
                  <w:vMerge w:val="continue"/>
                  <w:vAlign w:val="center"/>
                </w:tcPr>
                <w:p>
                  <w:pPr>
                    <w:pStyle w:val="47"/>
                    <w:rPr>
                      <w:rFonts w:cs="宋体"/>
                      <w:color w:val="000000"/>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color w:val="000000"/>
                    </w:rPr>
                  </w:pPr>
                </w:p>
              </w:tc>
              <w:tc>
                <w:tcPr>
                  <w:tcW w:w="851" w:type="dxa"/>
                  <w:vMerge w:val="restart"/>
                  <w:vAlign w:val="center"/>
                </w:tcPr>
                <w:p>
                  <w:pPr>
                    <w:pStyle w:val="47"/>
                    <w:rPr>
                      <w:color w:val="000000"/>
                    </w:rPr>
                  </w:pPr>
                  <w:r>
                    <w:rPr>
                      <w:rFonts w:hint="eastAsia"/>
                      <w:color w:val="000000"/>
                    </w:rPr>
                    <w:t>废气</w:t>
                  </w:r>
                </w:p>
              </w:tc>
              <w:tc>
                <w:tcPr>
                  <w:tcW w:w="1417" w:type="dxa"/>
                  <w:vAlign w:val="center"/>
                </w:tcPr>
                <w:p>
                  <w:pPr>
                    <w:pStyle w:val="47"/>
                  </w:pPr>
                  <w:r>
                    <w:rPr>
                      <w:rFonts w:hint="eastAsia"/>
                    </w:rPr>
                    <w:t>投料粉尘</w:t>
                  </w:r>
                </w:p>
              </w:tc>
              <w:tc>
                <w:tcPr>
                  <w:tcW w:w="3544" w:type="dxa"/>
                  <w:vAlign w:val="center"/>
                </w:tcPr>
                <w:p>
                  <w:pPr>
                    <w:pStyle w:val="47"/>
                  </w:pPr>
                  <w:r>
                    <w:rPr>
                      <w:rFonts w:hint="eastAsia"/>
                    </w:rPr>
                    <w:t>对投料区域采取三面一顶封闭措施，并在进料口设置雾炮机喷雾降尘</w:t>
                  </w:r>
                </w:p>
              </w:tc>
              <w:tc>
                <w:tcPr>
                  <w:tcW w:w="850" w:type="dxa"/>
                  <w:vMerge w:val="continue"/>
                  <w:vAlign w:val="center"/>
                </w:tcPr>
                <w:p>
                  <w:pPr>
                    <w:jc w:val="center"/>
                    <w:rPr>
                      <w:rFonts w:cs="宋体"/>
                      <w:color w:val="000000"/>
                    </w:rPr>
                  </w:pPr>
                </w:p>
              </w:tc>
              <w:tc>
                <w:tcPr>
                  <w:tcW w:w="881" w:type="dxa"/>
                  <w:vMerge w:val="restart"/>
                  <w:vAlign w:val="center"/>
                </w:tcPr>
                <w:p>
                  <w:pPr>
                    <w:pStyle w:val="47"/>
                    <w:rPr>
                      <w:rFonts w:cs="宋体"/>
                      <w:color w:val="000000"/>
                    </w:rPr>
                  </w:pPr>
                  <w:r>
                    <w:rPr>
                      <w:rFonts w:hint="eastAsia" w:cs="宋体"/>
                      <w:color w:val="000000"/>
                    </w:rPr>
                    <w:t>废气</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color w:val="000000"/>
                    </w:rPr>
                  </w:pPr>
                </w:p>
              </w:tc>
              <w:tc>
                <w:tcPr>
                  <w:tcW w:w="851" w:type="dxa"/>
                  <w:vMerge w:val="continue"/>
                  <w:vAlign w:val="center"/>
                </w:tcPr>
                <w:p>
                  <w:pPr>
                    <w:pStyle w:val="47"/>
                    <w:rPr>
                      <w:color w:val="000000"/>
                    </w:rPr>
                  </w:pPr>
                </w:p>
              </w:tc>
              <w:tc>
                <w:tcPr>
                  <w:tcW w:w="1417" w:type="dxa"/>
                  <w:vAlign w:val="center"/>
                </w:tcPr>
                <w:p>
                  <w:pPr>
                    <w:pStyle w:val="47"/>
                  </w:pPr>
                  <w:r>
                    <w:rPr>
                      <w:rFonts w:hint="eastAsia"/>
                    </w:rPr>
                    <w:t>破碎、筛分粉尘</w:t>
                  </w:r>
                </w:p>
              </w:tc>
              <w:tc>
                <w:tcPr>
                  <w:tcW w:w="3544" w:type="dxa"/>
                  <w:vAlign w:val="center"/>
                </w:tcPr>
                <w:p>
                  <w:pPr>
                    <w:pStyle w:val="47"/>
                  </w:pPr>
                  <w:r>
                    <w:rPr>
                      <w:rFonts w:hint="eastAsia"/>
                    </w:rPr>
                    <w:t>破碎、筛分过程于密闭厂房内进行，湿法作业，同时采取洒水降尘措施，在屋顶设置喷雾降尘（间隔3m设一组喷头，每个喷头间距2m）</w:t>
                  </w:r>
                </w:p>
              </w:tc>
              <w:tc>
                <w:tcPr>
                  <w:tcW w:w="850" w:type="dxa"/>
                  <w:vMerge w:val="continue"/>
                  <w:vAlign w:val="center"/>
                </w:tcPr>
                <w:p>
                  <w:pPr>
                    <w:jc w:val="center"/>
                    <w:rPr>
                      <w:rFonts w:cs="宋体"/>
                      <w:color w:val="000000"/>
                    </w:rPr>
                  </w:pPr>
                </w:p>
              </w:tc>
              <w:tc>
                <w:tcPr>
                  <w:tcW w:w="881" w:type="dxa"/>
                  <w:vMerge w:val="continue"/>
                  <w:vAlign w:val="center"/>
                </w:tcPr>
                <w:p>
                  <w:pPr>
                    <w:pStyle w:val="47"/>
                    <w:rPr>
                      <w:rFonts w:cs="宋体"/>
                      <w:color w:val="000000"/>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color w:val="000000"/>
                    </w:rPr>
                  </w:pPr>
                </w:p>
              </w:tc>
              <w:tc>
                <w:tcPr>
                  <w:tcW w:w="851" w:type="dxa"/>
                  <w:vMerge w:val="continue"/>
                  <w:vAlign w:val="center"/>
                </w:tcPr>
                <w:p>
                  <w:pPr>
                    <w:pStyle w:val="47"/>
                    <w:rPr>
                      <w:color w:val="000000"/>
                    </w:rPr>
                  </w:pPr>
                </w:p>
              </w:tc>
              <w:tc>
                <w:tcPr>
                  <w:tcW w:w="1417" w:type="dxa"/>
                  <w:vAlign w:val="center"/>
                </w:tcPr>
                <w:p>
                  <w:pPr>
                    <w:pStyle w:val="47"/>
                  </w:pPr>
                  <w:r>
                    <w:rPr>
                      <w:rFonts w:hint="eastAsia"/>
                    </w:rPr>
                    <w:t>堆场、物料装卸粉尘</w:t>
                  </w:r>
                </w:p>
              </w:tc>
              <w:tc>
                <w:tcPr>
                  <w:tcW w:w="3544" w:type="dxa"/>
                  <w:vAlign w:val="center"/>
                </w:tcPr>
                <w:p>
                  <w:pPr>
                    <w:pStyle w:val="47"/>
                  </w:pPr>
                  <w:r>
                    <w:rPr>
                      <w:rFonts w:hint="eastAsia"/>
                    </w:rPr>
                    <w:t>对堆场周围进行围挡，配备雾炮机洒水；堆料上方覆盖防尘网；出入车辆进行冲洗</w:t>
                  </w:r>
                </w:p>
              </w:tc>
              <w:tc>
                <w:tcPr>
                  <w:tcW w:w="850" w:type="dxa"/>
                  <w:vMerge w:val="continue"/>
                  <w:vAlign w:val="center"/>
                </w:tcPr>
                <w:p>
                  <w:pPr>
                    <w:jc w:val="center"/>
                    <w:rPr>
                      <w:rFonts w:cs="宋体"/>
                      <w:color w:val="000000"/>
                    </w:rPr>
                  </w:pPr>
                </w:p>
              </w:tc>
              <w:tc>
                <w:tcPr>
                  <w:tcW w:w="881" w:type="dxa"/>
                  <w:vMerge w:val="continue"/>
                  <w:vAlign w:val="center"/>
                </w:tcPr>
                <w:p>
                  <w:pPr>
                    <w:pStyle w:val="47"/>
                    <w:rPr>
                      <w:rFonts w:cs="宋体"/>
                      <w:color w:val="000000"/>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color w:val="000000"/>
                    </w:rPr>
                  </w:pPr>
                </w:p>
              </w:tc>
              <w:tc>
                <w:tcPr>
                  <w:tcW w:w="851" w:type="dxa"/>
                  <w:vMerge w:val="continue"/>
                  <w:vAlign w:val="center"/>
                </w:tcPr>
                <w:p>
                  <w:pPr>
                    <w:pStyle w:val="47"/>
                    <w:rPr>
                      <w:color w:val="000000"/>
                    </w:rPr>
                  </w:pPr>
                </w:p>
              </w:tc>
              <w:tc>
                <w:tcPr>
                  <w:tcW w:w="1417" w:type="dxa"/>
                  <w:vAlign w:val="center"/>
                </w:tcPr>
                <w:p>
                  <w:pPr>
                    <w:pStyle w:val="47"/>
                  </w:pPr>
                  <w:r>
                    <w:rPr>
                      <w:rFonts w:hint="eastAsia"/>
                    </w:rPr>
                    <w:t>车辆运输粉尘</w:t>
                  </w:r>
                </w:p>
              </w:tc>
              <w:tc>
                <w:tcPr>
                  <w:tcW w:w="3544" w:type="dxa"/>
                  <w:vAlign w:val="center"/>
                </w:tcPr>
                <w:p>
                  <w:pPr>
                    <w:pStyle w:val="47"/>
                  </w:pPr>
                  <w:r>
                    <w:rPr>
                      <w:rFonts w:hint="eastAsia"/>
                    </w:rPr>
                    <w:t>洒水降尘，对出厂车辆进行轮胎冲洗，并在运输车辆加盖篷布，控制装载量，控制车速，减少道路粉尘</w:t>
                  </w:r>
                </w:p>
              </w:tc>
              <w:tc>
                <w:tcPr>
                  <w:tcW w:w="850" w:type="dxa"/>
                  <w:vMerge w:val="continue"/>
                  <w:vAlign w:val="center"/>
                </w:tcPr>
                <w:p>
                  <w:pPr>
                    <w:jc w:val="center"/>
                    <w:rPr>
                      <w:rFonts w:cs="宋体"/>
                      <w:color w:val="000000"/>
                    </w:rPr>
                  </w:pPr>
                </w:p>
              </w:tc>
              <w:tc>
                <w:tcPr>
                  <w:tcW w:w="881" w:type="dxa"/>
                  <w:vMerge w:val="continue"/>
                  <w:vAlign w:val="center"/>
                </w:tcPr>
                <w:p>
                  <w:pPr>
                    <w:pStyle w:val="47"/>
                    <w:rPr>
                      <w:rFonts w:cs="宋体"/>
                      <w:color w:val="000000"/>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color w:val="000000"/>
                    </w:rPr>
                  </w:pPr>
                </w:p>
              </w:tc>
              <w:tc>
                <w:tcPr>
                  <w:tcW w:w="851" w:type="dxa"/>
                  <w:vMerge w:val="continue"/>
                  <w:vAlign w:val="center"/>
                </w:tcPr>
                <w:p>
                  <w:pPr>
                    <w:pStyle w:val="47"/>
                    <w:rPr>
                      <w:color w:val="000000"/>
                    </w:rPr>
                  </w:pPr>
                </w:p>
              </w:tc>
              <w:tc>
                <w:tcPr>
                  <w:tcW w:w="1417" w:type="dxa"/>
                  <w:vAlign w:val="center"/>
                </w:tcPr>
                <w:p>
                  <w:pPr>
                    <w:pStyle w:val="47"/>
                  </w:pPr>
                  <w:r>
                    <w:rPr>
                      <w:rFonts w:hint="eastAsia"/>
                    </w:rPr>
                    <w:t>车辆尾气</w:t>
                  </w:r>
                </w:p>
              </w:tc>
              <w:tc>
                <w:tcPr>
                  <w:tcW w:w="3544" w:type="dxa"/>
                  <w:vAlign w:val="center"/>
                </w:tcPr>
                <w:p>
                  <w:pPr>
                    <w:pStyle w:val="47"/>
                  </w:pPr>
                  <w:r>
                    <w:rPr>
                      <w:rFonts w:hint="eastAsia"/>
                    </w:rPr>
                    <w:t>限制车速，使用排放达标机械</w:t>
                  </w:r>
                </w:p>
              </w:tc>
              <w:tc>
                <w:tcPr>
                  <w:tcW w:w="850" w:type="dxa"/>
                  <w:vMerge w:val="continue"/>
                  <w:vAlign w:val="center"/>
                </w:tcPr>
                <w:p>
                  <w:pPr>
                    <w:jc w:val="center"/>
                    <w:rPr>
                      <w:rFonts w:cs="宋体"/>
                      <w:bCs/>
                      <w:color w:val="000000"/>
                    </w:rPr>
                  </w:pPr>
                </w:p>
              </w:tc>
              <w:tc>
                <w:tcPr>
                  <w:tcW w:w="881" w:type="dxa"/>
                  <w:vMerge w:val="continue"/>
                  <w:vAlign w:val="center"/>
                </w:tcPr>
                <w:p>
                  <w:pPr>
                    <w:pStyle w:val="47"/>
                    <w:rPr>
                      <w:rFonts w:cs="宋体"/>
                      <w:color w:val="000000"/>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color w:val="000000"/>
                    </w:rPr>
                  </w:pPr>
                </w:p>
              </w:tc>
              <w:tc>
                <w:tcPr>
                  <w:tcW w:w="851" w:type="dxa"/>
                  <w:vMerge w:val="restart"/>
                  <w:vAlign w:val="center"/>
                </w:tcPr>
                <w:p>
                  <w:pPr>
                    <w:pStyle w:val="47"/>
                    <w:rPr>
                      <w:color w:val="000000"/>
                    </w:rPr>
                  </w:pPr>
                  <w:r>
                    <w:rPr>
                      <w:rFonts w:hint="eastAsia"/>
                      <w:color w:val="000000"/>
                    </w:rPr>
                    <w:t>固废</w:t>
                  </w:r>
                </w:p>
              </w:tc>
              <w:tc>
                <w:tcPr>
                  <w:tcW w:w="1417" w:type="dxa"/>
                  <w:vAlign w:val="center"/>
                </w:tcPr>
                <w:p>
                  <w:pPr>
                    <w:tabs>
                      <w:tab w:val="right" w:leader="dot" w:pos="8834"/>
                    </w:tabs>
                    <w:jc w:val="center"/>
                    <w:rPr>
                      <w:bCs/>
                      <w:color w:val="000000"/>
                      <w:szCs w:val="21"/>
                    </w:rPr>
                  </w:pPr>
                  <w:r>
                    <w:rPr>
                      <w:rFonts w:hint="eastAsia"/>
                      <w:bCs/>
                      <w:color w:val="000000"/>
                      <w:szCs w:val="21"/>
                    </w:rPr>
                    <w:t>生活垃圾</w:t>
                  </w:r>
                </w:p>
              </w:tc>
              <w:tc>
                <w:tcPr>
                  <w:tcW w:w="3544" w:type="dxa"/>
                  <w:vAlign w:val="center"/>
                </w:tcPr>
                <w:p>
                  <w:pPr>
                    <w:tabs>
                      <w:tab w:val="right" w:leader="dot" w:pos="8834"/>
                    </w:tabs>
                    <w:jc w:val="center"/>
                    <w:rPr>
                      <w:bCs/>
                      <w:color w:val="000000"/>
                      <w:szCs w:val="21"/>
                    </w:rPr>
                  </w:pPr>
                  <w:r>
                    <w:rPr>
                      <w:rFonts w:hint="eastAsia"/>
                      <w:bCs/>
                      <w:color w:val="000000"/>
                      <w:szCs w:val="21"/>
                    </w:rPr>
                    <w:t>收集后交由当地环卫部门统一处理</w:t>
                  </w:r>
                </w:p>
              </w:tc>
              <w:tc>
                <w:tcPr>
                  <w:tcW w:w="850" w:type="dxa"/>
                  <w:vMerge w:val="continue"/>
                  <w:vAlign w:val="center"/>
                </w:tcPr>
                <w:p>
                  <w:pPr>
                    <w:jc w:val="center"/>
                    <w:rPr>
                      <w:rFonts w:cs="宋体"/>
                      <w:bCs/>
                      <w:color w:val="000000"/>
                    </w:rPr>
                  </w:pPr>
                </w:p>
              </w:tc>
              <w:tc>
                <w:tcPr>
                  <w:tcW w:w="881" w:type="dxa"/>
                  <w:vMerge w:val="restart"/>
                  <w:vAlign w:val="center"/>
                </w:tcPr>
                <w:p>
                  <w:pPr>
                    <w:pStyle w:val="47"/>
                    <w:rPr>
                      <w:rFonts w:cs="宋体"/>
                      <w:color w:val="000000"/>
                    </w:rPr>
                  </w:pPr>
                  <w:r>
                    <w:rPr>
                      <w:rFonts w:hint="eastAsia" w:cs="宋体"/>
                      <w:color w:val="000000"/>
                    </w:rPr>
                    <w:t>固废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color w:val="000000"/>
                    </w:rPr>
                  </w:pPr>
                </w:p>
              </w:tc>
              <w:tc>
                <w:tcPr>
                  <w:tcW w:w="851" w:type="dxa"/>
                  <w:vMerge w:val="continue"/>
                  <w:vAlign w:val="center"/>
                </w:tcPr>
                <w:p>
                  <w:pPr>
                    <w:pStyle w:val="47"/>
                    <w:rPr>
                      <w:color w:val="000000"/>
                    </w:rPr>
                  </w:pPr>
                </w:p>
              </w:tc>
              <w:tc>
                <w:tcPr>
                  <w:tcW w:w="1417" w:type="dxa"/>
                  <w:vAlign w:val="center"/>
                </w:tcPr>
                <w:p>
                  <w:pPr>
                    <w:pStyle w:val="47"/>
                    <w:rPr>
                      <w:rFonts w:hAnsi="宋体"/>
                    </w:rPr>
                  </w:pPr>
                  <w:r>
                    <w:rPr>
                      <w:rFonts w:hint="eastAsia" w:hAnsi="宋体"/>
                    </w:rPr>
                    <w:t>浓密罐污泥</w:t>
                  </w:r>
                </w:p>
              </w:tc>
              <w:tc>
                <w:tcPr>
                  <w:tcW w:w="3544" w:type="dxa"/>
                  <w:vAlign w:val="center"/>
                </w:tcPr>
                <w:p>
                  <w:pPr>
                    <w:pStyle w:val="47"/>
                    <w:rPr>
                      <w:rFonts w:hAnsi="宋体"/>
                    </w:rPr>
                  </w:pPr>
                  <w:r>
                    <w:rPr>
                      <w:rFonts w:hint="eastAsia" w:hAnsi="宋体"/>
                    </w:rPr>
                    <w:t>经压滤机压滤脱水后按政府要求堆放至指定地点。</w:t>
                  </w:r>
                </w:p>
              </w:tc>
              <w:tc>
                <w:tcPr>
                  <w:tcW w:w="850" w:type="dxa"/>
                  <w:vMerge w:val="continue"/>
                  <w:vAlign w:val="center"/>
                </w:tcPr>
                <w:p>
                  <w:pPr>
                    <w:jc w:val="center"/>
                    <w:rPr>
                      <w:rFonts w:cs="宋体"/>
                      <w:bCs/>
                      <w:color w:val="000000"/>
                    </w:rPr>
                  </w:pPr>
                </w:p>
              </w:tc>
              <w:tc>
                <w:tcPr>
                  <w:tcW w:w="881" w:type="dxa"/>
                  <w:vMerge w:val="continue"/>
                  <w:vAlign w:val="center"/>
                </w:tcPr>
                <w:p>
                  <w:pPr>
                    <w:pStyle w:val="47"/>
                    <w:rPr>
                      <w:rFonts w:cs="宋体"/>
                      <w:color w:val="000000"/>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color w:val="000000"/>
                    </w:rPr>
                  </w:pPr>
                </w:p>
              </w:tc>
              <w:tc>
                <w:tcPr>
                  <w:tcW w:w="851" w:type="dxa"/>
                  <w:vMerge w:val="continue"/>
                  <w:vAlign w:val="center"/>
                </w:tcPr>
                <w:p>
                  <w:pPr>
                    <w:pStyle w:val="47"/>
                    <w:rPr>
                      <w:color w:val="000000"/>
                    </w:rPr>
                  </w:pPr>
                </w:p>
              </w:tc>
              <w:tc>
                <w:tcPr>
                  <w:tcW w:w="1417" w:type="dxa"/>
                  <w:vAlign w:val="center"/>
                </w:tcPr>
                <w:p>
                  <w:pPr>
                    <w:pStyle w:val="47"/>
                    <w:rPr>
                      <w:rFonts w:hAnsi="宋体"/>
                    </w:rPr>
                  </w:pPr>
                  <w:r>
                    <w:rPr>
                      <w:rFonts w:hint="eastAsia" w:hAnsi="宋体"/>
                    </w:rPr>
                    <w:t>设备检修废油</w:t>
                  </w:r>
                </w:p>
              </w:tc>
              <w:tc>
                <w:tcPr>
                  <w:tcW w:w="3544" w:type="dxa"/>
                  <w:vAlign w:val="center"/>
                </w:tcPr>
                <w:p>
                  <w:pPr>
                    <w:pStyle w:val="47"/>
                    <w:rPr>
                      <w:rFonts w:hAnsi="宋体"/>
                    </w:rPr>
                  </w:pPr>
                  <w:r>
                    <w:rPr>
                      <w:rFonts w:hint="eastAsia" w:ascii="宋体" w:hAnsi="宋体" w:cs="宋体"/>
                      <w:kern w:val="0"/>
                      <w:lang w:bidi="ar"/>
                    </w:rPr>
                    <w:t>暂存于危废暂存间，定期交由资质单位清运处置</w:t>
                  </w:r>
                </w:p>
              </w:tc>
              <w:tc>
                <w:tcPr>
                  <w:tcW w:w="850" w:type="dxa"/>
                  <w:vMerge w:val="continue"/>
                  <w:vAlign w:val="center"/>
                </w:tcPr>
                <w:p>
                  <w:pPr>
                    <w:jc w:val="center"/>
                    <w:rPr>
                      <w:rFonts w:cs="宋体"/>
                      <w:bCs/>
                      <w:color w:val="000000"/>
                    </w:rPr>
                  </w:pPr>
                </w:p>
              </w:tc>
              <w:tc>
                <w:tcPr>
                  <w:tcW w:w="881" w:type="dxa"/>
                  <w:vMerge w:val="continue"/>
                  <w:vAlign w:val="center"/>
                </w:tcPr>
                <w:p>
                  <w:pPr>
                    <w:pStyle w:val="47"/>
                    <w:rPr>
                      <w:rFonts w:cs="宋体"/>
                      <w:color w:val="000000"/>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033" w:type="dxa"/>
                  <w:vMerge w:val="continue"/>
                  <w:vAlign w:val="center"/>
                </w:tcPr>
                <w:p>
                  <w:pPr>
                    <w:pStyle w:val="47"/>
                    <w:rPr>
                      <w:color w:val="000000"/>
                    </w:rPr>
                  </w:pPr>
                </w:p>
              </w:tc>
              <w:tc>
                <w:tcPr>
                  <w:tcW w:w="851" w:type="dxa"/>
                  <w:vAlign w:val="center"/>
                </w:tcPr>
                <w:p>
                  <w:pPr>
                    <w:adjustRightInd w:val="0"/>
                    <w:jc w:val="center"/>
                    <w:rPr>
                      <w:bCs/>
                      <w:color w:val="000000"/>
                      <w:szCs w:val="21"/>
                    </w:rPr>
                  </w:pPr>
                  <w:r>
                    <w:rPr>
                      <w:rFonts w:hint="eastAsia"/>
                      <w:bCs/>
                      <w:color w:val="000000"/>
                      <w:szCs w:val="21"/>
                    </w:rPr>
                    <w:t>噪声</w:t>
                  </w:r>
                </w:p>
              </w:tc>
              <w:tc>
                <w:tcPr>
                  <w:tcW w:w="1417" w:type="dxa"/>
                  <w:vAlign w:val="center"/>
                </w:tcPr>
                <w:p>
                  <w:pPr>
                    <w:adjustRightInd w:val="0"/>
                    <w:jc w:val="center"/>
                    <w:rPr>
                      <w:bCs/>
                      <w:color w:val="000000"/>
                      <w:szCs w:val="21"/>
                    </w:rPr>
                  </w:pPr>
                  <w:r>
                    <w:rPr>
                      <w:rFonts w:hint="eastAsia"/>
                      <w:color w:val="000000"/>
                    </w:rPr>
                    <w:t>设备噪声</w:t>
                  </w:r>
                </w:p>
              </w:tc>
              <w:tc>
                <w:tcPr>
                  <w:tcW w:w="3544" w:type="dxa"/>
                  <w:vAlign w:val="center"/>
                </w:tcPr>
                <w:p>
                  <w:pPr>
                    <w:jc w:val="center"/>
                    <w:rPr>
                      <w:color w:val="000000"/>
                      <w:szCs w:val="21"/>
                    </w:rPr>
                  </w:pPr>
                  <w:r>
                    <w:rPr>
                      <w:rFonts w:hint="eastAsia"/>
                      <w:color w:val="000000"/>
                      <w:szCs w:val="21"/>
                    </w:rPr>
                    <w:t>主要生产设备安装于厂房内，设置基础减震</w:t>
                  </w:r>
                </w:p>
              </w:tc>
              <w:tc>
                <w:tcPr>
                  <w:tcW w:w="850" w:type="dxa"/>
                  <w:vMerge w:val="continue"/>
                  <w:vAlign w:val="center"/>
                </w:tcPr>
                <w:p>
                  <w:pPr>
                    <w:jc w:val="center"/>
                    <w:rPr>
                      <w:rFonts w:cs="宋体"/>
                      <w:bCs/>
                      <w:color w:val="000000"/>
                    </w:rPr>
                  </w:pPr>
                </w:p>
              </w:tc>
              <w:tc>
                <w:tcPr>
                  <w:tcW w:w="881" w:type="dxa"/>
                  <w:vAlign w:val="center"/>
                </w:tcPr>
                <w:p>
                  <w:pPr>
                    <w:pStyle w:val="47"/>
                    <w:rPr>
                      <w:rFonts w:cs="宋体"/>
                      <w:bCs/>
                      <w:color w:val="000000"/>
                    </w:rPr>
                  </w:pPr>
                  <w:r>
                    <w:rPr>
                      <w:rFonts w:hint="eastAsia" w:cs="宋体"/>
                      <w:bCs/>
                      <w:color w:val="000000"/>
                    </w:rPr>
                    <w:t>噪声</w:t>
                  </w:r>
                </w:p>
              </w:tc>
            </w:tr>
          </w:tbl>
          <w:p>
            <w:pPr>
              <w:pStyle w:val="38"/>
              <w:spacing w:before="120" w:beforeLines="50"/>
              <w:ind w:firstLine="482"/>
              <w:rPr>
                <w:b/>
                <w:color w:val="000000"/>
              </w:rPr>
            </w:pPr>
            <w:r>
              <w:rPr>
                <w:b/>
                <w:color w:val="000000"/>
              </w:rPr>
              <w:t>5</w:t>
            </w:r>
            <w:r>
              <w:rPr>
                <w:rFonts w:hint="eastAsia"/>
                <w:b/>
                <w:color w:val="000000"/>
              </w:rPr>
              <w:t>、项目主要原辅材料用量、能源消耗及主要设备</w:t>
            </w:r>
          </w:p>
          <w:p>
            <w:pPr>
              <w:spacing w:line="360" w:lineRule="auto"/>
              <w:ind w:left="420" w:leftChars="200"/>
              <w:rPr>
                <w:b/>
                <w:bCs/>
                <w:sz w:val="24"/>
              </w:rPr>
            </w:pPr>
            <w:r>
              <w:rPr>
                <w:rFonts w:hint="eastAsia"/>
                <w:b/>
                <w:sz w:val="24"/>
              </w:rPr>
              <w:t>（</w:t>
            </w:r>
            <w:r>
              <w:rPr>
                <w:b/>
                <w:sz w:val="24"/>
              </w:rPr>
              <w:t>1</w:t>
            </w:r>
            <w:r>
              <w:rPr>
                <w:rFonts w:hint="eastAsia"/>
                <w:b/>
                <w:sz w:val="24"/>
              </w:rPr>
              <w:t>）主要原辅材料</w:t>
            </w:r>
          </w:p>
          <w:p>
            <w:pPr>
              <w:adjustRightInd w:val="0"/>
              <w:snapToGrid w:val="0"/>
              <w:jc w:val="center"/>
              <w:rPr>
                <w:b/>
                <w:color w:val="000000"/>
                <w:sz w:val="24"/>
              </w:rPr>
            </w:pPr>
            <w:r>
              <w:rPr>
                <w:rFonts w:hint="eastAsia"/>
                <w:b/>
              </w:rPr>
              <w:t>表2-</w:t>
            </w:r>
            <w:r>
              <w:rPr>
                <w:b/>
              </w:rPr>
              <w:t>3</w:t>
            </w:r>
            <w:r>
              <w:rPr>
                <w:rFonts w:hint="eastAsia"/>
                <w:b/>
              </w:rPr>
              <w:t xml:space="preserve"> 主要原辅材料年需要量表</w:t>
            </w:r>
          </w:p>
          <w:tbl>
            <w:tblPr>
              <w:tblStyle w:val="14"/>
              <w:tblW w:w="851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1158"/>
              <w:gridCol w:w="821"/>
              <w:gridCol w:w="1281"/>
              <w:gridCol w:w="2410"/>
              <w:gridCol w:w="155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exact"/>
                <w:jc w:val="center"/>
              </w:trPr>
              <w:tc>
                <w:tcPr>
                  <w:tcW w:w="1287" w:type="dxa"/>
                  <w:vAlign w:val="center"/>
                </w:tcPr>
                <w:p>
                  <w:pPr>
                    <w:jc w:val="center"/>
                    <w:rPr>
                      <w:b/>
                      <w:szCs w:val="21"/>
                    </w:rPr>
                  </w:pPr>
                  <w:r>
                    <w:rPr>
                      <w:b/>
                      <w:szCs w:val="21"/>
                    </w:rPr>
                    <w:t>类别</w:t>
                  </w:r>
                </w:p>
              </w:tc>
              <w:tc>
                <w:tcPr>
                  <w:tcW w:w="1158" w:type="dxa"/>
                  <w:vAlign w:val="center"/>
                </w:tcPr>
                <w:p>
                  <w:pPr>
                    <w:jc w:val="center"/>
                    <w:rPr>
                      <w:b/>
                      <w:szCs w:val="21"/>
                    </w:rPr>
                  </w:pPr>
                  <w:r>
                    <w:rPr>
                      <w:b/>
                      <w:szCs w:val="21"/>
                    </w:rPr>
                    <w:t>名称</w:t>
                  </w:r>
                </w:p>
              </w:tc>
              <w:tc>
                <w:tcPr>
                  <w:tcW w:w="821" w:type="dxa"/>
                  <w:vAlign w:val="center"/>
                </w:tcPr>
                <w:p>
                  <w:pPr>
                    <w:jc w:val="center"/>
                    <w:rPr>
                      <w:b/>
                      <w:szCs w:val="21"/>
                    </w:rPr>
                  </w:pPr>
                  <w:r>
                    <w:rPr>
                      <w:rFonts w:hint="eastAsia"/>
                      <w:b/>
                      <w:szCs w:val="21"/>
                    </w:rPr>
                    <w:t>单位</w:t>
                  </w:r>
                </w:p>
              </w:tc>
              <w:tc>
                <w:tcPr>
                  <w:tcW w:w="1281" w:type="dxa"/>
                  <w:vAlign w:val="center"/>
                </w:tcPr>
                <w:p>
                  <w:pPr>
                    <w:jc w:val="center"/>
                    <w:rPr>
                      <w:b/>
                      <w:szCs w:val="21"/>
                    </w:rPr>
                  </w:pPr>
                  <w:r>
                    <w:rPr>
                      <w:b/>
                      <w:szCs w:val="21"/>
                    </w:rPr>
                    <w:t>年耗量</w:t>
                  </w:r>
                </w:p>
              </w:tc>
              <w:tc>
                <w:tcPr>
                  <w:tcW w:w="2410" w:type="dxa"/>
                  <w:vAlign w:val="center"/>
                </w:tcPr>
                <w:p>
                  <w:pPr>
                    <w:jc w:val="center"/>
                    <w:rPr>
                      <w:b/>
                      <w:szCs w:val="21"/>
                    </w:rPr>
                  </w:pPr>
                  <w:r>
                    <w:rPr>
                      <w:b/>
                      <w:szCs w:val="21"/>
                    </w:rPr>
                    <w:t>来源</w:t>
                  </w:r>
                </w:p>
              </w:tc>
              <w:tc>
                <w:tcPr>
                  <w:tcW w:w="1559" w:type="dxa"/>
                  <w:vAlign w:val="center"/>
                </w:tcPr>
                <w:p>
                  <w:pPr>
                    <w:jc w:val="center"/>
                    <w:rPr>
                      <w:b/>
                      <w:szCs w:val="21"/>
                    </w:rPr>
                  </w:pPr>
                  <w:r>
                    <w:rPr>
                      <w:rFonts w:hint="eastAsia"/>
                      <w:b/>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287" w:type="dxa"/>
                  <w:vAlign w:val="center"/>
                </w:tcPr>
                <w:p>
                  <w:pPr>
                    <w:jc w:val="center"/>
                    <w:rPr>
                      <w:szCs w:val="21"/>
                    </w:rPr>
                  </w:pPr>
                  <w:r>
                    <w:rPr>
                      <w:szCs w:val="21"/>
                    </w:rPr>
                    <w:t>原料</w:t>
                  </w:r>
                </w:p>
              </w:tc>
              <w:tc>
                <w:tcPr>
                  <w:tcW w:w="1158" w:type="dxa"/>
                  <w:shd w:val="clear" w:color="auto" w:fill="auto"/>
                  <w:vAlign w:val="center"/>
                </w:tcPr>
                <w:p>
                  <w:pPr>
                    <w:jc w:val="center"/>
                    <w:rPr>
                      <w:szCs w:val="21"/>
                    </w:rPr>
                  </w:pPr>
                  <w:r>
                    <w:rPr>
                      <w:rFonts w:hint="eastAsia"/>
                      <w:szCs w:val="21"/>
                    </w:rPr>
                    <w:t>连砂石</w:t>
                  </w:r>
                </w:p>
              </w:tc>
              <w:tc>
                <w:tcPr>
                  <w:tcW w:w="821" w:type="dxa"/>
                  <w:vAlign w:val="center"/>
                </w:tcPr>
                <w:p>
                  <w:pPr>
                    <w:tabs>
                      <w:tab w:val="center" w:pos="825"/>
                    </w:tabs>
                    <w:jc w:val="center"/>
                    <w:rPr>
                      <w:szCs w:val="21"/>
                    </w:rPr>
                  </w:pPr>
                  <w:r>
                    <w:rPr>
                      <w:rFonts w:hint="eastAsia"/>
                      <w:szCs w:val="21"/>
                    </w:rPr>
                    <w:t>t/a</w:t>
                  </w:r>
                </w:p>
              </w:tc>
              <w:tc>
                <w:tcPr>
                  <w:tcW w:w="1281" w:type="dxa"/>
                  <w:shd w:val="clear" w:color="auto" w:fill="auto"/>
                  <w:vAlign w:val="center"/>
                </w:tcPr>
                <w:p>
                  <w:pPr>
                    <w:tabs>
                      <w:tab w:val="center" w:pos="825"/>
                    </w:tabs>
                    <w:jc w:val="center"/>
                    <w:rPr>
                      <w:szCs w:val="21"/>
                    </w:rPr>
                  </w:pPr>
                  <w:r>
                    <w:rPr>
                      <w:szCs w:val="21"/>
                    </w:rPr>
                    <w:t>189.9</w:t>
                  </w:r>
                  <w:r>
                    <w:rPr>
                      <w:rFonts w:hint="eastAsia"/>
                      <w:szCs w:val="21"/>
                    </w:rPr>
                    <w:t>万</w:t>
                  </w:r>
                </w:p>
              </w:tc>
              <w:tc>
                <w:tcPr>
                  <w:tcW w:w="2410" w:type="dxa"/>
                  <w:shd w:val="clear" w:color="auto" w:fill="auto"/>
                  <w:vAlign w:val="center"/>
                </w:tcPr>
                <w:p>
                  <w:pPr>
                    <w:jc w:val="center"/>
                    <w:rPr>
                      <w:szCs w:val="21"/>
                    </w:rPr>
                  </w:pPr>
                  <w:r>
                    <w:rPr>
                      <w:rFonts w:hint="eastAsia"/>
                      <w:szCs w:val="21"/>
                    </w:rPr>
                    <w:t>原弃方堆放地</w:t>
                  </w:r>
                </w:p>
              </w:tc>
              <w:tc>
                <w:tcPr>
                  <w:tcW w:w="1559" w:type="dxa"/>
                  <w:vAlign w:val="center"/>
                </w:tcPr>
                <w:p>
                  <w:pPr>
                    <w:jc w:val="center"/>
                    <w:rPr>
                      <w:szCs w:val="21"/>
                    </w:rPr>
                  </w:pPr>
                  <w:r>
                    <w:rPr>
                      <w:rFonts w:hint="eastAsia"/>
                      <w:szCs w:val="21"/>
                    </w:rPr>
                    <w:t>不进行开采和外购</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287" w:type="dxa"/>
                  <w:vMerge w:val="restart"/>
                  <w:vAlign w:val="center"/>
                </w:tcPr>
                <w:p>
                  <w:pPr>
                    <w:jc w:val="center"/>
                    <w:rPr>
                      <w:szCs w:val="21"/>
                    </w:rPr>
                  </w:pPr>
                  <w:r>
                    <w:rPr>
                      <w:szCs w:val="21"/>
                    </w:rPr>
                    <w:t>辅</w:t>
                  </w:r>
                  <w:r>
                    <w:rPr>
                      <w:rFonts w:hint="eastAsia"/>
                      <w:szCs w:val="21"/>
                    </w:rPr>
                    <w:t>料</w:t>
                  </w:r>
                </w:p>
              </w:tc>
              <w:tc>
                <w:tcPr>
                  <w:tcW w:w="1158" w:type="dxa"/>
                  <w:shd w:val="clear" w:color="auto" w:fill="auto"/>
                  <w:vAlign w:val="center"/>
                </w:tcPr>
                <w:p>
                  <w:pPr>
                    <w:jc w:val="center"/>
                    <w:rPr>
                      <w:szCs w:val="21"/>
                    </w:rPr>
                  </w:pPr>
                  <w:r>
                    <w:rPr>
                      <w:rFonts w:hint="eastAsia"/>
                      <w:szCs w:val="21"/>
                    </w:rPr>
                    <w:t>PAC</w:t>
                  </w:r>
                </w:p>
              </w:tc>
              <w:tc>
                <w:tcPr>
                  <w:tcW w:w="821" w:type="dxa"/>
                  <w:vAlign w:val="center"/>
                </w:tcPr>
                <w:p>
                  <w:pPr>
                    <w:widowControl/>
                    <w:jc w:val="center"/>
                    <w:rPr>
                      <w:szCs w:val="21"/>
                    </w:rPr>
                  </w:pPr>
                  <w:r>
                    <w:rPr>
                      <w:rFonts w:hint="eastAsia"/>
                      <w:szCs w:val="21"/>
                    </w:rPr>
                    <w:t>t/a</w:t>
                  </w:r>
                </w:p>
              </w:tc>
              <w:tc>
                <w:tcPr>
                  <w:tcW w:w="1281" w:type="dxa"/>
                  <w:shd w:val="clear" w:color="auto" w:fill="auto"/>
                  <w:vAlign w:val="center"/>
                </w:tcPr>
                <w:p>
                  <w:pPr>
                    <w:jc w:val="center"/>
                    <w:rPr>
                      <w:szCs w:val="21"/>
                    </w:rPr>
                  </w:pPr>
                  <w:r>
                    <w:rPr>
                      <w:szCs w:val="21"/>
                    </w:rPr>
                    <w:t>3</w:t>
                  </w:r>
                </w:p>
              </w:tc>
              <w:tc>
                <w:tcPr>
                  <w:tcW w:w="2410" w:type="dxa"/>
                  <w:shd w:val="clear" w:color="auto" w:fill="auto"/>
                  <w:vAlign w:val="center"/>
                </w:tcPr>
                <w:p>
                  <w:pPr>
                    <w:jc w:val="center"/>
                    <w:rPr>
                      <w:szCs w:val="21"/>
                    </w:rPr>
                  </w:pPr>
                  <w:r>
                    <w:rPr>
                      <w:rFonts w:hint="eastAsia"/>
                      <w:szCs w:val="21"/>
                    </w:rPr>
                    <w:t>外购</w:t>
                  </w:r>
                </w:p>
              </w:tc>
              <w:tc>
                <w:tcPr>
                  <w:tcW w:w="1559" w:type="dxa"/>
                  <w:vMerge w:val="restart"/>
                  <w:vAlign w:val="center"/>
                </w:tcPr>
                <w:p>
                  <w:pPr>
                    <w:jc w:val="center"/>
                    <w:rPr>
                      <w:szCs w:val="21"/>
                    </w:rPr>
                  </w:pPr>
                  <w:r>
                    <w:rPr>
                      <w:rFonts w:hint="eastAsia"/>
                      <w:szCs w:val="21"/>
                    </w:rPr>
                    <w:t>袋装，水处理絮凝剂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287" w:type="dxa"/>
                  <w:vMerge w:val="continue"/>
                  <w:vAlign w:val="center"/>
                </w:tcPr>
                <w:p>
                  <w:pPr>
                    <w:jc w:val="center"/>
                    <w:rPr>
                      <w:szCs w:val="21"/>
                    </w:rPr>
                  </w:pPr>
                </w:p>
              </w:tc>
              <w:tc>
                <w:tcPr>
                  <w:tcW w:w="1158" w:type="dxa"/>
                  <w:shd w:val="clear" w:color="auto" w:fill="auto"/>
                  <w:vAlign w:val="center"/>
                </w:tcPr>
                <w:p>
                  <w:pPr>
                    <w:jc w:val="center"/>
                    <w:rPr>
                      <w:szCs w:val="21"/>
                    </w:rPr>
                  </w:pPr>
                  <w:r>
                    <w:rPr>
                      <w:rFonts w:hint="eastAsia"/>
                      <w:szCs w:val="21"/>
                    </w:rPr>
                    <w:t>PAM</w:t>
                  </w:r>
                </w:p>
              </w:tc>
              <w:tc>
                <w:tcPr>
                  <w:tcW w:w="821" w:type="dxa"/>
                  <w:vAlign w:val="center"/>
                </w:tcPr>
                <w:p>
                  <w:pPr>
                    <w:widowControl/>
                    <w:jc w:val="center"/>
                    <w:rPr>
                      <w:szCs w:val="21"/>
                    </w:rPr>
                  </w:pPr>
                  <w:r>
                    <w:rPr>
                      <w:rFonts w:hint="eastAsia"/>
                      <w:szCs w:val="21"/>
                    </w:rPr>
                    <w:t>t/a</w:t>
                  </w:r>
                </w:p>
              </w:tc>
              <w:tc>
                <w:tcPr>
                  <w:tcW w:w="1281" w:type="dxa"/>
                  <w:shd w:val="clear" w:color="auto" w:fill="auto"/>
                  <w:vAlign w:val="center"/>
                </w:tcPr>
                <w:p>
                  <w:pPr>
                    <w:jc w:val="center"/>
                    <w:rPr>
                      <w:szCs w:val="21"/>
                    </w:rPr>
                  </w:pPr>
                  <w:r>
                    <w:rPr>
                      <w:rFonts w:hint="eastAsia"/>
                      <w:szCs w:val="21"/>
                    </w:rPr>
                    <w:t>1</w:t>
                  </w:r>
                </w:p>
              </w:tc>
              <w:tc>
                <w:tcPr>
                  <w:tcW w:w="2410" w:type="dxa"/>
                  <w:shd w:val="clear" w:color="auto" w:fill="auto"/>
                  <w:vAlign w:val="center"/>
                </w:tcPr>
                <w:p>
                  <w:pPr>
                    <w:jc w:val="center"/>
                    <w:rPr>
                      <w:szCs w:val="21"/>
                    </w:rPr>
                  </w:pPr>
                  <w:r>
                    <w:rPr>
                      <w:rFonts w:hint="eastAsia"/>
                      <w:szCs w:val="21"/>
                    </w:rPr>
                    <w:t>外购</w:t>
                  </w:r>
                </w:p>
              </w:tc>
              <w:tc>
                <w:tcPr>
                  <w:tcW w:w="1559" w:type="dxa"/>
                  <w:vMerge w:val="continue"/>
                  <w:vAlign w:val="center"/>
                </w:tcPr>
                <w:p>
                  <w:pPr>
                    <w:jc w:val="center"/>
                    <w:rPr>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287" w:type="dxa"/>
                  <w:vMerge w:val="restart"/>
                  <w:vAlign w:val="center"/>
                </w:tcPr>
                <w:p>
                  <w:pPr>
                    <w:jc w:val="center"/>
                    <w:rPr>
                      <w:szCs w:val="21"/>
                    </w:rPr>
                  </w:pPr>
                  <w:r>
                    <w:rPr>
                      <w:szCs w:val="21"/>
                    </w:rPr>
                    <w:t>能源</w:t>
                  </w:r>
                </w:p>
              </w:tc>
              <w:tc>
                <w:tcPr>
                  <w:tcW w:w="1158" w:type="dxa"/>
                  <w:vAlign w:val="center"/>
                </w:tcPr>
                <w:p>
                  <w:pPr>
                    <w:jc w:val="center"/>
                    <w:rPr>
                      <w:szCs w:val="21"/>
                    </w:rPr>
                  </w:pPr>
                  <w:r>
                    <w:rPr>
                      <w:szCs w:val="21"/>
                    </w:rPr>
                    <w:t>电</w:t>
                  </w:r>
                </w:p>
              </w:tc>
              <w:tc>
                <w:tcPr>
                  <w:tcW w:w="821" w:type="dxa"/>
                  <w:vAlign w:val="center"/>
                </w:tcPr>
                <w:p>
                  <w:pPr>
                    <w:jc w:val="center"/>
                    <w:rPr>
                      <w:szCs w:val="21"/>
                    </w:rPr>
                  </w:pPr>
                  <w:r>
                    <w:rPr>
                      <w:szCs w:val="21"/>
                    </w:rPr>
                    <w:t>kw·h</w:t>
                  </w:r>
                </w:p>
              </w:tc>
              <w:tc>
                <w:tcPr>
                  <w:tcW w:w="1281" w:type="dxa"/>
                  <w:vAlign w:val="center"/>
                </w:tcPr>
                <w:p>
                  <w:pPr>
                    <w:jc w:val="center"/>
                    <w:rPr>
                      <w:szCs w:val="21"/>
                    </w:rPr>
                  </w:pPr>
                  <w:r>
                    <w:rPr>
                      <w:szCs w:val="21"/>
                    </w:rPr>
                    <w:t>802.5</w:t>
                  </w:r>
                  <w:r>
                    <w:rPr>
                      <w:rFonts w:hint="eastAsia"/>
                      <w:szCs w:val="21"/>
                    </w:rPr>
                    <w:t>万</w:t>
                  </w:r>
                </w:p>
              </w:tc>
              <w:tc>
                <w:tcPr>
                  <w:tcW w:w="2410" w:type="dxa"/>
                  <w:vAlign w:val="center"/>
                </w:tcPr>
                <w:p>
                  <w:pPr>
                    <w:jc w:val="center"/>
                    <w:rPr>
                      <w:szCs w:val="21"/>
                    </w:rPr>
                  </w:pPr>
                  <w:r>
                    <w:rPr>
                      <w:rFonts w:hint="eastAsia"/>
                    </w:rPr>
                    <w:t>当地电网经厂区变压器接入供应</w:t>
                  </w:r>
                </w:p>
              </w:tc>
              <w:tc>
                <w:tcPr>
                  <w:tcW w:w="1559" w:type="dxa"/>
                  <w:vAlign w:val="center"/>
                </w:tcPr>
                <w:p>
                  <w:pPr>
                    <w:jc w:val="center"/>
                    <w:rPr>
                      <w:szCs w:val="21"/>
                    </w:rPr>
                  </w:pPr>
                  <w:r>
                    <w:rPr>
                      <w:rFonts w:hint="eastAsia"/>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287" w:type="dxa"/>
                  <w:vMerge w:val="continue"/>
                  <w:vAlign w:val="center"/>
                </w:tcPr>
                <w:p>
                  <w:pPr>
                    <w:jc w:val="center"/>
                    <w:rPr>
                      <w:szCs w:val="21"/>
                    </w:rPr>
                  </w:pPr>
                </w:p>
              </w:tc>
              <w:tc>
                <w:tcPr>
                  <w:tcW w:w="1158" w:type="dxa"/>
                  <w:vAlign w:val="center"/>
                </w:tcPr>
                <w:p>
                  <w:pPr>
                    <w:pStyle w:val="47"/>
                  </w:pPr>
                  <w:r>
                    <w:rPr>
                      <w:rFonts w:hint="eastAsia"/>
                    </w:rPr>
                    <w:t>柴油</w:t>
                  </w:r>
                </w:p>
              </w:tc>
              <w:tc>
                <w:tcPr>
                  <w:tcW w:w="821" w:type="dxa"/>
                  <w:vAlign w:val="center"/>
                </w:tcPr>
                <w:p>
                  <w:pPr>
                    <w:pStyle w:val="47"/>
                  </w:pPr>
                  <w:r>
                    <w:rPr>
                      <w:rFonts w:hint="eastAsia"/>
                    </w:rPr>
                    <w:t>t/a</w:t>
                  </w:r>
                </w:p>
              </w:tc>
              <w:tc>
                <w:tcPr>
                  <w:tcW w:w="1281" w:type="dxa"/>
                  <w:vAlign w:val="center"/>
                </w:tcPr>
                <w:p>
                  <w:pPr>
                    <w:pStyle w:val="47"/>
                  </w:pPr>
                  <w:r>
                    <w:t>10.0</w:t>
                  </w:r>
                </w:p>
              </w:tc>
              <w:tc>
                <w:tcPr>
                  <w:tcW w:w="2410" w:type="dxa"/>
                  <w:vAlign w:val="center"/>
                </w:tcPr>
                <w:p>
                  <w:pPr>
                    <w:pStyle w:val="47"/>
                  </w:pPr>
                  <w:r>
                    <w:rPr>
                      <w:rFonts w:hint="eastAsia"/>
                    </w:rPr>
                    <w:t>外购</w:t>
                  </w:r>
                </w:p>
              </w:tc>
              <w:tc>
                <w:tcPr>
                  <w:tcW w:w="1559" w:type="dxa"/>
                  <w:vAlign w:val="center"/>
                </w:tcPr>
                <w:p>
                  <w:pPr>
                    <w:jc w:val="center"/>
                    <w:rPr>
                      <w:szCs w:val="21"/>
                    </w:rPr>
                  </w:pPr>
                  <w:r>
                    <w:rPr>
                      <w:rFonts w:hint="eastAsia"/>
                    </w:rPr>
                    <w:t>现用现买，不在厂区暂存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28" w:hRule="atLeast"/>
                <w:jc w:val="center"/>
              </w:trPr>
              <w:tc>
                <w:tcPr>
                  <w:tcW w:w="1287" w:type="dxa"/>
                  <w:vAlign w:val="center"/>
                </w:tcPr>
                <w:p>
                  <w:pPr>
                    <w:jc w:val="center"/>
                    <w:rPr>
                      <w:szCs w:val="21"/>
                    </w:rPr>
                  </w:pPr>
                  <w:r>
                    <w:rPr>
                      <w:szCs w:val="21"/>
                    </w:rPr>
                    <w:t>水量</w:t>
                  </w:r>
                </w:p>
              </w:tc>
              <w:tc>
                <w:tcPr>
                  <w:tcW w:w="1158" w:type="dxa"/>
                  <w:vAlign w:val="center"/>
                </w:tcPr>
                <w:p>
                  <w:pPr>
                    <w:jc w:val="center"/>
                    <w:rPr>
                      <w:szCs w:val="21"/>
                    </w:rPr>
                  </w:pPr>
                  <w:r>
                    <w:rPr>
                      <w:rFonts w:hint="eastAsia"/>
                      <w:szCs w:val="21"/>
                    </w:rPr>
                    <w:t>水</w:t>
                  </w:r>
                </w:p>
              </w:tc>
              <w:tc>
                <w:tcPr>
                  <w:tcW w:w="821" w:type="dxa"/>
                  <w:vAlign w:val="center"/>
                </w:tcPr>
                <w:p>
                  <w:pPr>
                    <w:jc w:val="center"/>
                    <w:rPr>
                      <w:szCs w:val="21"/>
                    </w:rPr>
                  </w:pPr>
                  <w:r>
                    <w:rPr>
                      <w:szCs w:val="21"/>
                    </w:rPr>
                    <w:t>m</w:t>
                  </w:r>
                  <w:r>
                    <w:rPr>
                      <w:szCs w:val="21"/>
                      <w:vertAlign w:val="superscript"/>
                    </w:rPr>
                    <w:t>3</w:t>
                  </w:r>
                  <w:r>
                    <w:rPr>
                      <w:rFonts w:hint="eastAsia"/>
                      <w:szCs w:val="21"/>
                    </w:rPr>
                    <w:t>/</w:t>
                  </w:r>
                  <w:r>
                    <w:rPr>
                      <w:szCs w:val="21"/>
                    </w:rPr>
                    <w:t>a</w:t>
                  </w:r>
                </w:p>
              </w:tc>
              <w:tc>
                <w:tcPr>
                  <w:tcW w:w="1281" w:type="dxa"/>
                  <w:vAlign w:val="center"/>
                </w:tcPr>
                <w:p>
                  <w:pPr>
                    <w:jc w:val="center"/>
                    <w:rPr>
                      <w:szCs w:val="21"/>
                    </w:rPr>
                  </w:pPr>
                  <w:r>
                    <w:rPr>
                      <w:szCs w:val="21"/>
                    </w:rPr>
                    <w:t>179315.4</w:t>
                  </w:r>
                </w:p>
              </w:tc>
              <w:tc>
                <w:tcPr>
                  <w:tcW w:w="2410" w:type="dxa"/>
                  <w:vAlign w:val="center"/>
                </w:tcPr>
                <w:p>
                  <w:pPr>
                    <w:pStyle w:val="47"/>
                  </w:pPr>
                  <w:r>
                    <w:rPr>
                      <w:rFonts w:hint="eastAsia"/>
                    </w:rPr>
                    <w:t>当地市政给水管网供给</w:t>
                  </w:r>
                </w:p>
              </w:tc>
              <w:tc>
                <w:tcPr>
                  <w:tcW w:w="1559" w:type="dxa"/>
                  <w:vAlign w:val="center"/>
                </w:tcPr>
                <w:p>
                  <w:pPr>
                    <w:jc w:val="center"/>
                    <w:rPr>
                      <w:szCs w:val="21"/>
                    </w:rPr>
                  </w:pPr>
                  <w:r>
                    <w:rPr>
                      <w:rFonts w:hint="eastAsia"/>
                      <w:szCs w:val="21"/>
                    </w:rPr>
                    <w:t>/</w:t>
                  </w:r>
                </w:p>
              </w:tc>
            </w:tr>
          </w:tbl>
          <w:p>
            <w:pPr>
              <w:adjustRightInd w:val="0"/>
              <w:snapToGrid w:val="0"/>
              <w:spacing w:before="120" w:beforeLines="50" w:line="360" w:lineRule="auto"/>
              <w:ind w:firstLine="482" w:firstLineChars="200"/>
              <w:rPr>
                <w:rFonts w:cs="宋体"/>
                <w:b/>
                <w:bCs/>
                <w:sz w:val="24"/>
              </w:rPr>
            </w:pPr>
            <w:r>
              <w:rPr>
                <w:rFonts w:hint="eastAsia" w:cs="宋体"/>
                <w:b/>
                <w:bCs/>
                <w:sz w:val="24"/>
              </w:rPr>
              <w:t>（</w:t>
            </w:r>
            <w:r>
              <w:rPr>
                <w:rFonts w:cs="宋体"/>
                <w:b/>
                <w:bCs/>
                <w:sz w:val="24"/>
              </w:rPr>
              <w:t>2</w:t>
            </w:r>
            <w:r>
              <w:rPr>
                <w:rFonts w:hint="eastAsia" w:cs="宋体"/>
                <w:b/>
                <w:bCs/>
                <w:sz w:val="24"/>
              </w:rPr>
              <w:t>）</w:t>
            </w:r>
            <w:r>
              <w:rPr>
                <w:rFonts w:cs="宋体"/>
                <w:b/>
                <w:bCs/>
                <w:sz w:val="24"/>
              </w:rPr>
              <w:t>、主要设施规格、数量</w:t>
            </w:r>
          </w:p>
          <w:p>
            <w:pPr>
              <w:adjustRightInd w:val="0"/>
              <w:snapToGrid w:val="0"/>
              <w:spacing w:line="360" w:lineRule="auto"/>
              <w:ind w:firstLine="480" w:firstLineChars="200"/>
              <w:rPr>
                <w:rFonts w:eastAsia="Yu Mincho" w:cs="宋体"/>
                <w:bCs/>
                <w:sz w:val="24"/>
              </w:rPr>
            </w:pPr>
            <w:r>
              <w:rPr>
                <w:rFonts w:hint="eastAsia" w:cs="宋体"/>
                <w:bCs/>
                <w:sz w:val="24"/>
              </w:rPr>
              <w:t>本项目主要设备规格与数量如下表所示。</w:t>
            </w:r>
          </w:p>
          <w:p>
            <w:pPr>
              <w:tabs>
                <w:tab w:val="left" w:pos="3045"/>
                <w:tab w:val="center" w:pos="4285"/>
              </w:tabs>
              <w:adjustRightInd w:val="0"/>
              <w:snapToGrid w:val="0"/>
              <w:jc w:val="center"/>
              <w:rPr>
                <w:rFonts w:cs="宋体"/>
                <w:b/>
                <w:bCs/>
                <w:szCs w:val="21"/>
              </w:rPr>
            </w:pPr>
            <w:r>
              <w:rPr>
                <w:rFonts w:hint="eastAsia" w:cs="宋体"/>
                <w:b/>
                <w:bCs/>
                <w:szCs w:val="21"/>
              </w:rPr>
              <w:t>表2</w:t>
            </w:r>
            <w:r>
              <w:rPr>
                <w:rFonts w:cs="宋体"/>
                <w:b/>
                <w:bCs/>
                <w:szCs w:val="21"/>
              </w:rPr>
              <w:t xml:space="preserve">-4 </w:t>
            </w:r>
            <w:r>
              <w:rPr>
                <w:rFonts w:hint="eastAsia" w:cs="宋体"/>
                <w:b/>
                <w:bCs/>
                <w:szCs w:val="21"/>
              </w:rPr>
              <w:t>主要设备一览表</w:t>
            </w:r>
          </w:p>
          <w:tbl>
            <w:tblPr>
              <w:tblStyle w:val="14"/>
              <w:tblW w:w="84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0"/>
              <w:gridCol w:w="3189"/>
              <w:gridCol w:w="3189"/>
              <w:gridCol w:w="140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690" w:type="dxa"/>
                  <w:vAlign w:val="center"/>
                </w:tcPr>
                <w:p>
                  <w:pPr>
                    <w:jc w:val="center"/>
                    <w:rPr>
                      <w:b/>
                      <w:szCs w:val="21"/>
                    </w:rPr>
                  </w:pPr>
                  <w:r>
                    <w:rPr>
                      <w:rFonts w:hint="eastAsia"/>
                      <w:b/>
                      <w:szCs w:val="21"/>
                    </w:rPr>
                    <w:t>序号</w:t>
                  </w:r>
                </w:p>
              </w:tc>
              <w:tc>
                <w:tcPr>
                  <w:tcW w:w="3189" w:type="dxa"/>
                  <w:vAlign w:val="center"/>
                </w:tcPr>
                <w:p>
                  <w:pPr>
                    <w:jc w:val="center"/>
                    <w:rPr>
                      <w:b/>
                      <w:szCs w:val="21"/>
                    </w:rPr>
                  </w:pPr>
                  <w:r>
                    <w:rPr>
                      <w:b/>
                      <w:szCs w:val="21"/>
                    </w:rPr>
                    <w:t>设备名称</w:t>
                  </w:r>
                </w:p>
              </w:tc>
              <w:tc>
                <w:tcPr>
                  <w:tcW w:w="3189" w:type="dxa"/>
                  <w:vAlign w:val="center"/>
                </w:tcPr>
                <w:p>
                  <w:pPr>
                    <w:jc w:val="center"/>
                    <w:rPr>
                      <w:b/>
                      <w:szCs w:val="21"/>
                    </w:rPr>
                  </w:pPr>
                  <w:r>
                    <w:rPr>
                      <w:b/>
                      <w:szCs w:val="21"/>
                    </w:rPr>
                    <w:t>规格型号</w:t>
                  </w:r>
                </w:p>
              </w:tc>
              <w:tc>
                <w:tcPr>
                  <w:tcW w:w="1403" w:type="dxa"/>
                  <w:vAlign w:val="center"/>
                </w:tcPr>
                <w:p>
                  <w:pPr>
                    <w:jc w:val="center"/>
                    <w:rPr>
                      <w:b/>
                      <w:szCs w:val="21"/>
                    </w:rPr>
                  </w:pPr>
                  <w:r>
                    <w:rPr>
                      <w:b/>
                      <w:szCs w:val="21"/>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90" w:type="dxa"/>
                  <w:vAlign w:val="center"/>
                </w:tcPr>
                <w:p>
                  <w:pPr>
                    <w:pStyle w:val="47"/>
                  </w:pPr>
                  <w:r>
                    <w:rPr>
                      <w:rFonts w:hint="eastAsia"/>
                    </w:rPr>
                    <w:t>1</w:t>
                  </w:r>
                </w:p>
              </w:tc>
              <w:tc>
                <w:tcPr>
                  <w:tcW w:w="3189" w:type="dxa"/>
                  <w:vAlign w:val="center"/>
                </w:tcPr>
                <w:p>
                  <w:pPr>
                    <w:pStyle w:val="47"/>
                  </w:pPr>
                  <w:r>
                    <w:rPr>
                      <w:rFonts w:hint="eastAsia"/>
                    </w:rPr>
                    <w:t>给料机</w:t>
                  </w:r>
                </w:p>
              </w:tc>
              <w:tc>
                <w:tcPr>
                  <w:tcW w:w="3189" w:type="dxa"/>
                  <w:shd w:val="clear" w:color="auto" w:fill="auto"/>
                  <w:vAlign w:val="center"/>
                </w:tcPr>
                <w:p>
                  <w:pPr>
                    <w:pStyle w:val="47"/>
                  </w:pPr>
                  <w:r>
                    <w:rPr>
                      <w:rFonts w:hint="eastAsia"/>
                    </w:rPr>
                    <w:t>/</w:t>
                  </w:r>
                </w:p>
              </w:tc>
              <w:tc>
                <w:tcPr>
                  <w:tcW w:w="1403" w:type="dxa"/>
                  <w:shd w:val="clear" w:color="auto" w:fill="auto"/>
                  <w:vAlign w:val="center"/>
                </w:tcPr>
                <w:p>
                  <w:pPr>
                    <w:pStyle w:val="47"/>
                  </w:pPr>
                  <w:r>
                    <w:t>1</w:t>
                  </w:r>
                  <w:r>
                    <w:rPr>
                      <w:rFonts w:hint="eastAsia"/>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90" w:type="dxa"/>
                  <w:vAlign w:val="center"/>
                </w:tcPr>
                <w:p>
                  <w:pPr>
                    <w:pStyle w:val="47"/>
                  </w:pPr>
                  <w:r>
                    <w:rPr>
                      <w:rFonts w:hint="eastAsia"/>
                    </w:rPr>
                    <w:t>2</w:t>
                  </w:r>
                </w:p>
              </w:tc>
              <w:tc>
                <w:tcPr>
                  <w:tcW w:w="3189" w:type="dxa"/>
                  <w:vAlign w:val="center"/>
                </w:tcPr>
                <w:p>
                  <w:pPr>
                    <w:pStyle w:val="47"/>
                  </w:pPr>
                  <w:r>
                    <w:rPr>
                      <w:rFonts w:hint="eastAsia"/>
                    </w:rPr>
                    <w:t>颚式破碎机</w:t>
                  </w:r>
                </w:p>
              </w:tc>
              <w:tc>
                <w:tcPr>
                  <w:tcW w:w="3189" w:type="dxa"/>
                  <w:shd w:val="clear" w:color="auto" w:fill="auto"/>
                  <w:vAlign w:val="center"/>
                </w:tcPr>
                <w:p>
                  <w:pPr>
                    <w:pStyle w:val="47"/>
                  </w:pPr>
                  <w:r>
                    <w:rPr>
                      <w:rFonts w:hint="eastAsia"/>
                    </w:rPr>
                    <w:t>PE600*900</w:t>
                  </w:r>
                </w:p>
              </w:tc>
              <w:tc>
                <w:tcPr>
                  <w:tcW w:w="1403" w:type="dxa"/>
                  <w:shd w:val="clear" w:color="auto" w:fill="auto"/>
                  <w:vAlign w:val="center"/>
                </w:tcPr>
                <w:p>
                  <w:pPr>
                    <w:pStyle w:val="47"/>
                  </w:pPr>
                  <w:r>
                    <w:rPr>
                      <w:rFonts w:hint="eastAsia"/>
                    </w:rPr>
                    <w:t>2台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90" w:type="dxa"/>
                  <w:vAlign w:val="center"/>
                </w:tcPr>
                <w:p>
                  <w:pPr>
                    <w:pStyle w:val="47"/>
                  </w:pPr>
                  <w:r>
                    <w:rPr>
                      <w:rFonts w:hint="eastAsia"/>
                    </w:rPr>
                    <w:t>3</w:t>
                  </w:r>
                </w:p>
              </w:tc>
              <w:tc>
                <w:tcPr>
                  <w:tcW w:w="3189" w:type="dxa"/>
                  <w:vAlign w:val="center"/>
                </w:tcPr>
                <w:p>
                  <w:pPr>
                    <w:pStyle w:val="47"/>
                    <w:rPr>
                      <w:rFonts w:ascii="宋体" w:hAnsi="宋体" w:cs="宋体"/>
                    </w:rPr>
                  </w:pPr>
                  <w:r>
                    <w:rPr>
                      <w:rFonts w:hint="eastAsia"/>
                    </w:rPr>
                    <w:t>双金圆锥机</w:t>
                  </w:r>
                </w:p>
              </w:tc>
              <w:tc>
                <w:tcPr>
                  <w:tcW w:w="3189" w:type="dxa"/>
                  <w:shd w:val="clear" w:color="auto" w:fill="auto"/>
                  <w:vAlign w:val="center"/>
                </w:tcPr>
                <w:p>
                  <w:pPr>
                    <w:pStyle w:val="47"/>
                  </w:pPr>
                  <w:r>
                    <w:rPr>
                      <w:rFonts w:hint="eastAsia"/>
                    </w:rPr>
                    <w:t>SS1650</w:t>
                  </w:r>
                </w:p>
              </w:tc>
              <w:tc>
                <w:tcPr>
                  <w:tcW w:w="1403" w:type="dxa"/>
                  <w:shd w:val="clear" w:color="auto" w:fill="auto"/>
                  <w:vAlign w:val="center"/>
                </w:tcPr>
                <w:p>
                  <w:pPr>
                    <w:pStyle w:val="47"/>
                  </w:pPr>
                  <w:r>
                    <w:rPr>
                      <w:rFonts w:hint="eastAsia"/>
                    </w:rPr>
                    <w:t>2台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90" w:type="dxa"/>
                  <w:vAlign w:val="center"/>
                </w:tcPr>
                <w:p>
                  <w:pPr>
                    <w:pStyle w:val="47"/>
                  </w:pPr>
                  <w:r>
                    <w:rPr>
                      <w:rFonts w:hint="eastAsia"/>
                    </w:rPr>
                    <w:t>4</w:t>
                  </w:r>
                </w:p>
              </w:tc>
              <w:tc>
                <w:tcPr>
                  <w:tcW w:w="3189" w:type="dxa"/>
                  <w:vAlign w:val="center"/>
                </w:tcPr>
                <w:p>
                  <w:pPr>
                    <w:pStyle w:val="47"/>
                    <w:rPr>
                      <w:rFonts w:ascii="宋体" w:hAnsi="宋体" w:cs="宋体"/>
                    </w:rPr>
                  </w:pPr>
                  <w:r>
                    <w:rPr>
                      <w:rFonts w:hint="eastAsia"/>
                    </w:rPr>
                    <w:t>百立克制砂机</w:t>
                  </w:r>
                </w:p>
              </w:tc>
              <w:tc>
                <w:tcPr>
                  <w:tcW w:w="3189" w:type="dxa"/>
                  <w:shd w:val="clear" w:color="auto" w:fill="auto"/>
                  <w:vAlign w:val="center"/>
                </w:tcPr>
                <w:p>
                  <w:pPr>
                    <w:pStyle w:val="47"/>
                  </w:pPr>
                  <w:r>
                    <w:rPr>
                      <w:rFonts w:hint="eastAsia"/>
                    </w:rPr>
                    <w:t>R9500</w:t>
                  </w:r>
                </w:p>
              </w:tc>
              <w:tc>
                <w:tcPr>
                  <w:tcW w:w="1403" w:type="dxa"/>
                  <w:shd w:val="clear" w:color="auto" w:fill="auto"/>
                  <w:vAlign w:val="center"/>
                </w:tcPr>
                <w:p>
                  <w:pPr>
                    <w:pStyle w:val="47"/>
                  </w:pPr>
                  <w:r>
                    <w:rPr>
                      <w:rFonts w:hint="eastAsia"/>
                    </w:rPr>
                    <w:t>2台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90" w:type="dxa"/>
                  <w:vAlign w:val="center"/>
                </w:tcPr>
                <w:p>
                  <w:pPr>
                    <w:pStyle w:val="47"/>
                  </w:pPr>
                  <w:r>
                    <w:rPr>
                      <w:rFonts w:hint="eastAsia"/>
                    </w:rPr>
                    <w:t>5</w:t>
                  </w:r>
                </w:p>
              </w:tc>
              <w:tc>
                <w:tcPr>
                  <w:tcW w:w="3189" w:type="dxa"/>
                  <w:vAlign w:val="center"/>
                </w:tcPr>
                <w:p>
                  <w:pPr>
                    <w:pStyle w:val="47"/>
                    <w:rPr>
                      <w:rFonts w:ascii="宋体" w:hAnsi="宋体" w:cs="宋体"/>
                    </w:rPr>
                  </w:pPr>
                  <w:r>
                    <w:rPr>
                      <w:rFonts w:hint="eastAsia"/>
                    </w:rPr>
                    <w:t>振动筛</w:t>
                  </w:r>
                </w:p>
              </w:tc>
              <w:tc>
                <w:tcPr>
                  <w:tcW w:w="3189" w:type="dxa"/>
                  <w:shd w:val="clear" w:color="auto" w:fill="auto"/>
                  <w:vAlign w:val="center"/>
                </w:tcPr>
                <w:p>
                  <w:pPr>
                    <w:pStyle w:val="47"/>
                  </w:pPr>
                  <w:r>
                    <w:rPr>
                      <w:rFonts w:hint="eastAsia"/>
                    </w:rPr>
                    <w:t>3Y42270</w:t>
                  </w:r>
                </w:p>
              </w:tc>
              <w:tc>
                <w:tcPr>
                  <w:tcW w:w="1403" w:type="dxa"/>
                  <w:shd w:val="clear" w:color="auto" w:fill="auto"/>
                  <w:vAlign w:val="center"/>
                </w:tcPr>
                <w:p>
                  <w:pPr>
                    <w:pStyle w:val="47"/>
                  </w:pPr>
                  <w:r>
                    <w:t>3</w:t>
                  </w:r>
                  <w:r>
                    <w:rPr>
                      <w:rFonts w:hint="eastAsia"/>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90" w:type="dxa"/>
                  <w:vAlign w:val="center"/>
                </w:tcPr>
                <w:p>
                  <w:pPr>
                    <w:pStyle w:val="47"/>
                  </w:pPr>
                  <w:r>
                    <w:rPr>
                      <w:rFonts w:hint="eastAsia"/>
                    </w:rPr>
                    <w:t>6</w:t>
                  </w:r>
                </w:p>
              </w:tc>
              <w:tc>
                <w:tcPr>
                  <w:tcW w:w="3189" w:type="dxa"/>
                  <w:vAlign w:val="center"/>
                </w:tcPr>
                <w:p>
                  <w:pPr>
                    <w:pStyle w:val="47"/>
                  </w:pPr>
                  <w:r>
                    <w:rPr>
                      <w:rFonts w:hint="eastAsia"/>
                    </w:rPr>
                    <w:t>螺旋洗砂机</w:t>
                  </w:r>
                </w:p>
              </w:tc>
              <w:tc>
                <w:tcPr>
                  <w:tcW w:w="3189" w:type="dxa"/>
                  <w:shd w:val="clear" w:color="auto" w:fill="auto"/>
                  <w:vAlign w:val="center"/>
                </w:tcPr>
                <w:p>
                  <w:pPr>
                    <w:pStyle w:val="47"/>
                  </w:pPr>
                  <w:r>
                    <w:rPr>
                      <w:rFonts w:hint="eastAsia"/>
                    </w:rPr>
                    <w:t>2816</w:t>
                  </w:r>
                </w:p>
              </w:tc>
              <w:tc>
                <w:tcPr>
                  <w:tcW w:w="1403" w:type="dxa"/>
                  <w:shd w:val="clear" w:color="auto" w:fill="auto"/>
                  <w:vAlign w:val="center"/>
                </w:tcPr>
                <w:p>
                  <w:pPr>
                    <w:pStyle w:val="47"/>
                  </w:pPr>
                  <w:r>
                    <w:t>5</w:t>
                  </w:r>
                  <w:r>
                    <w:rPr>
                      <w:rFonts w:hint="eastAsia"/>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90" w:type="dxa"/>
                </w:tcPr>
                <w:p>
                  <w:pPr>
                    <w:jc w:val="center"/>
                    <w:rPr>
                      <w:szCs w:val="21"/>
                    </w:rPr>
                  </w:pPr>
                  <w:r>
                    <w:rPr>
                      <w:rFonts w:hint="eastAsia"/>
                      <w:szCs w:val="21"/>
                    </w:rPr>
                    <w:t>7</w:t>
                  </w:r>
                </w:p>
              </w:tc>
              <w:tc>
                <w:tcPr>
                  <w:tcW w:w="3189" w:type="dxa"/>
                  <w:vAlign w:val="center"/>
                </w:tcPr>
                <w:p>
                  <w:pPr>
                    <w:pStyle w:val="47"/>
                    <w:rPr>
                      <w:rFonts w:ascii="宋体" w:hAnsi="宋体" w:cs="宋体"/>
                    </w:rPr>
                  </w:pPr>
                  <w:r>
                    <w:rPr>
                      <w:rFonts w:hint="eastAsia"/>
                    </w:rPr>
                    <w:t>皮带输送机</w:t>
                  </w:r>
                </w:p>
              </w:tc>
              <w:tc>
                <w:tcPr>
                  <w:tcW w:w="3189" w:type="dxa"/>
                  <w:shd w:val="clear" w:color="auto" w:fill="auto"/>
                  <w:vAlign w:val="center"/>
                </w:tcPr>
                <w:p>
                  <w:pPr>
                    <w:pStyle w:val="47"/>
                  </w:pPr>
                  <w:r>
                    <w:rPr>
                      <w:rFonts w:hint="eastAsia"/>
                    </w:rPr>
                    <w:t>/</w:t>
                  </w:r>
                </w:p>
              </w:tc>
              <w:tc>
                <w:tcPr>
                  <w:tcW w:w="1403" w:type="dxa"/>
                  <w:shd w:val="clear" w:color="auto" w:fill="auto"/>
                  <w:vAlign w:val="center"/>
                </w:tcPr>
                <w:p>
                  <w:pPr>
                    <w:pStyle w:val="47"/>
                    <w:rPr>
                      <w:rFonts w:ascii="宋体" w:hAnsi="宋体" w:cs="宋体"/>
                    </w:rPr>
                  </w:pPr>
                  <w:r>
                    <w:t>12</w:t>
                  </w:r>
                  <w:r>
                    <w:rPr>
                      <w:rFonts w:hint="eastAsia"/>
                    </w:rPr>
                    <w:t>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90" w:type="dxa"/>
                </w:tcPr>
                <w:p>
                  <w:pPr>
                    <w:jc w:val="center"/>
                    <w:rPr>
                      <w:szCs w:val="21"/>
                    </w:rPr>
                  </w:pPr>
                  <w:r>
                    <w:rPr>
                      <w:rFonts w:hint="eastAsia"/>
                      <w:szCs w:val="21"/>
                    </w:rPr>
                    <w:t>8</w:t>
                  </w:r>
                </w:p>
              </w:tc>
              <w:tc>
                <w:tcPr>
                  <w:tcW w:w="3189" w:type="dxa"/>
                  <w:vAlign w:val="center"/>
                </w:tcPr>
                <w:p>
                  <w:pPr>
                    <w:jc w:val="center"/>
                    <w:rPr>
                      <w:szCs w:val="21"/>
                    </w:rPr>
                  </w:pPr>
                  <w:r>
                    <w:rPr>
                      <w:rFonts w:hint="eastAsia"/>
                      <w:szCs w:val="21"/>
                    </w:rPr>
                    <w:t>尾砂一体机</w:t>
                  </w:r>
                </w:p>
              </w:tc>
              <w:tc>
                <w:tcPr>
                  <w:tcW w:w="3189" w:type="dxa"/>
                  <w:shd w:val="clear" w:color="auto" w:fill="auto"/>
                  <w:vAlign w:val="center"/>
                </w:tcPr>
                <w:p>
                  <w:pPr>
                    <w:jc w:val="center"/>
                    <w:rPr>
                      <w:szCs w:val="21"/>
                    </w:rPr>
                  </w:pPr>
                  <w:r>
                    <w:rPr>
                      <w:rFonts w:hint="eastAsia"/>
                    </w:rPr>
                    <w:t>/</w:t>
                  </w:r>
                </w:p>
              </w:tc>
              <w:tc>
                <w:tcPr>
                  <w:tcW w:w="1403" w:type="dxa"/>
                  <w:shd w:val="clear" w:color="auto" w:fill="auto"/>
                  <w:vAlign w:val="center"/>
                </w:tcPr>
                <w:p>
                  <w:pPr>
                    <w:tabs>
                      <w:tab w:val="left" w:pos="640"/>
                      <w:tab w:val="left" w:pos="800"/>
                      <w:tab w:val="left" w:pos="5760"/>
                    </w:tabs>
                    <w:jc w:val="center"/>
                    <w:rPr>
                      <w:szCs w:val="21"/>
                    </w:rPr>
                  </w:pPr>
                  <w:r>
                    <w:rPr>
                      <w:rFonts w:hint="eastAsia"/>
                      <w:szCs w:val="21"/>
                    </w:rPr>
                    <w:t>2台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90" w:type="dxa"/>
                </w:tcPr>
                <w:p>
                  <w:pPr>
                    <w:jc w:val="center"/>
                    <w:rPr>
                      <w:szCs w:val="21"/>
                    </w:rPr>
                  </w:pPr>
                  <w:r>
                    <w:rPr>
                      <w:rFonts w:hint="eastAsia"/>
                      <w:szCs w:val="21"/>
                    </w:rPr>
                    <w:t>9</w:t>
                  </w:r>
                </w:p>
              </w:tc>
              <w:tc>
                <w:tcPr>
                  <w:tcW w:w="3189" w:type="dxa"/>
                  <w:vAlign w:val="center"/>
                </w:tcPr>
                <w:p>
                  <w:pPr>
                    <w:jc w:val="center"/>
                    <w:rPr>
                      <w:szCs w:val="21"/>
                    </w:rPr>
                  </w:pPr>
                  <w:r>
                    <w:rPr>
                      <w:rFonts w:hint="eastAsia"/>
                      <w:szCs w:val="21"/>
                    </w:rPr>
                    <w:t>浓密罐</w:t>
                  </w:r>
                </w:p>
              </w:tc>
              <w:tc>
                <w:tcPr>
                  <w:tcW w:w="3189" w:type="dxa"/>
                  <w:shd w:val="clear" w:color="auto" w:fill="auto"/>
                  <w:vAlign w:val="center"/>
                </w:tcPr>
                <w:p>
                  <w:pPr>
                    <w:jc w:val="center"/>
                    <w:rPr>
                      <w:szCs w:val="21"/>
                    </w:rPr>
                  </w:pPr>
                  <w:r>
                    <w:rPr>
                      <w:szCs w:val="21"/>
                    </w:rPr>
                    <w:t>Φ7.55</w:t>
                  </w:r>
                  <w:r>
                    <w:rPr>
                      <w:rFonts w:hint="eastAsia"/>
                      <w:szCs w:val="21"/>
                    </w:rPr>
                    <w:t>m</w:t>
                  </w:r>
                </w:p>
              </w:tc>
              <w:tc>
                <w:tcPr>
                  <w:tcW w:w="1403" w:type="dxa"/>
                  <w:shd w:val="clear" w:color="auto" w:fill="auto"/>
                  <w:vAlign w:val="center"/>
                </w:tcPr>
                <w:p>
                  <w:pPr>
                    <w:tabs>
                      <w:tab w:val="left" w:pos="640"/>
                      <w:tab w:val="left" w:pos="800"/>
                      <w:tab w:val="left" w:pos="5760"/>
                    </w:tabs>
                    <w:jc w:val="center"/>
                    <w:rPr>
                      <w:szCs w:val="21"/>
                    </w:rPr>
                  </w:pPr>
                  <w:r>
                    <w:rPr>
                      <w:szCs w:val="21"/>
                    </w:rPr>
                    <w:t>1</w:t>
                  </w:r>
                  <w:r>
                    <w:rPr>
                      <w:rFonts w:hint="eastAsia"/>
                      <w:szCs w:val="21"/>
                    </w:rPr>
                    <w:t>组</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90" w:type="dxa"/>
                </w:tcPr>
                <w:p>
                  <w:pPr>
                    <w:jc w:val="center"/>
                    <w:rPr>
                      <w:szCs w:val="21"/>
                    </w:rPr>
                  </w:pPr>
                  <w:r>
                    <w:rPr>
                      <w:rFonts w:hint="eastAsia"/>
                      <w:szCs w:val="21"/>
                    </w:rPr>
                    <w:t>1</w:t>
                  </w:r>
                  <w:r>
                    <w:rPr>
                      <w:szCs w:val="21"/>
                    </w:rPr>
                    <w:t>0</w:t>
                  </w:r>
                </w:p>
              </w:tc>
              <w:tc>
                <w:tcPr>
                  <w:tcW w:w="3189" w:type="dxa"/>
                  <w:vAlign w:val="center"/>
                </w:tcPr>
                <w:p>
                  <w:pPr>
                    <w:jc w:val="center"/>
                    <w:rPr>
                      <w:szCs w:val="21"/>
                    </w:rPr>
                  </w:pPr>
                  <w:r>
                    <w:rPr>
                      <w:rFonts w:hint="eastAsia"/>
                      <w:szCs w:val="21"/>
                    </w:rPr>
                    <w:t>板式压滤机</w:t>
                  </w:r>
                </w:p>
              </w:tc>
              <w:tc>
                <w:tcPr>
                  <w:tcW w:w="3189" w:type="dxa"/>
                  <w:shd w:val="clear" w:color="auto" w:fill="auto"/>
                  <w:vAlign w:val="center"/>
                </w:tcPr>
                <w:p>
                  <w:pPr>
                    <w:jc w:val="center"/>
                    <w:rPr>
                      <w:szCs w:val="21"/>
                    </w:rPr>
                  </w:pPr>
                  <w:r>
                    <w:rPr>
                      <w:rFonts w:hint="eastAsia"/>
                    </w:rPr>
                    <w:t>/</w:t>
                  </w:r>
                </w:p>
              </w:tc>
              <w:tc>
                <w:tcPr>
                  <w:tcW w:w="1403" w:type="dxa"/>
                  <w:shd w:val="clear" w:color="auto" w:fill="auto"/>
                  <w:vAlign w:val="center"/>
                </w:tcPr>
                <w:p>
                  <w:pPr>
                    <w:tabs>
                      <w:tab w:val="left" w:pos="640"/>
                      <w:tab w:val="left" w:pos="800"/>
                      <w:tab w:val="left" w:pos="5760"/>
                    </w:tabs>
                    <w:jc w:val="center"/>
                    <w:rPr>
                      <w:szCs w:val="21"/>
                    </w:rPr>
                  </w:pPr>
                  <w:r>
                    <w:rPr>
                      <w:rFonts w:hint="eastAsia"/>
                      <w:szCs w:val="21"/>
                    </w:rPr>
                    <w:t>1台</w:t>
                  </w:r>
                </w:p>
              </w:tc>
            </w:tr>
          </w:tbl>
          <w:p>
            <w:pPr>
              <w:adjustRightInd w:val="0"/>
              <w:snapToGrid w:val="0"/>
              <w:spacing w:before="120" w:beforeLines="50" w:line="360" w:lineRule="auto"/>
              <w:ind w:firstLine="480" w:firstLineChars="200"/>
              <w:jc w:val="left"/>
              <w:rPr>
                <w:rFonts w:cs="宋体"/>
                <w:bCs/>
                <w:sz w:val="24"/>
              </w:rPr>
            </w:pPr>
            <w:r>
              <w:rPr>
                <w:rFonts w:hint="eastAsia" w:cs="宋体"/>
                <w:bCs/>
                <w:sz w:val="24"/>
              </w:rPr>
              <w:t>经对比《产业结构调整指导目录（2019年本）》（中华人民共和国</w:t>
            </w:r>
            <w:r>
              <w:rPr>
                <w:rFonts w:hint="eastAsia" w:cs="宋体"/>
                <w:bCs/>
                <w:sz w:val="24"/>
                <w:lang w:eastAsia="zh-CN"/>
              </w:rPr>
              <w:t>国家</w:t>
            </w:r>
            <w:bookmarkStart w:id="4" w:name="_GoBack"/>
            <w:bookmarkEnd w:id="4"/>
            <w:r>
              <w:rPr>
                <w:rFonts w:hint="eastAsia" w:cs="宋体"/>
                <w:bCs/>
                <w:sz w:val="24"/>
              </w:rPr>
              <w:t>发展和改革委员会令第29号），本项目所使用的设备无其中命令淘汰的落后设备。</w:t>
            </w:r>
          </w:p>
          <w:p>
            <w:pPr>
              <w:pStyle w:val="38"/>
              <w:ind w:firstLine="482"/>
              <w:rPr>
                <w:rFonts w:eastAsia="Yu Mincho"/>
                <w:b/>
                <w:color w:val="000000"/>
              </w:rPr>
            </w:pPr>
            <w:r>
              <w:rPr>
                <w:b/>
                <w:color w:val="000000"/>
              </w:rPr>
              <w:t>6</w:t>
            </w:r>
            <w:r>
              <w:rPr>
                <w:rFonts w:hint="eastAsia"/>
                <w:b/>
                <w:color w:val="000000"/>
              </w:rPr>
              <w:t>、劳动定员及工作制度</w:t>
            </w:r>
          </w:p>
          <w:p>
            <w:pPr>
              <w:adjustRightInd w:val="0"/>
              <w:snapToGrid w:val="0"/>
              <w:spacing w:line="360" w:lineRule="auto"/>
              <w:ind w:firstLine="480" w:firstLineChars="200"/>
              <w:rPr>
                <w:sz w:val="24"/>
              </w:rPr>
            </w:pPr>
            <w:r>
              <w:rPr>
                <w:rFonts w:hint="eastAsia"/>
                <w:sz w:val="24"/>
              </w:rPr>
              <w:t>本项目劳动定员2</w:t>
            </w:r>
            <w:r>
              <w:rPr>
                <w:sz w:val="24"/>
              </w:rPr>
              <w:t>0</w:t>
            </w:r>
            <w:r>
              <w:rPr>
                <w:rFonts w:hint="eastAsia"/>
                <w:sz w:val="24"/>
              </w:rPr>
              <w:t>人，每天生产12</w:t>
            </w:r>
            <w:r>
              <w:rPr>
                <w:sz w:val="24"/>
              </w:rPr>
              <w:t>小时，年总生产天数330天</w:t>
            </w:r>
            <w:r>
              <w:rPr>
                <w:rFonts w:hint="eastAsia"/>
                <w:sz w:val="24"/>
              </w:rPr>
              <w:t>，夜间（晚22:00</w:t>
            </w:r>
            <w:r>
              <w:rPr>
                <w:sz w:val="24"/>
              </w:rPr>
              <w:t>-</w:t>
            </w:r>
            <w:r>
              <w:rPr>
                <w:rFonts w:hint="eastAsia"/>
                <w:sz w:val="24"/>
              </w:rPr>
              <w:t>早6:00）不生产；夜间（夏季晚20:00</w:t>
            </w:r>
            <w:r>
              <w:rPr>
                <w:sz w:val="24"/>
              </w:rPr>
              <w:t>-</w:t>
            </w:r>
            <w:r>
              <w:rPr>
                <w:rFonts w:hint="eastAsia"/>
                <w:sz w:val="24"/>
              </w:rPr>
              <w:t>早7:00，冬季晚19:00</w:t>
            </w:r>
            <w:r>
              <w:rPr>
                <w:sz w:val="24"/>
              </w:rPr>
              <w:t>-</w:t>
            </w:r>
            <w:r>
              <w:rPr>
                <w:rFonts w:hint="eastAsia"/>
                <w:sz w:val="24"/>
              </w:rPr>
              <w:t>早7:00）不运输。</w:t>
            </w:r>
          </w:p>
          <w:p>
            <w:pPr>
              <w:adjustRightInd w:val="0"/>
              <w:snapToGrid w:val="0"/>
              <w:spacing w:line="360" w:lineRule="auto"/>
              <w:ind w:firstLine="482" w:firstLineChars="200"/>
              <w:jc w:val="left"/>
              <w:rPr>
                <w:b/>
                <w:color w:val="000000"/>
                <w:sz w:val="24"/>
              </w:rPr>
            </w:pPr>
            <w:r>
              <w:rPr>
                <w:rFonts w:cs="宋体"/>
                <w:b/>
                <w:bCs/>
                <w:sz w:val="24"/>
              </w:rPr>
              <w:t>7</w:t>
            </w:r>
            <w:r>
              <w:rPr>
                <w:rFonts w:hint="eastAsia" w:cs="宋体"/>
                <w:b/>
                <w:bCs/>
                <w:sz w:val="24"/>
              </w:rPr>
              <w:t>、</w:t>
            </w:r>
            <w:r>
              <w:rPr>
                <w:rFonts w:hint="eastAsia"/>
                <w:b/>
                <w:color w:val="000000"/>
                <w:sz w:val="24"/>
              </w:rPr>
              <w:t>公用工程</w:t>
            </w:r>
          </w:p>
          <w:p>
            <w:pPr>
              <w:pStyle w:val="38"/>
              <w:ind w:firstLine="482"/>
              <w:rPr>
                <w:b/>
                <w:color w:val="000000"/>
              </w:rPr>
            </w:pPr>
            <w:r>
              <w:rPr>
                <w:rFonts w:hint="eastAsia"/>
                <w:b/>
                <w:color w:val="000000"/>
              </w:rPr>
              <w:t>（1）给水</w:t>
            </w:r>
          </w:p>
          <w:p>
            <w:pPr>
              <w:spacing w:line="360" w:lineRule="auto"/>
              <w:ind w:firstLine="480" w:firstLineChars="200"/>
              <w:rPr>
                <w:sz w:val="24"/>
              </w:rPr>
            </w:pPr>
            <w:r>
              <w:rPr>
                <w:rFonts w:hint="eastAsia"/>
                <w:sz w:val="24"/>
              </w:rPr>
              <w:t>本项目运营期用水主要为洒水降尘用水、洗砂用水、车辆冲洗用水和生活用水。</w:t>
            </w:r>
          </w:p>
          <w:p>
            <w:pPr>
              <w:spacing w:line="360" w:lineRule="auto"/>
              <w:ind w:firstLine="480" w:firstLineChars="200"/>
              <w:rPr>
                <w:sz w:val="24"/>
              </w:rPr>
            </w:pPr>
            <w:r>
              <w:rPr>
                <w:rFonts w:hint="eastAsia"/>
                <w:sz w:val="24"/>
              </w:rPr>
              <w:t>1）洒水降尘用水</w:t>
            </w:r>
          </w:p>
          <w:p>
            <w:pPr>
              <w:spacing w:line="360" w:lineRule="auto"/>
              <w:ind w:firstLine="480" w:firstLineChars="200"/>
              <w:rPr>
                <w:sz w:val="24"/>
              </w:rPr>
            </w:pPr>
            <w:r>
              <w:rPr>
                <w:rFonts w:hint="eastAsia"/>
                <w:sz w:val="24"/>
              </w:rPr>
              <w:t>降尘用水包括生产车间降尘用水、成品库房降尘用水、厂区道路降尘用水。</w:t>
            </w:r>
          </w:p>
          <w:p>
            <w:pPr>
              <w:spacing w:line="360" w:lineRule="auto"/>
              <w:ind w:firstLine="480" w:firstLineChars="200"/>
              <w:rPr>
                <w:sz w:val="24"/>
              </w:rPr>
            </w:pPr>
            <w:r>
              <w:rPr>
                <w:rFonts w:hint="eastAsia"/>
                <w:sz w:val="24"/>
              </w:rPr>
              <w:t>加工车间降尘用水：为进一步控制生产车间内粉尘逸散量，本项目在生产车间在屋顶设置喷雾降尘（间隔3m设一组喷头，每个喷头间距2m），减少粉尘逸散量。本项目生产车间设置一套洒水降尘设施，用水量约</w:t>
            </w:r>
            <w:r>
              <w:rPr>
                <w:sz w:val="24"/>
              </w:rPr>
              <w:t>0.60</w:t>
            </w:r>
            <w:r>
              <w:rPr>
                <w:rFonts w:hint="eastAsia"/>
                <w:sz w:val="24"/>
              </w:rPr>
              <w:t>m</w:t>
            </w:r>
            <w:r>
              <w:rPr>
                <w:sz w:val="24"/>
                <w:vertAlign w:val="superscript"/>
              </w:rPr>
              <w:t>2</w:t>
            </w:r>
            <w:r>
              <w:rPr>
                <w:sz w:val="24"/>
              </w:rPr>
              <w:t>/h</w:t>
            </w:r>
            <w:r>
              <w:rPr>
                <w:rFonts w:hint="eastAsia"/>
                <w:sz w:val="24"/>
              </w:rPr>
              <w:t>，则生产车间降尘用水量为</w:t>
            </w:r>
            <w:r>
              <w:rPr>
                <w:sz w:val="24"/>
              </w:rPr>
              <w:t>7.20</w:t>
            </w:r>
            <w:r>
              <w:rPr>
                <w:rFonts w:hint="eastAsia"/>
                <w:sz w:val="24"/>
              </w:rPr>
              <w:t>m</w:t>
            </w:r>
            <w:r>
              <w:rPr>
                <w:rFonts w:hint="eastAsia"/>
                <w:sz w:val="24"/>
                <w:vertAlign w:val="superscript"/>
              </w:rPr>
              <w:t>3</w:t>
            </w:r>
            <w:r>
              <w:rPr>
                <w:rFonts w:hint="eastAsia"/>
                <w:sz w:val="24"/>
              </w:rPr>
              <w:t>/d。</w:t>
            </w:r>
          </w:p>
          <w:p>
            <w:pPr>
              <w:spacing w:line="360" w:lineRule="auto"/>
              <w:ind w:firstLine="480" w:firstLineChars="200"/>
              <w:rPr>
                <w:sz w:val="24"/>
              </w:rPr>
            </w:pPr>
            <w:r>
              <w:rPr>
                <w:rFonts w:hint="eastAsia"/>
                <w:sz w:val="24"/>
              </w:rPr>
              <w:t>成品库房降尘用水：本项目在成品堆场上方设置一台雾炮机，用水量约0</w:t>
            </w:r>
            <w:r>
              <w:rPr>
                <w:sz w:val="24"/>
              </w:rPr>
              <w:t>.60</w:t>
            </w:r>
            <w:r>
              <w:rPr>
                <w:rFonts w:hint="eastAsia"/>
                <w:sz w:val="24"/>
              </w:rPr>
              <w:t>m</w:t>
            </w:r>
            <w:r>
              <w:rPr>
                <w:sz w:val="24"/>
                <w:vertAlign w:val="superscript"/>
              </w:rPr>
              <w:t>2</w:t>
            </w:r>
            <w:r>
              <w:rPr>
                <w:sz w:val="24"/>
              </w:rPr>
              <w:t>/h</w:t>
            </w:r>
            <w:r>
              <w:rPr>
                <w:rFonts w:hint="eastAsia"/>
                <w:sz w:val="24"/>
              </w:rPr>
              <w:t>，则本项目堆场降尘用水量为</w:t>
            </w:r>
            <w:r>
              <w:rPr>
                <w:sz w:val="24"/>
              </w:rPr>
              <w:t>7.20</w:t>
            </w:r>
            <w:r>
              <w:rPr>
                <w:rFonts w:hint="eastAsia"/>
                <w:sz w:val="24"/>
              </w:rPr>
              <w:t>m</w:t>
            </w:r>
            <w:r>
              <w:rPr>
                <w:rFonts w:hint="eastAsia"/>
                <w:sz w:val="24"/>
                <w:vertAlign w:val="superscript"/>
              </w:rPr>
              <w:t>3</w:t>
            </w:r>
            <w:r>
              <w:rPr>
                <w:rFonts w:hint="eastAsia"/>
                <w:sz w:val="24"/>
              </w:rPr>
              <w:t>/d。</w:t>
            </w:r>
          </w:p>
          <w:p>
            <w:pPr>
              <w:spacing w:line="360" w:lineRule="auto"/>
              <w:ind w:firstLine="480" w:firstLineChars="200"/>
              <w:rPr>
                <w:sz w:val="24"/>
              </w:rPr>
            </w:pPr>
            <w:r>
              <w:rPr>
                <w:rFonts w:hint="eastAsia"/>
                <w:sz w:val="24"/>
              </w:rPr>
              <w:t>厂区道路降尘用水：设置</w:t>
            </w:r>
            <w:r>
              <w:rPr>
                <w:sz w:val="24"/>
              </w:rPr>
              <w:t>1</w:t>
            </w:r>
            <w:r>
              <w:rPr>
                <w:rFonts w:hint="eastAsia"/>
                <w:sz w:val="24"/>
              </w:rPr>
              <w:t>台雾炮机进行降尘，用水量约</w:t>
            </w:r>
            <w:r>
              <w:rPr>
                <w:sz w:val="24"/>
              </w:rPr>
              <w:t>0.30</w:t>
            </w:r>
            <w:r>
              <w:rPr>
                <w:rFonts w:hint="eastAsia"/>
                <w:sz w:val="24"/>
              </w:rPr>
              <w:t>m</w:t>
            </w:r>
            <w:r>
              <w:rPr>
                <w:rFonts w:hint="eastAsia"/>
                <w:sz w:val="24"/>
                <w:vertAlign w:val="superscript"/>
              </w:rPr>
              <w:t>3</w:t>
            </w:r>
            <w:r>
              <w:rPr>
                <w:rFonts w:hint="eastAsia"/>
                <w:sz w:val="24"/>
              </w:rPr>
              <w:t>/h，平均每天降尘时长4h，则共需</w:t>
            </w:r>
            <w:r>
              <w:rPr>
                <w:sz w:val="24"/>
              </w:rPr>
              <w:t>1.20</w:t>
            </w:r>
            <w:r>
              <w:rPr>
                <w:rFonts w:hint="eastAsia"/>
                <w:sz w:val="24"/>
              </w:rPr>
              <w:t>m</w:t>
            </w:r>
            <w:r>
              <w:rPr>
                <w:rFonts w:hint="eastAsia"/>
                <w:sz w:val="24"/>
                <w:vertAlign w:val="superscript"/>
              </w:rPr>
              <w:t>3</w:t>
            </w:r>
            <w:r>
              <w:rPr>
                <w:rFonts w:hint="eastAsia"/>
                <w:sz w:val="24"/>
              </w:rPr>
              <w:t>/d。</w:t>
            </w:r>
          </w:p>
          <w:p>
            <w:pPr>
              <w:spacing w:line="360" w:lineRule="auto"/>
              <w:ind w:firstLine="480" w:firstLineChars="200"/>
              <w:rPr>
                <w:sz w:val="24"/>
              </w:rPr>
            </w:pPr>
            <w:r>
              <w:rPr>
                <w:rFonts w:hint="eastAsia"/>
                <w:sz w:val="24"/>
              </w:rPr>
              <w:t>综上所诉，项目洒水降尘总用水量为</w:t>
            </w:r>
            <w:r>
              <w:rPr>
                <w:sz w:val="24"/>
              </w:rPr>
              <w:t>15.60</w:t>
            </w:r>
            <w:r>
              <w:rPr>
                <w:rFonts w:hint="eastAsia"/>
                <w:sz w:val="24"/>
              </w:rPr>
              <w:t>m</w:t>
            </w:r>
            <w:r>
              <w:rPr>
                <w:rFonts w:hint="eastAsia"/>
                <w:sz w:val="24"/>
                <w:vertAlign w:val="superscript"/>
              </w:rPr>
              <w:t>3</w:t>
            </w:r>
            <w:r>
              <w:rPr>
                <w:rFonts w:hint="eastAsia"/>
                <w:sz w:val="24"/>
              </w:rPr>
              <w:t>/d。洒水降尘用于降尘的水全部蒸发损耗或进入产品，无废水产生。</w:t>
            </w:r>
          </w:p>
          <w:p>
            <w:pPr>
              <w:spacing w:line="360" w:lineRule="auto"/>
              <w:ind w:firstLine="480" w:firstLineChars="200"/>
              <w:rPr>
                <w:sz w:val="24"/>
              </w:rPr>
            </w:pPr>
            <w:r>
              <w:rPr>
                <w:sz w:val="24"/>
              </w:rPr>
              <w:t>2</w:t>
            </w:r>
            <w:r>
              <w:rPr>
                <w:rFonts w:hint="eastAsia"/>
                <w:sz w:val="24"/>
              </w:rPr>
              <w:t>）洗砂用水</w:t>
            </w:r>
          </w:p>
          <w:p>
            <w:pPr>
              <w:spacing w:line="360" w:lineRule="auto"/>
              <w:ind w:firstLine="480" w:firstLineChars="200"/>
              <w:rPr>
                <w:sz w:val="24"/>
              </w:rPr>
            </w:pPr>
            <w:r>
              <w:rPr>
                <w:rFonts w:hint="eastAsia"/>
                <w:sz w:val="24"/>
              </w:rPr>
              <w:t>项目筛分过程加水进行冲洗，将筛分机内小于5mm的自然砂和机制砂带出，随水带入洗砂机。每吨砂需用水</w:t>
            </w:r>
            <w:r>
              <w:rPr>
                <w:sz w:val="24"/>
              </w:rPr>
              <w:t>0.5</w:t>
            </w:r>
            <w:r>
              <w:rPr>
                <w:rFonts w:hint="eastAsia"/>
                <w:sz w:val="24"/>
              </w:rPr>
              <w:t>m³，项目年加工弃方</w:t>
            </w:r>
            <w:r>
              <w:rPr>
                <w:bCs/>
                <w:sz w:val="24"/>
              </w:rPr>
              <w:t>189.9</w:t>
            </w:r>
            <w:r>
              <w:rPr>
                <w:rFonts w:hint="eastAsia"/>
                <w:bCs/>
                <w:sz w:val="24"/>
              </w:rPr>
              <w:t>万</w:t>
            </w:r>
            <w:r>
              <w:rPr>
                <w:bCs/>
                <w:sz w:val="24"/>
              </w:rPr>
              <w:t>t</w:t>
            </w:r>
            <w:r>
              <w:rPr>
                <w:rFonts w:hint="eastAsia"/>
                <w:sz w:val="24"/>
              </w:rPr>
              <w:t>，则需清洗用水量为</w:t>
            </w:r>
            <w:r>
              <w:rPr>
                <w:sz w:val="24"/>
              </w:rPr>
              <w:t>949818.51</w:t>
            </w:r>
            <w:r>
              <w:rPr>
                <w:rFonts w:hint="eastAsia"/>
                <w:sz w:val="24"/>
              </w:rPr>
              <w:t>m³/a（</w:t>
            </w:r>
            <w:r>
              <w:rPr>
                <w:sz w:val="24"/>
              </w:rPr>
              <w:t>2878.24</w:t>
            </w:r>
            <w:r>
              <w:rPr>
                <w:rFonts w:hint="eastAsia"/>
                <w:sz w:val="24"/>
              </w:rPr>
              <w:t>m³/d）。生产过程蒸发等损耗10%，损耗量为</w:t>
            </w:r>
            <w:r>
              <w:rPr>
                <w:sz w:val="24"/>
              </w:rPr>
              <w:t>287.96m³/d</w:t>
            </w:r>
            <w:r>
              <w:rPr>
                <w:rFonts w:hint="eastAsia"/>
                <w:sz w:val="24"/>
              </w:rPr>
              <w:t>；产品带走水分约0</w:t>
            </w:r>
            <w:r>
              <w:rPr>
                <w:sz w:val="24"/>
              </w:rPr>
              <w:t>.02</w:t>
            </w:r>
            <w:r>
              <w:rPr>
                <w:rFonts w:hint="eastAsia"/>
                <w:sz w:val="24"/>
              </w:rPr>
              <w:t>m</w:t>
            </w:r>
            <w:r>
              <w:rPr>
                <w:sz w:val="24"/>
                <w:vertAlign w:val="superscript"/>
              </w:rPr>
              <w:t>3</w:t>
            </w:r>
            <w:r>
              <w:rPr>
                <w:sz w:val="24"/>
              </w:rPr>
              <w:t>/t</w:t>
            </w:r>
            <w:r>
              <w:rPr>
                <w:rFonts w:hint="eastAsia"/>
                <w:sz w:val="24"/>
              </w:rPr>
              <w:t>，项目年产砂石1</w:t>
            </w:r>
            <w:r>
              <w:rPr>
                <w:sz w:val="24"/>
              </w:rPr>
              <w:t>87</w:t>
            </w:r>
            <w:r>
              <w:rPr>
                <w:rFonts w:hint="eastAsia"/>
                <w:sz w:val="24"/>
              </w:rPr>
              <w:t>万t，产品带走水分为</w:t>
            </w:r>
            <w:r>
              <w:rPr>
                <w:sz w:val="24"/>
              </w:rPr>
              <w:t>37400</w:t>
            </w:r>
            <w:r>
              <w:rPr>
                <w:rFonts w:hint="eastAsia"/>
                <w:sz w:val="24"/>
              </w:rPr>
              <w:t>m³/a（1</w:t>
            </w:r>
            <w:r>
              <w:rPr>
                <w:sz w:val="24"/>
              </w:rPr>
              <w:t>13.33</w:t>
            </w:r>
            <w:r>
              <w:rPr>
                <w:rFonts w:hint="eastAsia"/>
                <w:sz w:val="24"/>
              </w:rPr>
              <w:t>m³/d）；泥饼含水率</w:t>
            </w:r>
            <w:r>
              <w:rPr>
                <w:sz w:val="24"/>
              </w:rPr>
              <w:t>60</w:t>
            </w:r>
            <w:r>
              <w:rPr>
                <w:rFonts w:hint="eastAsia"/>
                <w:sz w:val="24"/>
              </w:rPr>
              <w:t>%，项目原料含泥量约为</w:t>
            </w:r>
            <w:r>
              <w:rPr>
                <w:sz w:val="24"/>
              </w:rPr>
              <w:t>1.5</w:t>
            </w:r>
            <w:r>
              <w:rPr>
                <w:rFonts w:hint="eastAsia"/>
                <w:sz w:val="24"/>
              </w:rPr>
              <w:t>%（</w:t>
            </w:r>
            <w:r>
              <w:rPr>
                <w:sz w:val="24"/>
              </w:rPr>
              <w:t>28477.16</w:t>
            </w:r>
            <w:r>
              <w:rPr>
                <w:rFonts w:hint="eastAsia"/>
                <w:sz w:val="24"/>
              </w:rPr>
              <w:t>t），含水率8%，则泥饼带走水分</w:t>
            </w:r>
            <w:r>
              <w:rPr>
                <w:sz w:val="24"/>
              </w:rPr>
              <w:t>37020.3</w:t>
            </w:r>
            <w:r>
              <w:rPr>
                <w:rFonts w:hint="eastAsia"/>
                <w:sz w:val="24"/>
              </w:rPr>
              <w:t>t/a（</w:t>
            </w:r>
            <w:r>
              <w:rPr>
                <w:sz w:val="24"/>
              </w:rPr>
              <w:t>112.18</w:t>
            </w:r>
            <w:r>
              <w:rPr>
                <w:rFonts w:hint="eastAsia"/>
                <w:sz w:val="24"/>
              </w:rPr>
              <w:t>m³/d）。综上，项目洗砂用水损耗量共计</w:t>
            </w:r>
            <w:r>
              <w:rPr>
                <w:sz w:val="24"/>
              </w:rPr>
              <w:t>169447.1</w:t>
            </w:r>
            <w:r>
              <w:rPr>
                <w:rFonts w:hint="eastAsia"/>
                <w:sz w:val="24"/>
              </w:rPr>
              <w:t>m³/a（</w:t>
            </w:r>
            <w:r>
              <w:rPr>
                <w:sz w:val="24"/>
              </w:rPr>
              <w:t>513.48</w:t>
            </w:r>
            <w:r>
              <w:rPr>
                <w:rFonts w:hint="eastAsia"/>
                <w:sz w:val="24"/>
              </w:rPr>
              <w:t>m³/d），废水产生量为</w:t>
            </w:r>
            <w:r>
              <w:rPr>
                <w:sz w:val="24"/>
              </w:rPr>
              <w:t>78037.41</w:t>
            </w:r>
            <w:r>
              <w:rPr>
                <w:rFonts w:hint="eastAsia"/>
                <w:sz w:val="24"/>
              </w:rPr>
              <w:t>m³/a（约</w:t>
            </w:r>
            <w:r>
              <w:rPr>
                <w:sz w:val="24"/>
              </w:rPr>
              <w:t>2364.76</w:t>
            </w:r>
            <w:r>
              <w:rPr>
                <w:rFonts w:hint="eastAsia"/>
                <w:sz w:val="24"/>
              </w:rPr>
              <w:t>m³/d），通过设置导流沟及管道，将洗砂废水导流至污水收集池，再通过浓缩罐（一台，处理能力250m³/h）处理后，清水进入清水池，用水泵抽回用于生产，不外排。</w:t>
            </w:r>
          </w:p>
          <w:p>
            <w:pPr>
              <w:spacing w:line="360" w:lineRule="auto"/>
              <w:ind w:firstLine="480" w:firstLineChars="200"/>
              <w:rPr>
                <w:sz w:val="24"/>
              </w:rPr>
            </w:pPr>
            <w:r>
              <w:rPr>
                <w:rFonts w:hint="eastAsia"/>
                <w:sz w:val="24"/>
              </w:rPr>
              <w:t>3）车辆冲洗用水</w:t>
            </w:r>
          </w:p>
          <w:p>
            <w:pPr>
              <w:adjustRightInd w:val="0"/>
              <w:spacing w:line="360" w:lineRule="auto"/>
              <w:ind w:firstLine="480" w:firstLineChars="200"/>
              <w:rPr>
                <w:sz w:val="24"/>
              </w:rPr>
            </w:pPr>
            <w:r>
              <w:rPr>
                <w:sz w:val="24"/>
              </w:rPr>
              <w:t>本项目在厂区入口处设置洗车平台，进出厂区的车辆必须进行冲洗。</w:t>
            </w:r>
            <w:r>
              <w:rPr>
                <w:rFonts w:hint="eastAsia"/>
                <w:sz w:val="24"/>
              </w:rPr>
              <w:t>根据《建筑给水排水设计标准》（GB 50015-2019），本项目冲洗车辆用水按40L/（辆</w:t>
            </w:r>
            <w:r>
              <w:rPr>
                <w:sz w:val="24"/>
              </w:rPr>
              <w:t>·</w:t>
            </w:r>
            <w:r>
              <w:rPr>
                <w:rFonts w:hint="eastAsia"/>
                <w:sz w:val="24"/>
              </w:rPr>
              <w:t>次）计，本项目每天车辆进出约1</w:t>
            </w:r>
            <w:r>
              <w:rPr>
                <w:sz w:val="24"/>
              </w:rPr>
              <w:t>2</w:t>
            </w:r>
            <w:r>
              <w:rPr>
                <w:rFonts w:hint="eastAsia"/>
                <w:sz w:val="24"/>
              </w:rPr>
              <w:t>0辆车次。本项目洗车用水量为</w:t>
            </w:r>
            <w:r>
              <w:rPr>
                <w:sz w:val="24"/>
              </w:rPr>
              <w:t>4.80m</w:t>
            </w:r>
            <w:r>
              <w:rPr>
                <w:sz w:val="24"/>
                <w:vertAlign w:val="superscript"/>
              </w:rPr>
              <w:t>3</w:t>
            </w:r>
            <w:r>
              <w:rPr>
                <w:sz w:val="24"/>
              </w:rPr>
              <w:t>/d</w:t>
            </w:r>
            <w:r>
              <w:rPr>
                <w:rFonts w:hint="eastAsia"/>
                <w:sz w:val="24"/>
              </w:rPr>
              <w:t>。</w:t>
            </w:r>
            <w:r>
              <w:rPr>
                <w:sz w:val="24"/>
              </w:rPr>
              <w:t>蒸发和损耗的水量按20%计，则</w:t>
            </w:r>
            <w:r>
              <w:rPr>
                <w:rFonts w:hint="eastAsia"/>
                <w:sz w:val="24"/>
              </w:rPr>
              <w:t>车辆冲洗</w:t>
            </w:r>
            <w:r>
              <w:rPr>
                <w:sz w:val="24"/>
              </w:rPr>
              <w:t>废水</w:t>
            </w:r>
            <w:r>
              <w:rPr>
                <w:rFonts w:hint="eastAsia"/>
                <w:sz w:val="24"/>
              </w:rPr>
              <w:t>产生</w:t>
            </w:r>
            <w:r>
              <w:rPr>
                <w:sz w:val="24"/>
              </w:rPr>
              <w:t>量为3.84m</w:t>
            </w:r>
            <w:r>
              <w:rPr>
                <w:sz w:val="24"/>
                <w:vertAlign w:val="superscript"/>
              </w:rPr>
              <w:t>3</w:t>
            </w:r>
            <w:r>
              <w:rPr>
                <w:sz w:val="24"/>
              </w:rPr>
              <w:t>/d。</w:t>
            </w:r>
            <w:r>
              <w:rPr>
                <w:rFonts w:hint="eastAsia"/>
                <w:sz w:val="24"/>
              </w:rPr>
              <w:t>废水通过浓缩罐（一台，处理能力250m³/h）处理后，清水进入清水池，用水泵抽回用于生产，不外排。</w:t>
            </w:r>
          </w:p>
          <w:p>
            <w:pPr>
              <w:spacing w:line="360" w:lineRule="auto"/>
              <w:ind w:firstLine="480" w:firstLineChars="200"/>
              <w:rPr>
                <w:rFonts w:eastAsiaTheme="minorEastAsia"/>
                <w:sz w:val="24"/>
              </w:rPr>
            </w:pPr>
            <w:r>
              <w:rPr>
                <w:rFonts w:hint="eastAsia"/>
                <w:sz w:val="24"/>
              </w:rPr>
              <w:t>4）生活用水</w:t>
            </w:r>
          </w:p>
          <w:p>
            <w:pPr>
              <w:spacing w:line="360" w:lineRule="auto"/>
              <w:ind w:firstLine="480" w:firstLineChars="200"/>
              <w:rPr>
                <w:sz w:val="24"/>
              </w:rPr>
            </w:pPr>
            <w:r>
              <w:rPr>
                <w:rFonts w:hint="eastAsia"/>
                <w:sz w:val="24"/>
              </w:rPr>
              <w:t>本项目运营期间定员</w:t>
            </w:r>
            <w:r>
              <w:rPr>
                <w:sz w:val="24"/>
              </w:rPr>
              <w:t>20</w:t>
            </w:r>
            <w:r>
              <w:rPr>
                <w:rFonts w:hint="eastAsia"/>
                <w:sz w:val="24"/>
              </w:rPr>
              <w:t>人，生活用水按《四川省用水定额》（川府函[2021]8号）所制定的用水定额核算该项目给排水量，生活用水量为130L/人•d，则生活用水量为</w:t>
            </w:r>
            <w:r>
              <w:rPr>
                <w:sz w:val="24"/>
              </w:rPr>
              <w:t>2.60</w:t>
            </w:r>
            <w:r>
              <w:rPr>
                <w:rFonts w:hint="eastAsia"/>
                <w:sz w:val="24"/>
              </w:rPr>
              <w:t>m</w:t>
            </w:r>
            <w:r>
              <w:rPr>
                <w:rFonts w:hint="eastAsia"/>
                <w:sz w:val="24"/>
                <w:vertAlign w:val="superscript"/>
              </w:rPr>
              <w:t>3</w:t>
            </w:r>
            <w:r>
              <w:rPr>
                <w:rFonts w:hint="eastAsia"/>
                <w:sz w:val="24"/>
              </w:rPr>
              <w:t>/d（</w:t>
            </w:r>
            <w:r>
              <w:rPr>
                <w:sz w:val="24"/>
              </w:rPr>
              <w:t>780</w:t>
            </w:r>
            <w:r>
              <w:rPr>
                <w:rFonts w:hint="eastAsia"/>
                <w:sz w:val="24"/>
              </w:rPr>
              <w:t>m</w:t>
            </w:r>
            <w:r>
              <w:rPr>
                <w:rFonts w:hint="eastAsia"/>
                <w:sz w:val="24"/>
                <w:vertAlign w:val="superscript"/>
              </w:rPr>
              <w:t>3</w:t>
            </w:r>
            <w:r>
              <w:rPr>
                <w:rFonts w:hint="eastAsia"/>
                <w:sz w:val="24"/>
              </w:rPr>
              <w:t>/a），生活污水量按用水量的85%计算，则生活污水产生量为</w:t>
            </w:r>
            <w:r>
              <w:rPr>
                <w:sz w:val="24"/>
              </w:rPr>
              <w:t>2.10</w:t>
            </w:r>
            <w:r>
              <w:rPr>
                <w:rFonts w:hint="eastAsia"/>
                <w:sz w:val="24"/>
              </w:rPr>
              <w:t>m</w:t>
            </w:r>
            <w:r>
              <w:rPr>
                <w:rFonts w:hint="eastAsia"/>
                <w:sz w:val="24"/>
                <w:vertAlign w:val="superscript"/>
              </w:rPr>
              <w:t>3</w:t>
            </w:r>
            <w:r>
              <w:rPr>
                <w:rFonts w:hint="eastAsia"/>
                <w:sz w:val="24"/>
              </w:rPr>
              <w:t>/d（</w:t>
            </w:r>
            <w:r>
              <w:rPr>
                <w:sz w:val="24"/>
              </w:rPr>
              <w:t>624</w:t>
            </w:r>
            <w:r>
              <w:rPr>
                <w:rFonts w:hint="eastAsia"/>
                <w:sz w:val="24"/>
              </w:rPr>
              <w:t>m</w:t>
            </w:r>
            <w:r>
              <w:rPr>
                <w:rFonts w:hint="eastAsia"/>
                <w:sz w:val="24"/>
                <w:vertAlign w:val="superscript"/>
              </w:rPr>
              <w:t>3</w:t>
            </w:r>
            <w:r>
              <w:rPr>
                <w:rFonts w:hint="eastAsia"/>
                <w:sz w:val="24"/>
              </w:rPr>
              <w:t>/a）。项目生活污水依托附近既有污水处理设施处理。</w:t>
            </w:r>
          </w:p>
          <w:p>
            <w:pPr>
              <w:jc w:val="center"/>
              <w:rPr>
                <w:b/>
                <w:szCs w:val="21"/>
              </w:rPr>
            </w:pPr>
            <w:r>
              <w:rPr>
                <w:rFonts w:hint="eastAsia"/>
                <w:b/>
                <w:szCs w:val="21"/>
              </w:rPr>
              <w:t>表</w:t>
            </w:r>
            <w:r>
              <w:rPr>
                <w:b/>
                <w:szCs w:val="21"/>
              </w:rPr>
              <w:t>2-5</w:t>
            </w:r>
            <w:r>
              <w:rPr>
                <w:rFonts w:hint="eastAsia"/>
                <w:b/>
                <w:szCs w:val="21"/>
              </w:rPr>
              <w:t xml:space="preserve"> 运营期间用水及排水情况一览表 </w:t>
            </w:r>
            <w:r>
              <w:rPr>
                <w:b/>
                <w:szCs w:val="21"/>
              </w:rPr>
              <w:t xml:space="preserve">     </w:t>
            </w:r>
            <w:r>
              <w:rPr>
                <w:rFonts w:hint="eastAsia"/>
                <w:b/>
                <w:szCs w:val="21"/>
              </w:rPr>
              <w:t>单位：</w:t>
            </w:r>
            <w:r>
              <w:rPr>
                <w:b/>
                <w:szCs w:val="21"/>
              </w:rPr>
              <w:t>m</w:t>
            </w:r>
            <w:r>
              <w:rPr>
                <w:b/>
                <w:szCs w:val="21"/>
                <w:vertAlign w:val="superscript"/>
              </w:rPr>
              <w:t>3</w:t>
            </w:r>
            <w:r>
              <w:rPr>
                <w:b/>
                <w:szCs w:val="21"/>
              </w:rPr>
              <w:t>/d</w:t>
            </w:r>
          </w:p>
          <w:tbl>
            <w:tblPr>
              <w:tblStyle w:val="14"/>
              <w:tblW w:w="864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16"/>
              <w:gridCol w:w="1478"/>
              <w:gridCol w:w="1428"/>
              <w:gridCol w:w="1217"/>
              <w:gridCol w:w="942"/>
              <w:gridCol w:w="944"/>
              <w:gridCol w:w="944"/>
              <w:gridCol w:w="127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0" w:hRule="atLeast"/>
                <w:jc w:val="center"/>
              </w:trPr>
              <w:tc>
                <w:tcPr>
                  <w:tcW w:w="1096" w:type="pct"/>
                  <w:gridSpan w:val="2"/>
                  <w:tcBorders>
                    <w:top w:val="single" w:color="auto" w:sz="12" w:space="0"/>
                    <w:left w:val="nil"/>
                    <w:bottom w:val="single" w:color="auto" w:sz="6" w:space="0"/>
                    <w:right w:val="single" w:color="auto" w:sz="6" w:space="0"/>
                  </w:tcBorders>
                  <w:vAlign w:val="center"/>
                </w:tcPr>
                <w:p>
                  <w:pPr>
                    <w:jc w:val="center"/>
                    <w:rPr>
                      <w:b/>
                      <w:szCs w:val="21"/>
                    </w:rPr>
                  </w:pPr>
                  <w:r>
                    <w:rPr>
                      <w:rFonts w:hint="eastAsia"/>
                      <w:b/>
                      <w:szCs w:val="21"/>
                    </w:rPr>
                    <w:t>用水项目</w:t>
                  </w:r>
                </w:p>
              </w:tc>
              <w:tc>
                <w:tcPr>
                  <w:tcW w:w="826" w:type="pct"/>
                  <w:tcBorders>
                    <w:top w:val="single" w:color="auto" w:sz="12" w:space="0"/>
                    <w:left w:val="single" w:color="auto" w:sz="6" w:space="0"/>
                    <w:bottom w:val="single" w:color="auto" w:sz="6" w:space="0"/>
                    <w:right w:val="single" w:color="auto" w:sz="6" w:space="0"/>
                  </w:tcBorders>
                  <w:vAlign w:val="center"/>
                </w:tcPr>
                <w:p>
                  <w:pPr>
                    <w:jc w:val="center"/>
                    <w:rPr>
                      <w:b/>
                      <w:szCs w:val="21"/>
                    </w:rPr>
                  </w:pPr>
                  <w:r>
                    <w:rPr>
                      <w:rFonts w:hint="eastAsia"/>
                      <w:b/>
                      <w:szCs w:val="21"/>
                    </w:rPr>
                    <w:t>用水指标</w:t>
                  </w:r>
                </w:p>
              </w:tc>
              <w:tc>
                <w:tcPr>
                  <w:tcW w:w="704" w:type="pct"/>
                  <w:tcBorders>
                    <w:top w:val="single" w:color="auto" w:sz="12" w:space="0"/>
                    <w:left w:val="single" w:color="auto" w:sz="6" w:space="0"/>
                    <w:bottom w:val="single" w:color="auto" w:sz="6" w:space="0"/>
                    <w:right w:val="single" w:color="auto" w:sz="6" w:space="0"/>
                  </w:tcBorders>
                  <w:vAlign w:val="center"/>
                </w:tcPr>
                <w:p>
                  <w:pPr>
                    <w:jc w:val="center"/>
                    <w:rPr>
                      <w:b/>
                      <w:szCs w:val="21"/>
                    </w:rPr>
                  </w:pPr>
                  <w:r>
                    <w:rPr>
                      <w:rFonts w:hint="eastAsia"/>
                      <w:b/>
                      <w:szCs w:val="21"/>
                    </w:rPr>
                    <w:t>设计最大数量</w:t>
                  </w:r>
                </w:p>
              </w:tc>
              <w:tc>
                <w:tcPr>
                  <w:tcW w:w="545" w:type="pct"/>
                  <w:tcBorders>
                    <w:top w:val="single" w:color="auto" w:sz="12" w:space="0"/>
                    <w:left w:val="single" w:color="auto" w:sz="6" w:space="0"/>
                    <w:bottom w:val="single" w:color="auto" w:sz="6" w:space="0"/>
                    <w:right w:val="single" w:color="auto" w:sz="6" w:space="0"/>
                  </w:tcBorders>
                  <w:vAlign w:val="center"/>
                </w:tcPr>
                <w:p>
                  <w:pPr>
                    <w:jc w:val="center"/>
                    <w:rPr>
                      <w:b/>
                      <w:szCs w:val="21"/>
                    </w:rPr>
                  </w:pPr>
                  <w:r>
                    <w:rPr>
                      <w:rFonts w:hint="eastAsia"/>
                      <w:b/>
                      <w:szCs w:val="21"/>
                    </w:rPr>
                    <w:t>新鲜水量</w:t>
                  </w:r>
                </w:p>
              </w:tc>
              <w:tc>
                <w:tcPr>
                  <w:tcW w:w="546" w:type="pct"/>
                  <w:tcBorders>
                    <w:top w:val="single" w:color="auto" w:sz="12" w:space="0"/>
                    <w:left w:val="single" w:color="auto" w:sz="6" w:space="0"/>
                    <w:bottom w:val="single" w:color="auto" w:sz="6" w:space="0"/>
                    <w:right w:val="single" w:color="auto" w:sz="6" w:space="0"/>
                  </w:tcBorders>
                  <w:vAlign w:val="center"/>
                </w:tcPr>
                <w:p>
                  <w:pPr>
                    <w:jc w:val="center"/>
                    <w:rPr>
                      <w:b/>
                      <w:szCs w:val="21"/>
                    </w:rPr>
                  </w:pPr>
                  <w:r>
                    <w:rPr>
                      <w:rFonts w:hint="eastAsia"/>
                      <w:b/>
                      <w:szCs w:val="21"/>
                    </w:rPr>
                    <w:t>循环水量</w:t>
                  </w:r>
                </w:p>
              </w:tc>
              <w:tc>
                <w:tcPr>
                  <w:tcW w:w="546" w:type="pct"/>
                  <w:tcBorders>
                    <w:top w:val="single" w:color="auto" w:sz="12" w:space="0"/>
                    <w:left w:val="single" w:color="auto" w:sz="6" w:space="0"/>
                    <w:bottom w:val="single" w:color="auto" w:sz="6" w:space="0"/>
                    <w:right w:val="single" w:color="auto" w:sz="6" w:space="0"/>
                  </w:tcBorders>
                  <w:vAlign w:val="center"/>
                </w:tcPr>
                <w:p>
                  <w:pPr>
                    <w:jc w:val="center"/>
                    <w:rPr>
                      <w:b/>
                      <w:szCs w:val="21"/>
                    </w:rPr>
                  </w:pPr>
                  <w:r>
                    <w:rPr>
                      <w:rFonts w:hint="eastAsia"/>
                      <w:b/>
                      <w:szCs w:val="21"/>
                    </w:rPr>
                    <w:t>排水量</w:t>
                  </w:r>
                </w:p>
              </w:tc>
              <w:tc>
                <w:tcPr>
                  <w:tcW w:w="737" w:type="pct"/>
                  <w:tcBorders>
                    <w:top w:val="single" w:color="auto" w:sz="12" w:space="0"/>
                    <w:left w:val="single" w:color="auto" w:sz="6" w:space="0"/>
                    <w:bottom w:val="single" w:color="auto" w:sz="6" w:space="0"/>
                    <w:right w:val="nil"/>
                  </w:tcBorders>
                  <w:vAlign w:val="center"/>
                </w:tcPr>
                <w:p>
                  <w:pPr>
                    <w:jc w:val="center"/>
                    <w:rPr>
                      <w:b/>
                      <w:szCs w:val="21"/>
                    </w:rPr>
                  </w:pPr>
                  <w:r>
                    <w:rPr>
                      <w:rFonts w:hint="eastAsia"/>
                      <w:b/>
                      <w:szCs w:val="21"/>
                    </w:rPr>
                    <w:t>排放去向</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4" w:hRule="atLeast"/>
                <w:jc w:val="center"/>
              </w:trPr>
              <w:tc>
                <w:tcPr>
                  <w:tcW w:w="241" w:type="pct"/>
                  <w:vMerge w:val="restart"/>
                  <w:tcBorders>
                    <w:top w:val="single" w:color="auto" w:sz="6" w:space="0"/>
                    <w:left w:val="nil"/>
                    <w:right w:val="single" w:color="auto" w:sz="4" w:space="0"/>
                  </w:tcBorders>
                  <w:vAlign w:val="center"/>
                </w:tcPr>
                <w:p>
                  <w:pPr>
                    <w:jc w:val="center"/>
                    <w:rPr>
                      <w:szCs w:val="21"/>
                    </w:rPr>
                  </w:pPr>
                  <w:r>
                    <w:rPr>
                      <w:rFonts w:hint="eastAsia"/>
                      <w:szCs w:val="21"/>
                    </w:rPr>
                    <w:t>生产用水</w:t>
                  </w:r>
                </w:p>
              </w:tc>
              <w:tc>
                <w:tcPr>
                  <w:tcW w:w="855" w:type="pct"/>
                  <w:tcBorders>
                    <w:top w:val="single" w:color="auto" w:sz="6" w:space="0"/>
                    <w:left w:val="single" w:color="auto" w:sz="4" w:space="0"/>
                    <w:bottom w:val="single" w:color="auto" w:sz="6" w:space="0"/>
                    <w:right w:val="single" w:color="auto" w:sz="6" w:space="0"/>
                  </w:tcBorders>
                  <w:vAlign w:val="center"/>
                </w:tcPr>
                <w:p>
                  <w:pPr>
                    <w:jc w:val="center"/>
                    <w:rPr>
                      <w:szCs w:val="21"/>
                    </w:rPr>
                  </w:pPr>
                  <w:r>
                    <w:rPr>
                      <w:rFonts w:hint="eastAsia"/>
                      <w:szCs w:val="21"/>
                    </w:rPr>
                    <w:t>洒水降尘用水</w:t>
                  </w:r>
                </w:p>
              </w:tc>
              <w:tc>
                <w:tcPr>
                  <w:tcW w:w="826"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rFonts w:hint="eastAsia"/>
                      <w:szCs w:val="21"/>
                    </w:rPr>
                    <w:t>1.5m</w:t>
                  </w:r>
                  <w:r>
                    <w:rPr>
                      <w:rFonts w:hint="eastAsia"/>
                      <w:szCs w:val="21"/>
                      <w:vertAlign w:val="superscript"/>
                    </w:rPr>
                    <w:t>3</w:t>
                  </w:r>
                  <w:r>
                    <w:rPr>
                      <w:rFonts w:hint="eastAsia"/>
                      <w:szCs w:val="21"/>
                    </w:rPr>
                    <w:t>/h</w:t>
                  </w:r>
                </w:p>
              </w:tc>
              <w:tc>
                <w:tcPr>
                  <w:tcW w:w="704"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szCs w:val="21"/>
                    </w:rPr>
                    <w:t>12</w:t>
                  </w:r>
                  <w:r>
                    <w:rPr>
                      <w:rFonts w:hint="eastAsia"/>
                      <w:szCs w:val="21"/>
                    </w:rPr>
                    <w:t>h/</w:t>
                  </w:r>
                  <w:r>
                    <w:rPr>
                      <w:szCs w:val="21"/>
                    </w:rPr>
                    <w:t>d</w:t>
                  </w:r>
                </w:p>
              </w:tc>
              <w:tc>
                <w:tcPr>
                  <w:tcW w:w="545"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szCs w:val="21"/>
                    </w:rPr>
                    <w:t>15.60</w:t>
                  </w:r>
                </w:p>
              </w:tc>
              <w:tc>
                <w:tcPr>
                  <w:tcW w:w="546"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rFonts w:hint="eastAsia"/>
                      <w:szCs w:val="21"/>
                    </w:rPr>
                    <w:t>0</w:t>
                  </w:r>
                </w:p>
              </w:tc>
              <w:tc>
                <w:tcPr>
                  <w:tcW w:w="546"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szCs w:val="21"/>
                    </w:rPr>
                    <w:t>0</w:t>
                  </w:r>
                </w:p>
              </w:tc>
              <w:tc>
                <w:tcPr>
                  <w:tcW w:w="737" w:type="pct"/>
                  <w:vMerge w:val="restart"/>
                  <w:tcBorders>
                    <w:left w:val="single" w:color="auto" w:sz="6" w:space="0"/>
                    <w:right w:val="nil"/>
                  </w:tcBorders>
                  <w:vAlign w:val="center"/>
                </w:tcPr>
                <w:p>
                  <w:pPr>
                    <w:widowControl/>
                    <w:jc w:val="center"/>
                    <w:rPr>
                      <w:szCs w:val="21"/>
                    </w:rPr>
                  </w:pPr>
                  <w:r>
                    <w:rPr>
                      <w:rFonts w:hint="eastAsia"/>
                      <w:szCs w:val="21"/>
                    </w:rPr>
                    <w:t>生产用水循环使用或自然损耗，不外排</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241" w:type="pct"/>
                  <w:vMerge w:val="continue"/>
                  <w:tcBorders>
                    <w:left w:val="nil"/>
                    <w:right w:val="single" w:color="auto" w:sz="4" w:space="0"/>
                  </w:tcBorders>
                  <w:vAlign w:val="center"/>
                </w:tcPr>
                <w:p>
                  <w:pPr>
                    <w:widowControl/>
                    <w:jc w:val="center"/>
                    <w:rPr>
                      <w:szCs w:val="21"/>
                    </w:rPr>
                  </w:pPr>
                </w:p>
              </w:tc>
              <w:tc>
                <w:tcPr>
                  <w:tcW w:w="855" w:type="pct"/>
                  <w:tcBorders>
                    <w:top w:val="single" w:color="auto" w:sz="6" w:space="0"/>
                    <w:left w:val="single" w:color="auto" w:sz="4" w:space="0"/>
                    <w:bottom w:val="single" w:color="auto" w:sz="6" w:space="0"/>
                    <w:right w:val="single" w:color="auto" w:sz="6" w:space="0"/>
                  </w:tcBorders>
                  <w:vAlign w:val="center"/>
                </w:tcPr>
                <w:p>
                  <w:pPr>
                    <w:jc w:val="center"/>
                    <w:rPr>
                      <w:szCs w:val="21"/>
                    </w:rPr>
                  </w:pPr>
                  <w:r>
                    <w:rPr>
                      <w:rFonts w:hint="eastAsia"/>
                      <w:szCs w:val="21"/>
                    </w:rPr>
                    <w:t>洗砂用水</w:t>
                  </w:r>
                </w:p>
              </w:tc>
              <w:tc>
                <w:tcPr>
                  <w:tcW w:w="826"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color w:val="000000"/>
                      <w:szCs w:val="21"/>
                    </w:rPr>
                    <w:t>0.5</w:t>
                  </w:r>
                  <w:r>
                    <w:rPr>
                      <w:rFonts w:hint="eastAsia"/>
                      <w:color w:val="000000"/>
                      <w:szCs w:val="21"/>
                    </w:rPr>
                    <w:t>m</w:t>
                  </w:r>
                  <w:r>
                    <w:rPr>
                      <w:color w:val="000000"/>
                      <w:szCs w:val="21"/>
                      <w:vertAlign w:val="superscript"/>
                    </w:rPr>
                    <w:t>3</w:t>
                  </w:r>
                  <w:r>
                    <w:rPr>
                      <w:rFonts w:hint="eastAsia"/>
                      <w:color w:val="000000"/>
                      <w:szCs w:val="21"/>
                    </w:rPr>
                    <w:t>/吨原料</w:t>
                  </w:r>
                </w:p>
              </w:tc>
              <w:tc>
                <w:tcPr>
                  <w:tcW w:w="704"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szCs w:val="21"/>
                    </w:rPr>
                    <w:t>189.9</w:t>
                  </w:r>
                  <w:r>
                    <w:rPr>
                      <w:rFonts w:hint="eastAsia"/>
                      <w:szCs w:val="21"/>
                    </w:rPr>
                    <w:t>万t/</w:t>
                  </w:r>
                  <w:r>
                    <w:rPr>
                      <w:szCs w:val="21"/>
                    </w:rPr>
                    <w:t>a</w:t>
                  </w:r>
                </w:p>
              </w:tc>
              <w:tc>
                <w:tcPr>
                  <w:tcW w:w="545"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szCs w:val="21"/>
                    </w:rPr>
                    <w:t>513.48</w:t>
                  </w:r>
                </w:p>
              </w:tc>
              <w:tc>
                <w:tcPr>
                  <w:tcW w:w="546"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szCs w:val="21"/>
                    </w:rPr>
                    <w:t>2364.76</w:t>
                  </w:r>
                </w:p>
              </w:tc>
              <w:tc>
                <w:tcPr>
                  <w:tcW w:w="546"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szCs w:val="21"/>
                    </w:rPr>
                    <w:t>0</w:t>
                  </w:r>
                </w:p>
              </w:tc>
              <w:tc>
                <w:tcPr>
                  <w:tcW w:w="737" w:type="pct"/>
                  <w:vMerge w:val="continue"/>
                  <w:tcBorders>
                    <w:left w:val="single" w:color="auto" w:sz="6" w:space="0"/>
                    <w:right w:val="nil"/>
                  </w:tcBorders>
                  <w:vAlign w:val="center"/>
                </w:tcPr>
                <w:p>
                  <w:pPr>
                    <w:widowControl/>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5" w:hRule="atLeast"/>
                <w:jc w:val="center"/>
              </w:trPr>
              <w:tc>
                <w:tcPr>
                  <w:tcW w:w="241" w:type="pct"/>
                  <w:vMerge w:val="continue"/>
                  <w:tcBorders>
                    <w:left w:val="nil"/>
                    <w:right w:val="single" w:color="auto" w:sz="4" w:space="0"/>
                  </w:tcBorders>
                  <w:vAlign w:val="center"/>
                </w:tcPr>
                <w:p>
                  <w:pPr>
                    <w:widowControl/>
                    <w:jc w:val="center"/>
                    <w:rPr>
                      <w:szCs w:val="21"/>
                    </w:rPr>
                  </w:pPr>
                </w:p>
              </w:tc>
              <w:tc>
                <w:tcPr>
                  <w:tcW w:w="855" w:type="pct"/>
                  <w:tcBorders>
                    <w:top w:val="single" w:color="auto" w:sz="6" w:space="0"/>
                    <w:left w:val="single" w:color="auto" w:sz="4" w:space="0"/>
                    <w:bottom w:val="single" w:color="auto" w:sz="6" w:space="0"/>
                    <w:right w:val="single" w:color="auto" w:sz="6" w:space="0"/>
                  </w:tcBorders>
                  <w:vAlign w:val="center"/>
                </w:tcPr>
                <w:p>
                  <w:pPr>
                    <w:jc w:val="center"/>
                    <w:rPr>
                      <w:szCs w:val="21"/>
                    </w:rPr>
                  </w:pPr>
                  <w:r>
                    <w:rPr>
                      <w:rFonts w:hint="eastAsia"/>
                      <w:szCs w:val="21"/>
                    </w:rPr>
                    <w:t>车辆冲洗用水</w:t>
                  </w:r>
                </w:p>
              </w:tc>
              <w:tc>
                <w:tcPr>
                  <w:tcW w:w="826"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rFonts w:hint="eastAsia"/>
                    </w:rPr>
                    <w:t>40L/辆次</w:t>
                  </w:r>
                </w:p>
              </w:tc>
              <w:tc>
                <w:tcPr>
                  <w:tcW w:w="704"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szCs w:val="21"/>
                    </w:rPr>
                    <w:t>120</w:t>
                  </w:r>
                  <w:r>
                    <w:rPr>
                      <w:rFonts w:hint="eastAsia"/>
                      <w:szCs w:val="21"/>
                    </w:rPr>
                    <w:t>辆/d</w:t>
                  </w:r>
                </w:p>
              </w:tc>
              <w:tc>
                <w:tcPr>
                  <w:tcW w:w="545"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szCs w:val="21"/>
                    </w:rPr>
                    <w:t>4.80</w:t>
                  </w:r>
                </w:p>
              </w:tc>
              <w:tc>
                <w:tcPr>
                  <w:tcW w:w="546" w:type="pct"/>
                  <w:tcBorders>
                    <w:top w:val="single" w:color="auto" w:sz="6" w:space="0"/>
                    <w:left w:val="single" w:color="auto" w:sz="6" w:space="0"/>
                    <w:bottom w:val="single" w:color="auto" w:sz="6" w:space="0"/>
                    <w:right w:val="single" w:color="auto" w:sz="6" w:space="0"/>
                  </w:tcBorders>
                  <w:vAlign w:val="center"/>
                </w:tcPr>
                <w:p>
                  <w:pPr>
                    <w:jc w:val="center"/>
                    <w:rPr>
                      <w:szCs w:val="21"/>
                    </w:rPr>
                  </w:pPr>
                  <w:r>
                    <w:t>3.84</w:t>
                  </w:r>
                </w:p>
              </w:tc>
              <w:tc>
                <w:tcPr>
                  <w:tcW w:w="546" w:type="pct"/>
                  <w:tcBorders>
                    <w:top w:val="single" w:color="auto" w:sz="6" w:space="0"/>
                    <w:left w:val="single" w:color="auto" w:sz="6" w:space="0"/>
                    <w:bottom w:val="single" w:color="auto" w:sz="6" w:space="0"/>
                    <w:right w:val="single" w:color="auto" w:sz="6" w:space="0"/>
                  </w:tcBorders>
                  <w:vAlign w:val="center"/>
                </w:tcPr>
                <w:p>
                  <w:pPr>
                    <w:jc w:val="center"/>
                    <w:rPr>
                      <w:szCs w:val="21"/>
                    </w:rPr>
                  </w:pPr>
                  <w:r>
                    <w:rPr>
                      <w:rFonts w:hint="eastAsia"/>
                      <w:szCs w:val="21"/>
                    </w:rPr>
                    <w:t>0</w:t>
                  </w:r>
                </w:p>
              </w:tc>
              <w:tc>
                <w:tcPr>
                  <w:tcW w:w="737" w:type="pct"/>
                  <w:vMerge w:val="continue"/>
                  <w:tcBorders>
                    <w:left w:val="single" w:color="auto" w:sz="6" w:space="0"/>
                    <w:right w:val="nil"/>
                  </w:tcBorders>
                  <w:vAlign w:val="center"/>
                </w:tcPr>
                <w:p>
                  <w:pPr>
                    <w:widowControl/>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5" w:hRule="atLeast"/>
                <w:jc w:val="center"/>
              </w:trPr>
              <w:tc>
                <w:tcPr>
                  <w:tcW w:w="1096" w:type="pct"/>
                  <w:gridSpan w:val="2"/>
                  <w:tcBorders>
                    <w:top w:val="single" w:color="auto" w:sz="6" w:space="0"/>
                    <w:left w:val="nil"/>
                    <w:bottom w:val="single" w:color="auto" w:sz="6" w:space="0"/>
                    <w:right w:val="single" w:color="auto" w:sz="6" w:space="0"/>
                  </w:tcBorders>
                  <w:vAlign w:val="center"/>
                </w:tcPr>
                <w:p>
                  <w:pPr>
                    <w:jc w:val="center"/>
                    <w:rPr>
                      <w:szCs w:val="21"/>
                    </w:rPr>
                  </w:pPr>
                  <w:r>
                    <w:rPr>
                      <w:rFonts w:hint="eastAsia"/>
                      <w:szCs w:val="21"/>
                    </w:rPr>
                    <w:t>员工生活用水</w:t>
                  </w:r>
                </w:p>
              </w:tc>
              <w:tc>
                <w:tcPr>
                  <w:tcW w:w="826" w:type="pct"/>
                  <w:tcBorders>
                    <w:top w:val="single" w:color="auto" w:sz="4" w:space="0"/>
                    <w:left w:val="single" w:color="auto" w:sz="6" w:space="0"/>
                    <w:bottom w:val="single" w:color="auto" w:sz="6" w:space="0"/>
                    <w:right w:val="single" w:color="auto" w:sz="6" w:space="0"/>
                  </w:tcBorders>
                  <w:vAlign w:val="center"/>
                </w:tcPr>
                <w:p>
                  <w:pPr>
                    <w:jc w:val="center"/>
                    <w:rPr>
                      <w:szCs w:val="21"/>
                    </w:rPr>
                  </w:pPr>
                  <w:r>
                    <w:rPr>
                      <w:szCs w:val="21"/>
                    </w:rPr>
                    <w:t>13</w:t>
                  </w:r>
                  <w:r>
                    <w:rPr>
                      <w:rFonts w:hint="eastAsia"/>
                      <w:szCs w:val="21"/>
                    </w:rPr>
                    <w:t>0</w:t>
                  </w:r>
                  <w:r>
                    <w:rPr>
                      <w:szCs w:val="21"/>
                    </w:rPr>
                    <w:t>L/</w:t>
                  </w:r>
                  <w:r>
                    <w:rPr>
                      <w:rFonts w:hint="eastAsia"/>
                      <w:szCs w:val="21"/>
                    </w:rPr>
                    <w:t>人</w:t>
                  </w:r>
                  <w:r>
                    <w:rPr>
                      <w:szCs w:val="21"/>
                    </w:rPr>
                    <w:t>*d</w:t>
                  </w:r>
                </w:p>
              </w:tc>
              <w:tc>
                <w:tcPr>
                  <w:tcW w:w="704" w:type="pct"/>
                  <w:tcBorders>
                    <w:top w:val="single" w:color="auto" w:sz="4" w:space="0"/>
                    <w:left w:val="single" w:color="auto" w:sz="6" w:space="0"/>
                    <w:bottom w:val="single" w:color="auto" w:sz="6" w:space="0"/>
                    <w:right w:val="single" w:color="auto" w:sz="6" w:space="0"/>
                  </w:tcBorders>
                  <w:vAlign w:val="center"/>
                </w:tcPr>
                <w:p>
                  <w:pPr>
                    <w:jc w:val="center"/>
                    <w:rPr>
                      <w:szCs w:val="21"/>
                    </w:rPr>
                  </w:pPr>
                  <w:r>
                    <w:rPr>
                      <w:szCs w:val="21"/>
                    </w:rPr>
                    <w:t>20</w:t>
                  </w:r>
                  <w:r>
                    <w:rPr>
                      <w:rFonts w:hint="eastAsia"/>
                      <w:szCs w:val="21"/>
                    </w:rPr>
                    <w:t>人</w:t>
                  </w:r>
                </w:p>
              </w:tc>
              <w:tc>
                <w:tcPr>
                  <w:tcW w:w="545" w:type="pct"/>
                  <w:tcBorders>
                    <w:top w:val="single" w:color="auto" w:sz="4" w:space="0"/>
                    <w:left w:val="single" w:color="auto" w:sz="6" w:space="0"/>
                    <w:bottom w:val="single" w:color="auto" w:sz="6" w:space="0"/>
                    <w:right w:val="single" w:color="auto" w:sz="6" w:space="0"/>
                  </w:tcBorders>
                  <w:vAlign w:val="center"/>
                </w:tcPr>
                <w:p>
                  <w:pPr>
                    <w:jc w:val="center"/>
                    <w:rPr>
                      <w:szCs w:val="21"/>
                    </w:rPr>
                  </w:pPr>
                  <w:r>
                    <w:rPr>
                      <w:szCs w:val="21"/>
                    </w:rPr>
                    <w:t>2.6</w:t>
                  </w:r>
                </w:p>
              </w:tc>
              <w:tc>
                <w:tcPr>
                  <w:tcW w:w="546" w:type="pct"/>
                  <w:tcBorders>
                    <w:top w:val="single" w:color="auto" w:sz="4" w:space="0"/>
                    <w:left w:val="single" w:color="auto" w:sz="6" w:space="0"/>
                    <w:bottom w:val="single" w:color="auto" w:sz="6" w:space="0"/>
                    <w:right w:val="single" w:color="auto" w:sz="6" w:space="0"/>
                  </w:tcBorders>
                  <w:vAlign w:val="center"/>
                </w:tcPr>
                <w:p>
                  <w:pPr>
                    <w:jc w:val="center"/>
                    <w:rPr>
                      <w:szCs w:val="21"/>
                    </w:rPr>
                  </w:pPr>
                  <w:r>
                    <w:rPr>
                      <w:rFonts w:hint="eastAsia"/>
                      <w:szCs w:val="21"/>
                    </w:rPr>
                    <w:t>0</w:t>
                  </w:r>
                </w:p>
              </w:tc>
              <w:tc>
                <w:tcPr>
                  <w:tcW w:w="546" w:type="pct"/>
                  <w:tcBorders>
                    <w:top w:val="single" w:color="auto" w:sz="4" w:space="0"/>
                    <w:left w:val="single" w:color="auto" w:sz="6" w:space="0"/>
                    <w:bottom w:val="single" w:color="auto" w:sz="6" w:space="0"/>
                    <w:right w:val="single" w:color="auto" w:sz="6" w:space="0"/>
                  </w:tcBorders>
                  <w:vAlign w:val="center"/>
                </w:tcPr>
                <w:p>
                  <w:pPr>
                    <w:jc w:val="center"/>
                    <w:rPr>
                      <w:szCs w:val="21"/>
                    </w:rPr>
                  </w:pPr>
                  <w:r>
                    <w:rPr>
                      <w:szCs w:val="21"/>
                    </w:rPr>
                    <w:t>2.1</w:t>
                  </w:r>
                </w:p>
              </w:tc>
              <w:tc>
                <w:tcPr>
                  <w:tcW w:w="737" w:type="pct"/>
                  <w:tcBorders>
                    <w:top w:val="single" w:color="auto" w:sz="4" w:space="0"/>
                    <w:left w:val="single" w:color="auto" w:sz="6" w:space="0"/>
                    <w:bottom w:val="single" w:color="auto" w:sz="6" w:space="0"/>
                    <w:right w:val="nil"/>
                  </w:tcBorders>
                  <w:vAlign w:val="center"/>
                </w:tcPr>
                <w:p>
                  <w:pPr>
                    <w:jc w:val="center"/>
                    <w:rPr>
                      <w:szCs w:val="21"/>
                    </w:rPr>
                  </w:pPr>
                  <w:r>
                    <w:rPr>
                      <w:rFonts w:hint="eastAsia"/>
                    </w:rPr>
                    <w:t>依托附近既有污水处理设施处理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2626" w:type="pct"/>
                  <w:gridSpan w:val="4"/>
                  <w:tcBorders>
                    <w:top w:val="single" w:color="auto" w:sz="6" w:space="0"/>
                    <w:left w:val="nil"/>
                    <w:bottom w:val="single" w:color="auto" w:sz="12" w:space="0"/>
                    <w:right w:val="single" w:color="auto" w:sz="6" w:space="0"/>
                  </w:tcBorders>
                  <w:vAlign w:val="center"/>
                </w:tcPr>
                <w:p>
                  <w:pPr>
                    <w:jc w:val="center"/>
                    <w:rPr>
                      <w:szCs w:val="21"/>
                    </w:rPr>
                  </w:pPr>
                  <w:r>
                    <w:rPr>
                      <w:rFonts w:hint="eastAsia"/>
                      <w:szCs w:val="21"/>
                    </w:rPr>
                    <w:t>总</w:t>
                  </w:r>
                  <w:r>
                    <w:rPr>
                      <w:szCs w:val="21"/>
                    </w:rPr>
                    <w:t xml:space="preserve">             </w:t>
                  </w:r>
                  <w:r>
                    <w:rPr>
                      <w:rFonts w:hint="eastAsia"/>
                      <w:szCs w:val="21"/>
                    </w:rPr>
                    <w:t>计</w:t>
                  </w:r>
                </w:p>
              </w:tc>
              <w:tc>
                <w:tcPr>
                  <w:tcW w:w="545" w:type="pct"/>
                  <w:tcBorders>
                    <w:top w:val="single" w:color="auto" w:sz="6" w:space="0"/>
                    <w:left w:val="single" w:color="auto" w:sz="6" w:space="0"/>
                    <w:bottom w:val="single" w:color="auto" w:sz="12" w:space="0"/>
                    <w:right w:val="single" w:color="auto" w:sz="6" w:space="0"/>
                  </w:tcBorders>
                  <w:vAlign w:val="center"/>
                </w:tcPr>
                <w:p>
                  <w:pPr>
                    <w:jc w:val="center"/>
                    <w:rPr>
                      <w:szCs w:val="21"/>
                    </w:rPr>
                  </w:pPr>
                  <w:r>
                    <w:rPr>
                      <w:szCs w:val="21"/>
                    </w:rPr>
                    <w:t>543.38</w:t>
                  </w:r>
                </w:p>
              </w:tc>
              <w:tc>
                <w:tcPr>
                  <w:tcW w:w="546" w:type="pct"/>
                  <w:tcBorders>
                    <w:top w:val="single" w:color="auto" w:sz="6" w:space="0"/>
                    <w:left w:val="single" w:color="auto" w:sz="6" w:space="0"/>
                    <w:bottom w:val="single" w:color="auto" w:sz="12" w:space="0"/>
                    <w:right w:val="single" w:color="auto" w:sz="6" w:space="0"/>
                  </w:tcBorders>
                  <w:vAlign w:val="center"/>
                </w:tcPr>
                <w:p>
                  <w:pPr>
                    <w:jc w:val="center"/>
                    <w:rPr>
                      <w:szCs w:val="21"/>
                    </w:rPr>
                  </w:pPr>
                  <w:r>
                    <w:rPr>
                      <w:szCs w:val="21"/>
                    </w:rPr>
                    <w:t>2368.60</w:t>
                  </w:r>
                </w:p>
              </w:tc>
              <w:tc>
                <w:tcPr>
                  <w:tcW w:w="546" w:type="pct"/>
                  <w:tcBorders>
                    <w:top w:val="single" w:color="auto" w:sz="6" w:space="0"/>
                    <w:left w:val="single" w:color="auto" w:sz="6" w:space="0"/>
                    <w:bottom w:val="single" w:color="auto" w:sz="12" w:space="0"/>
                    <w:right w:val="single" w:color="auto" w:sz="6" w:space="0"/>
                  </w:tcBorders>
                  <w:vAlign w:val="center"/>
                </w:tcPr>
                <w:p>
                  <w:pPr>
                    <w:jc w:val="center"/>
                    <w:rPr>
                      <w:szCs w:val="21"/>
                    </w:rPr>
                  </w:pPr>
                  <w:r>
                    <w:rPr>
                      <w:szCs w:val="21"/>
                    </w:rPr>
                    <w:t>0</w:t>
                  </w:r>
                </w:p>
              </w:tc>
              <w:tc>
                <w:tcPr>
                  <w:tcW w:w="737" w:type="pct"/>
                  <w:tcBorders>
                    <w:top w:val="single" w:color="auto" w:sz="6" w:space="0"/>
                    <w:left w:val="single" w:color="auto" w:sz="6" w:space="0"/>
                    <w:bottom w:val="single" w:color="auto" w:sz="12" w:space="0"/>
                    <w:right w:val="nil"/>
                  </w:tcBorders>
                  <w:vAlign w:val="center"/>
                </w:tcPr>
                <w:p>
                  <w:pPr>
                    <w:jc w:val="center"/>
                    <w:rPr>
                      <w:szCs w:val="21"/>
                    </w:rPr>
                  </w:pPr>
                  <w:r>
                    <w:rPr>
                      <w:rFonts w:hint="eastAsia"/>
                      <w:szCs w:val="21"/>
                    </w:rPr>
                    <w:t>/</w:t>
                  </w:r>
                </w:p>
              </w:tc>
            </w:tr>
          </w:tbl>
          <w:p>
            <w:pPr>
              <w:spacing w:before="120" w:beforeLines="50" w:line="360" w:lineRule="auto"/>
              <w:ind w:firstLine="480" w:firstLineChars="200"/>
              <w:jc w:val="left"/>
              <w:rPr>
                <w:rFonts w:eastAsiaTheme="minorEastAsia"/>
                <w:sz w:val="24"/>
              </w:rPr>
            </w:pPr>
            <w:r>
              <w:rPr>
                <w:rFonts w:hint="eastAsia"/>
                <w:sz w:val="24"/>
              </w:rPr>
              <w:t>项目水平衡如下图所示：</w:t>
            </w:r>
          </w:p>
          <w:p>
            <w:pPr>
              <w:spacing w:line="360" w:lineRule="auto"/>
              <w:jc w:val="center"/>
              <w:rPr>
                <w:sz w:val="24"/>
              </w:rPr>
            </w:pPr>
            <w:r>
              <w:rPr>
                <w:sz w:val="24"/>
              </w:rPr>
              <mc:AlternateContent>
                <mc:Choice Requires="wpc">
                  <w:drawing>
                    <wp:inline distT="0" distB="0" distL="0" distR="0">
                      <wp:extent cx="5497195" cy="3277235"/>
                      <wp:effectExtent l="0" t="0" r="8255" b="0"/>
                      <wp:docPr id="4" name="画布 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9" name="Text Box 314"/>
                              <wps:cNvSpPr txBox="1">
                                <a:spLocks noChangeArrowheads="1"/>
                              </wps:cNvSpPr>
                              <wps:spPr bwMode="auto">
                                <a:xfrm>
                                  <a:off x="2133371" y="2352261"/>
                                  <a:ext cx="674075" cy="243205"/>
                                </a:xfrm>
                                <a:prstGeom prst="rect">
                                  <a:avLst/>
                                </a:prstGeom>
                                <a:solidFill>
                                  <a:srgbClr val="FFFFFF"/>
                                </a:solidFill>
                                <a:ln>
                                  <a:noFill/>
                                </a:ln>
                              </wps:spPr>
                              <wps:txbx>
                                <w:txbxContent>
                                  <w:p>
                                    <w:pPr>
                                      <w:pStyle w:val="12"/>
                                      <w:spacing w:before="0" w:beforeAutospacing="0" w:after="0" w:afterAutospacing="0"/>
                                      <w:jc w:val="both"/>
                                      <w:rPr>
                                        <w:rFonts w:eastAsiaTheme="minorEastAsia"/>
                                        <w:szCs w:val="24"/>
                                      </w:rPr>
                                    </w:pPr>
                                    <w:r>
                                      <w:rPr>
                                        <w:rFonts w:hint="eastAsia" w:ascii="Times New Roman"/>
                                        <w:kern w:val="2"/>
                                        <w:sz w:val="21"/>
                                        <w:szCs w:val="21"/>
                                      </w:rPr>
                                      <w:t>损耗</w:t>
                                    </w:r>
                                    <w:r>
                                      <w:rPr>
                                        <w:rFonts w:ascii="Times New Roman" w:hAnsi="Times New Roman" w:eastAsiaTheme="minorEastAsia"/>
                                        <w:kern w:val="2"/>
                                        <w:sz w:val="21"/>
                                        <w:szCs w:val="21"/>
                                      </w:rPr>
                                      <w:t>0.5</w:t>
                                    </w:r>
                                  </w:p>
                                </w:txbxContent>
                              </wps:txbx>
                              <wps:bodyPr rot="0" vert="horz" wrap="square" lIns="91440" tIns="45720" rIns="91440" bIns="45720" anchor="t" anchorCtr="0" upright="1">
                                <a:noAutofit/>
                              </wps:bodyPr>
                            </wps:wsp>
                            <wps:wsp>
                              <wps:cNvPr id="177" name="文本框 27"/>
                              <wps:cNvSpPr txBox="1"/>
                              <wps:spPr>
                                <a:xfrm>
                                  <a:off x="2683075" y="627071"/>
                                  <a:ext cx="622935" cy="25082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eastAsiaTheme="minorEastAsia"/>
                                        <w:szCs w:val="24"/>
                                      </w:rPr>
                                    </w:pPr>
                                    <w:r>
                                      <w:rPr>
                                        <w:rFonts w:ascii="Times New Roman" w:hAnsi="Times New Roman" w:eastAsiaTheme="minorEastAsia"/>
                                        <w:kern w:val="2"/>
                                        <w:sz w:val="21"/>
                                        <w:szCs w:val="21"/>
                                      </w:rPr>
                                      <w:t>2476.94</w:t>
                                    </w:r>
                                  </w:p>
                                </w:txbxContent>
                              </wps:txbx>
                              <wps:bodyPr rot="0" spcFirstLastPara="0" vert="horz" wrap="none" lIns="91440" tIns="45720" rIns="91440" bIns="45720" numCol="1" spcCol="0" rtlCol="0" fromWordArt="0" anchor="t" anchorCtr="0" forceAA="0" compatLnSpc="1">
                                <a:spAutoFit/>
                              </wps:bodyPr>
                            </wps:wsp>
                            <wps:wsp>
                              <wps:cNvPr id="179" name="文本框 27"/>
                              <wps:cNvSpPr txBox="1"/>
                              <wps:spPr>
                                <a:xfrm>
                                  <a:off x="3194199" y="899040"/>
                                  <a:ext cx="622935" cy="25082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eastAsiaTheme="minorEastAsia"/>
                                        <w:szCs w:val="24"/>
                                      </w:rPr>
                                    </w:pPr>
                                    <w:r>
                                      <w:rPr>
                                        <w:rFonts w:ascii="Times New Roman" w:hAnsi="Times New Roman" w:eastAsiaTheme="minorEastAsia"/>
                                        <w:kern w:val="2"/>
                                        <w:sz w:val="21"/>
                                        <w:szCs w:val="21"/>
                                      </w:rPr>
                                      <w:t>2480.78</w:t>
                                    </w:r>
                                  </w:p>
                                </w:txbxContent>
                              </wps:txbx>
                              <wps:bodyPr rot="0" spcFirstLastPara="0" vert="horz" wrap="none" lIns="91440" tIns="45720" rIns="91440" bIns="45720" numCol="1" spcCol="0" rtlCol="0" fromWordArt="0" anchor="t" anchorCtr="0" forceAA="0" compatLnSpc="1">
                                <a:spAutoFit/>
                              </wps:bodyPr>
                            </wps:wsp>
                            <wps:wsp>
                              <wps:cNvPr id="466" name="文本框 466"/>
                              <wps:cNvSpPr txBox="1"/>
                              <wps:spPr>
                                <a:xfrm>
                                  <a:off x="4078203" y="312983"/>
                                  <a:ext cx="589915" cy="270510"/>
                                </a:xfrm>
                                <a:prstGeom prst="rect">
                                  <a:avLst/>
                                </a:prstGeom>
                                <a:solidFill>
                                  <a:schemeClr val="lt1"/>
                                </a:solidFill>
                                <a:ln w="6350">
                                  <a:noFill/>
                                </a:ln>
                              </wps:spPr>
                              <wps:txbx>
                                <w:txbxContent>
                                  <w:p>
                                    <w:r>
                                      <w:rPr>
                                        <w:rFonts w:hint="eastAsia"/>
                                      </w:rPr>
                                      <w:t>压滤液</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462" name="文本框 462"/>
                              <wps:cNvSpPr txBox="1"/>
                              <wps:spPr>
                                <a:xfrm>
                                  <a:off x="4344046" y="36059"/>
                                  <a:ext cx="1118235" cy="270510"/>
                                </a:xfrm>
                                <a:prstGeom prst="rect">
                                  <a:avLst/>
                                </a:prstGeom>
                                <a:solidFill>
                                  <a:schemeClr val="lt1"/>
                                </a:solidFill>
                                <a:ln w="6350">
                                  <a:noFill/>
                                </a:ln>
                              </wps:spPr>
                              <wps:txbx>
                                <w:txbxContent>
                                  <w:p>
                                    <w:r>
                                      <w:rPr>
                                        <w:rFonts w:hint="eastAsia"/>
                                      </w:rPr>
                                      <w:t>泥饼</w:t>
                                    </w:r>
                                    <w:r>
                                      <w:t>带走112.18</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154" name="文本框 27"/>
                              <wps:cNvSpPr txBox="1"/>
                              <wps:spPr>
                                <a:xfrm>
                                  <a:off x="2971318" y="1581229"/>
                                  <a:ext cx="923290" cy="270510"/>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eastAsiaTheme="minorEastAsia"/>
                                        <w:szCs w:val="24"/>
                                      </w:rPr>
                                    </w:pPr>
                                    <w:r>
                                      <w:rPr>
                                        <w:kern w:val="2"/>
                                        <w:sz w:val="21"/>
                                        <w:szCs w:val="21"/>
                                      </w:rPr>
                                      <w:t>循环</w:t>
                                    </w:r>
                                    <w:r>
                                      <w:rPr>
                                        <w:rFonts w:ascii="Times New Roman" w:hAnsi="Times New Roman" w:eastAsiaTheme="minorEastAsia"/>
                                        <w:kern w:val="2"/>
                                        <w:sz w:val="21"/>
                                        <w:szCs w:val="21"/>
                                      </w:rPr>
                                      <w:t>2368.60</w:t>
                                    </w:r>
                                  </w:p>
                                </w:txbxContent>
                              </wps:txbx>
                              <wps:bodyPr rot="0" spcFirstLastPara="0" vert="horz" wrap="none" lIns="91440" tIns="45720" rIns="91440" bIns="45720" numCol="1" spcCol="0" rtlCol="0" fromWordArt="0" anchor="t" anchorCtr="0" forceAA="0" compatLnSpc="1">
                                <a:spAutoFit/>
                              </wps:bodyPr>
                            </wps:wsp>
                            <wps:wsp>
                              <wps:cNvPr id="31" name="Text Box 314"/>
                              <wps:cNvSpPr txBox="1">
                                <a:spLocks noChangeArrowheads="1"/>
                              </wps:cNvSpPr>
                              <wps:spPr bwMode="auto">
                                <a:xfrm>
                                  <a:off x="2135867" y="1827792"/>
                                  <a:ext cx="1035685" cy="243205"/>
                                </a:xfrm>
                                <a:prstGeom prst="rect">
                                  <a:avLst/>
                                </a:prstGeom>
                                <a:solidFill>
                                  <a:srgbClr val="FFFFFF"/>
                                </a:solidFill>
                                <a:ln>
                                  <a:noFill/>
                                </a:ln>
                              </wps:spPr>
                              <wps:txbx>
                                <w:txbxContent>
                                  <w:p>
                                    <w:pPr>
                                      <w:pStyle w:val="12"/>
                                      <w:spacing w:before="0" w:beforeAutospacing="0" w:after="0" w:afterAutospacing="0"/>
                                      <w:jc w:val="both"/>
                                      <w:rPr>
                                        <w:szCs w:val="24"/>
                                      </w:rPr>
                                    </w:pPr>
                                    <w:r>
                                      <w:rPr>
                                        <w:rFonts w:hint="eastAsia" w:ascii="Times New Roman"/>
                                        <w:kern w:val="2"/>
                                        <w:sz w:val="21"/>
                                        <w:szCs w:val="21"/>
                                      </w:rPr>
                                      <w:t>损耗</w:t>
                                    </w:r>
                                    <w:r>
                                      <w:rPr>
                                        <w:rFonts w:ascii="Times New Roman" w:hAnsi="Times New Roman"/>
                                        <w:kern w:val="2"/>
                                        <w:sz w:val="21"/>
                                        <w:szCs w:val="21"/>
                                      </w:rPr>
                                      <w:t>15.6</w:t>
                                    </w:r>
                                  </w:p>
                                </w:txbxContent>
                              </wps:txbx>
                              <wps:bodyPr rot="0" vert="horz" wrap="square" lIns="91440" tIns="45720" rIns="91440" bIns="45720" anchor="t" anchorCtr="0" upright="1">
                                <a:noAutofit/>
                              </wps:bodyPr>
                            </wps:wsp>
                            <wps:wsp>
                              <wps:cNvPr id="50" name="文本框 27"/>
                              <wps:cNvSpPr txBox="1"/>
                              <wps:spPr>
                                <a:xfrm>
                                  <a:off x="2488222" y="2567066"/>
                                  <a:ext cx="356235" cy="250825"/>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ascii="Times New Roman" w:hAnsi="Times New Roman"/>
                                        <w:kern w:val="2"/>
                                        <w:sz w:val="21"/>
                                        <w:szCs w:val="21"/>
                                      </w:rPr>
                                      <w:t>2.1</w:t>
                                    </w:r>
                                  </w:p>
                                </w:txbxContent>
                              </wps:txbx>
                              <wps:bodyPr rot="0" spcFirstLastPara="0" vert="horz" wrap="none" lIns="91440" tIns="45720" rIns="91440" bIns="45720" numCol="1" spcCol="0" rtlCol="0" fromWordArt="0" anchor="t" anchorCtr="0" forceAA="0" compatLnSpc="1">
                                <a:spAutoFit/>
                              </wps:bodyPr>
                            </wps:wsp>
                            <wps:wsp>
                              <wps:cNvPr id="49" name="文本框 27"/>
                              <wps:cNvSpPr txBox="1"/>
                              <wps:spPr>
                                <a:xfrm>
                                  <a:off x="1073017" y="2567066"/>
                                  <a:ext cx="356235" cy="250825"/>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ascii="Times New Roman" w:hAnsi="Times New Roman"/>
                                        <w:kern w:val="2"/>
                                        <w:sz w:val="21"/>
                                        <w:szCs w:val="21"/>
                                      </w:rPr>
                                      <w:t>2.6</w:t>
                                    </w:r>
                                  </w:p>
                                </w:txbxContent>
                              </wps:txbx>
                              <wps:bodyPr rot="0" spcFirstLastPara="0" vert="horz" wrap="none" lIns="91440" tIns="45720" rIns="91440" bIns="45720" numCol="1" spcCol="0" rtlCol="0" fromWordArt="0" anchor="t" anchorCtr="0" forceAA="0" compatLnSpc="1">
                                <a:spAutoFit/>
                              </wps:bodyPr>
                            </wps:wsp>
                            <wps:wsp>
                              <wps:cNvPr id="41" name="文本框 27"/>
                              <wps:cNvSpPr txBox="1"/>
                              <wps:spPr>
                                <a:xfrm>
                                  <a:off x="1366137" y="1231994"/>
                                  <a:ext cx="356235" cy="250825"/>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ascii="Times New Roman" w:hAnsi="Times New Roman"/>
                                        <w:kern w:val="2"/>
                                        <w:sz w:val="21"/>
                                        <w:szCs w:val="21"/>
                                      </w:rPr>
                                      <w:t>4.8</w:t>
                                    </w:r>
                                  </w:p>
                                </w:txbxContent>
                              </wps:txbx>
                              <wps:bodyPr rot="0" spcFirstLastPara="0" vert="horz" wrap="none" lIns="91440" tIns="45720" rIns="91440" bIns="45720" numCol="1" spcCol="0" rtlCol="0" fromWordArt="0" anchor="t" anchorCtr="0" forceAA="0" compatLnSpc="1">
                                <a:spAutoFit/>
                              </wps:bodyPr>
                            </wps:wsp>
                            <wps:wsp>
                              <wps:cNvPr id="40" name="文本框 27"/>
                              <wps:cNvSpPr txBox="1"/>
                              <wps:spPr>
                                <a:xfrm>
                                  <a:off x="2880576" y="1231989"/>
                                  <a:ext cx="422910" cy="250825"/>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ascii="Times New Roman" w:hAnsi="Times New Roman"/>
                                        <w:kern w:val="2"/>
                                        <w:sz w:val="21"/>
                                        <w:szCs w:val="21"/>
                                      </w:rPr>
                                      <w:t>3.84</w:t>
                                    </w:r>
                                  </w:p>
                                </w:txbxContent>
                              </wps:txbx>
                              <wps:bodyPr rot="0" spcFirstLastPara="0" vert="horz" wrap="none" lIns="91440" tIns="45720" rIns="91440" bIns="45720" numCol="1" spcCol="0" rtlCol="0" fromWordArt="0" anchor="t" anchorCtr="0" forceAA="0" compatLnSpc="1">
                                <a:spAutoFit/>
                              </wps:bodyPr>
                            </wps:wsp>
                            <wps:wsp>
                              <wps:cNvPr id="37" name="文本框 27"/>
                              <wps:cNvSpPr txBox="1"/>
                              <wps:spPr>
                                <a:xfrm>
                                  <a:off x="4373569" y="1328331"/>
                                  <a:ext cx="622935" cy="25082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kern w:val="2"/>
                                        <w:sz w:val="21"/>
                                        <w:szCs w:val="21"/>
                                      </w:rPr>
                                    </w:pPr>
                                    <w:r>
                                      <w:rPr>
                                        <w:rFonts w:ascii="Times New Roman" w:hAnsi="Times New Roman"/>
                                        <w:kern w:val="2"/>
                                        <w:sz w:val="21"/>
                                        <w:szCs w:val="21"/>
                                      </w:rPr>
                                      <w:t>2368.60</w:t>
                                    </w:r>
                                  </w:p>
                                </w:txbxContent>
                              </wps:txbx>
                              <wps:bodyPr rot="0" spcFirstLastPara="0" vert="horz" wrap="none" lIns="91440" tIns="45720" rIns="91440" bIns="45720" numCol="1" spcCol="0" rtlCol="0" fromWordArt="0" anchor="t" anchorCtr="0" forceAA="0" compatLnSpc="1">
                                <a:spAutoFit/>
                              </wps:bodyPr>
                            </wps:wsp>
                            <wps:wsp>
                              <wps:cNvPr id="29" name="文本框 27"/>
                              <wps:cNvSpPr txBox="1"/>
                              <wps:spPr>
                                <a:xfrm>
                                  <a:off x="1194546" y="628950"/>
                                  <a:ext cx="622935" cy="250825"/>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ascii="Times New Roman" w:hAnsi="Times New Roman"/>
                                        <w:kern w:val="2"/>
                                        <w:sz w:val="21"/>
                                        <w:szCs w:val="21"/>
                                      </w:rPr>
                                      <w:t>2878.24</w:t>
                                    </w:r>
                                  </w:p>
                                </w:txbxContent>
                              </wps:txbx>
                              <wps:bodyPr rot="0" spcFirstLastPara="0" vert="horz" wrap="none" lIns="91440" tIns="45720" rIns="91440" bIns="45720" numCol="1" spcCol="0" rtlCol="0" fromWordArt="0" anchor="t" anchorCtr="0" forceAA="0" compatLnSpc="1">
                                <a:spAutoFit/>
                              </wps:bodyPr>
                            </wps:wsp>
                            <wps:wsp>
                              <wps:cNvPr id="28" name="文本框 27"/>
                              <wps:cNvSpPr txBox="1"/>
                              <wps:spPr>
                                <a:xfrm>
                                  <a:off x="1073017" y="2033226"/>
                                  <a:ext cx="422910" cy="250825"/>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ascii="Times New Roman" w:hAnsi="Times New Roman"/>
                                        <w:kern w:val="2"/>
                                        <w:sz w:val="21"/>
                                        <w:szCs w:val="21"/>
                                      </w:rPr>
                                      <w:t>15.6</w:t>
                                    </w:r>
                                  </w:p>
                                </w:txbxContent>
                              </wps:txbx>
                              <wps:bodyPr rot="0" spcFirstLastPara="0" vert="horz" wrap="none" lIns="91440" tIns="45720" rIns="91440" bIns="45720" numCol="1" spcCol="0" rtlCol="0" fromWordArt="0" anchor="t" anchorCtr="0" forceAA="0" compatLnSpc="1">
                                <a:spAutoFit/>
                              </wps:bodyPr>
                            </wps:wsp>
                            <wps:wsp>
                              <wps:cNvPr id="27" name="文本框 27"/>
                              <wps:cNvSpPr txBox="1"/>
                              <wps:spPr>
                                <a:xfrm>
                                  <a:off x="516765" y="1589842"/>
                                  <a:ext cx="556260" cy="250825"/>
                                </a:xfrm>
                                <a:prstGeom prst="rect">
                                  <a:avLst/>
                                </a:prstGeom>
                                <a:solidFill>
                                  <a:schemeClr val="lt1"/>
                                </a:solidFill>
                                <a:ln w="6350">
                                  <a:noFill/>
                                </a:ln>
                              </wps:spPr>
                              <wps:txbx>
                                <w:txbxContent>
                                  <w:p>
                                    <w:r>
                                      <w:t>543.38</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7" name="直接箭头连接符 7"/>
                              <wps:cNvCnPr>
                                <a:endCxn id="12" idx="1"/>
                              </wps:cNvCnPr>
                              <wps:spPr>
                                <a:xfrm>
                                  <a:off x="1261221" y="834787"/>
                                  <a:ext cx="556260"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9" name="直接箭头连接符 9"/>
                              <wps:cNvCnPr>
                                <a:endCxn id="11" idx="1"/>
                              </wps:cNvCnPr>
                              <wps:spPr>
                                <a:xfrm>
                                  <a:off x="1073017" y="2217006"/>
                                  <a:ext cx="701217"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10" name="直接箭头连接符 10"/>
                              <wps:cNvCnPr>
                                <a:endCxn id="14" idx="1"/>
                              </wps:cNvCnPr>
                              <wps:spPr>
                                <a:xfrm>
                                  <a:off x="1261221" y="1436925"/>
                                  <a:ext cx="556260" cy="68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11" name="文本框 11"/>
                              <wps:cNvSpPr txBox="1"/>
                              <wps:spPr>
                                <a:xfrm>
                                  <a:off x="1774234" y="2081751"/>
                                  <a:ext cx="989965" cy="270510"/>
                                </a:xfrm>
                                <a:prstGeom prst="rect">
                                  <a:avLst/>
                                </a:prstGeom>
                                <a:solidFill>
                                  <a:schemeClr val="lt1"/>
                                </a:solidFill>
                                <a:ln w="6350">
                                  <a:solidFill>
                                    <a:prstClr val="black"/>
                                  </a:solidFill>
                                </a:ln>
                              </wps:spPr>
                              <wps:txbx>
                                <w:txbxContent>
                                  <w:p>
                                    <w:r>
                                      <w:rPr>
                                        <w:rFonts w:hint="eastAsia"/>
                                        <w:szCs w:val="21"/>
                                      </w:rPr>
                                      <w:t>洒水降尘用水</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12" name="文本框 12"/>
                              <wps:cNvSpPr txBox="1"/>
                              <wps:spPr>
                                <a:xfrm>
                                  <a:off x="1817481" y="699532"/>
                                  <a:ext cx="723265" cy="270510"/>
                                </a:xfrm>
                                <a:prstGeom prst="rect">
                                  <a:avLst/>
                                </a:prstGeom>
                                <a:solidFill>
                                  <a:schemeClr val="lt1"/>
                                </a:solidFill>
                                <a:ln w="6350">
                                  <a:solidFill>
                                    <a:prstClr val="black"/>
                                  </a:solidFill>
                                </a:ln>
                              </wps:spPr>
                              <wps:txbx>
                                <w:txbxContent>
                                  <w:p>
                                    <w:r>
                                      <w:rPr>
                                        <w:rFonts w:hint="eastAsia"/>
                                        <w:szCs w:val="21"/>
                                      </w:rPr>
                                      <w:t>洗砂用水</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14" name="文本框 14"/>
                              <wps:cNvSpPr txBox="1"/>
                              <wps:spPr>
                                <a:xfrm>
                                  <a:off x="1817481" y="1302350"/>
                                  <a:ext cx="989965" cy="270510"/>
                                </a:xfrm>
                                <a:prstGeom prst="rect">
                                  <a:avLst/>
                                </a:prstGeom>
                                <a:solidFill>
                                  <a:schemeClr val="lt1"/>
                                </a:solidFill>
                                <a:ln w="6350">
                                  <a:solidFill>
                                    <a:prstClr val="black"/>
                                  </a:solidFill>
                                </a:ln>
                              </wps:spPr>
                              <wps:txbx>
                                <w:txbxContent>
                                  <w:p>
                                    <w:r>
                                      <w:rPr>
                                        <w:rFonts w:hint="eastAsia"/>
                                        <w:szCs w:val="21"/>
                                      </w:rPr>
                                      <w:t>车辆冲洗用水</w:t>
                                    </w:r>
                                  </w:p>
                                </w:txbxContent>
                              </wps:txbx>
                              <wps:bodyPr rot="0" spcFirstLastPara="0" vertOverflow="overflow" horzOverflow="overflow" vert="horz" wrap="square" lIns="91440" tIns="45720" rIns="91440" bIns="45720" numCol="1" spcCol="0" rtlCol="0" fromWordArt="0" anchor="t" anchorCtr="0" forceAA="0" compatLnSpc="1">
                                <a:spAutoFit/>
                              </wps:bodyPr>
                            </wps:wsp>
                            <wps:wsp>
                              <wps:cNvPr id="15" name="直接箭头连接符 15"/>
                              <wps:cNvCnPr>
                                <a:endCxn id="172" idx="1"/>
                              </wps:cNvCnPr>
                              <wps:spPr>
                                <a:xfrm>
                                  <a:off x="3230356" y="1110163"/>
                                  <a:ext cx="552948"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16" name="文本框 16"/>
                              <wps:cNvSpPr txBox="1"/>
                              <wps:spPr>
                                <a:xfrm>
                                  <a:off x="4682841" y="974908"/>
                                  <a:ext cx="589915" cy="270510"/>
                                </a:xfrm>
                                <a:prstGeom prst="rect">
                                  <a:avLst/>
                                </a:prstGeom>
                                <a:solidFill>
                                  <a:schemeClr val="lt1"/>
                                </a:solidFill>
                                <a:ln w="6350">
                                  <a:solidFill>
                                    <a:prstClr val="black"/>
                                  </a:solidFill>
                                </a:ln>
                              </wps:spPr>
                              <wps:txbx>
                                <w:txbxContent>
                                  <w:p>
                                    <w:r>
                                      <w:rPr>
                                        <w:rFonts w:hint="eastAsia"/>
                                      </w:rPr>
                                      <w:t>浓密罐</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25" name="直接连接符 25"/>
                              <wps:cNvCnPr>
                                <a:stCxn id="454" idx="1"/>
                              </wps:cNvCnPr>
                              <wps:spPr>
                                <a:xfrm flipH="1">
                                  <a:off x="1194498" y="1814909"/>
                                  <a:ext cx="3488279"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26" name="直接箭头连接符 26"/>
                              <wps:cNvCnPr/>
                              <wps:spPr>
                                <a:xfrm flipV="1">
                                  <a:off x="1194498" y="1110164"/>
                                  <a:ext cx="0" cy="704746"/>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32" name="AutoShape 312"/>
                              <wps:cNvCnPr>
                                <a:cxnSpLocks noChangeShapeType="1"/>
                              </wps:cNvCnPr>
                              <wps:spPr bwMode="auto">
                                <a:xfrm flipV="1">
                                  <a:off x="1973942" y="1962371"/>
                                  <a:ext cx="161290" cy="123190"/>
                                </a:xfrm>
                                <a:prstGeom prst="straightConnector1">
                                  <a:avLst/>
                                </a:prstGeom>
                                <a:noFill/>
                                <a:ln w="9525">
                                  <a:solidFill>
                                    <a:srgbClr val="000000"/>
                                  </a:solidFill>
                                  <a:prstDash val="dash"/>
                                  <a:round/>
                                  <a:tailEnd type="triangle" w="med" len="med"/>
                                </a:ln>
                              </wps:spPr>
                              <wps:bodyPr/>
                            </wps:wsp>
                            <wps:wsp>
                              <wps:cNvPr id="33" name="Text Box 314"/>
                              <wps:cNvSpPr txBox="1">
                                <a:spLocks noChangeArrowheads="1"/>
                              </wps:cNvSpPr>
                              <wps:spPr bwMode="auto">
                                <a:xfrm>
                                  <a:off x="2179115" y="394181"/>
                                  <a:ext cx="912200" cy="243205"/>
                                </a:xfrm>
                                <a:prstGeom prst="rect">
                                  <a:avLst/>
                                </a:prstGeom>
                                <a:solidFill>
                                  <a:srgbClr val="FFFFFF"/>
                                </a:solidFill>
                                <a:ln>
                                  <a:noFill/>
                                </a:ln>
                              </wps:spPr>
                              <wps:txbx>
                                <w:txbxContent>
                                  <w:p>
                                    <w:pPr>
                                      <w:pStyle w:val="12"/>
                                      <w:spacing w:before="0" w:beforeAutospacing="0" w:after="0" w:afterAutospacing="0"/>
                                      <w:jc w:val="both"/>
                                      <w:rPr>
                                        <w:szCs w:val="24"/>
                                      </w:rPr>
                                    </w:pPr>
                                    <w:r>
                                      <w:rPr>
                                        <w:rFonts w:hint="eastAsia" w:ascii="Times New Roman"/>
                                        <w:kern w:val="2"/>
                                        <w:sz w:val="21"/>
                                        <w:szCs w:val="21"/>
                                      </w:rPr>
                                      <w:t>损耗</w:t>
                                    </w:r>
                                    <w:r>
                                      <w:rPr>
                                        <w:rFonts w:ascii="Times New Roman" w:hAnsi="Times New Roman"/>
                                        <w:kern w:val="2"/>
                                        <w:sz w:val="21"/>
                                        <w:szCs w:val="21"/>
                                      </w:rPr>
                                      <w:t>401.3</w:t>
                                    </w:r>
                                  </w:p>
                                </w:txbxContent>
                              </wps:txbx>
                              <wps:bodyPr rot="0" vert="horz" wrap="square" lIns="91440" tIns="45720" rIns="91440" bIns="45720" anchor="t" anchorCtr="0" upright="1">
                                <a:noAutofit/>
                              </wps:bodyPr>
                            </wps:wsp>
                            <wps:wsp>
                              <wps:cNvPr id="34" name="AutoShape 312"/>
                              <wps:cNvCnPr>
                                <a:cxnSpLocks noChangeShapeType="1"/>
                              </wps:cNvCnPr>
                              <wps:spPr bwMode="auto">
                                <a:xfrm flipV="1">
                                  <a:off x="2016554" y="580152"/>
                                  <a:ext cx="161290" cy="123190"/>
                                </a:xfrm>
                                <a:prstGeom prst="straightConnector1">
                                  <a:avLst/>
                                </a:prstGeom>
                                <a:noFill/>
                                <a:ln w="9525">
                                  <a:solidFill>
                                    <a:srgbClr val="000000"/>
                                  </a:solidFill>
                                  <a:prstDash val="dash"/>
                                  <a:round/>
                                  <a:tailEnd type="triangle" w="med" len="med"/>
                                </a:ln>
                              </wps:spPr>
                              <wps:bodyPr/>
                            </wps:wsp>
                            <wps:wsp>
                              <wps:cNvPr id="35" name="Text Box 314"/>
                              <wps:cNvSpPr txBox="1">
                                <a:spLocks noChangeArrowheads="1"/>
                              </wps:cNvSpPr>
                              <wps:spPr bwMode="auto">
                                <a:xfrm>
                                  <a:off x="2179114" y="1026671"/>
                                  <a:ext cx="1035685" cy="243205"/>
                                </a:xfrm>
                                <a:prstGeom prst="rect">
                                  <a:avLst/>
                                </a:prstGeom>
                                <a:solidFill>
                                  <a:srgbClr val="FFFFFF"/>
                                </a:solidFill>
                                <a:ln>
                                  <a:noFill/>
                                </a:ln>
                              </wps:spPr>
                              <wps:txbx>
                                <w:txbxContent>
                                  <w:p>
                                    <w:pPr>
                                      <w:pStyle w:val="12"/>
                                      <w:spacing w:before="0" w:beforeAutospacing="0" w:after="0" w:afterAutospacing="0"/>
                                      <w:jc w:val="both"/>
                                      <w:rPr>
                                        <w:szCs w:val="24"/>
                                      </w:rPr>
                                    </w:pPr>
                                    <w:r>
                                      <w:rPr>
                                        <w:rFonts w:hint="eastAsia" w:ascii="Times New Roman"/>
                                        <w:kern w:val="2"/>
                                        <w:sz w:val="21"/>
                                        <w:szCs w:val="21"/>
                                      </w:rPr>
                                      <w:t>损耗</w:t>
                                    </w:r>
                                    <w:r>
                                      <w:rPr>
                                        <w:rFonts w:ascii="Times New Roman" w:hAnsi="Times New Roman"/>
                                        <w:kern w:val="2"/>
                                        <w:sz w:val="21"/>
                                        <w:szCs w:val="21"/>
                                      </w:rPr>
                                      <w:t>0.86</w:t>
                                    </w:r>
                                  </w:p>
                                </w:txbxContent>
                              </wps:txbx>
                              <wps:bodyPr rot="0" vert="horz" wrap="square" lIns="91440" tIns="45720" rIns="91440" bIns="45720" anchor="t" anchorCtr="0" upright="1">
                                <a:noAutofit/>
                              </wps:bodyPr>
                            </wps:wsp>
                            <wps:wsp>
                              <wps:cNvPr id="36" name="AutoShape 312"/>
                              <wps:cNvCnPr>
                                <a:cxnSpLocks noChangeShapeType="1"/>
                              </wps:cNvCnPr>
                              <wps:spPr bwMode="auto">
                                <a:xfrm flipV="1">
                                  <a:off x="2017189" y="1167346"/>
                                  <a:ext cx="161290" cy="123190"/>
                                </a:xfrm>
                                <a:prstGeom prst="straightConnector1">
                                  <a:avLst/>
                                </a:prstGeom>
                                <a:noFill/>
                                <a:ln w="9525">
                                  <a:solidFill>
                                    <a:srgbClr val="000000"/>
                                  </a:solidFill>
                                  <a:prstDash val="dash"/>
                                  <a:round/>
                                  <a:tailEnd type="triangle" w="med" len="med"/>
                                </a:ln>
                              </wps:spPr>
                              <wps:bodyPr/>
                            </wps:wsp>
                            <wps:wsp>
                              <wps:cNvPr id="42" name="文本框 42"/>
                              <wps:cNvSpPr txBox="1"/>
                              <wps:spPr>
                                <a:xfrm>
                                  <a:off x="250" y="1679654"/>
                                  <a:ext cx="589915" cy="270510"/>
                                </a:xfrm>
                                <a:prstGeom prst="rect">
                                  <a:avLst/>
                                </a:prstGeom>
                                <a:solidFill>
                                  <a:schemeClr val="lt1"/>
                                </a:solidFill>
                                <a:ln w="6350">
                                  <a:solidFill>
                                    <a:prstClr val="black"/>
                                  </a:solidFill>
                                </a:ln>
                              </wps:spPr>
                              <wps:txbx>
                                <w:txbxContent>
                                  <w:p>
                                    <w:r>
                                      <w:rPr>
                                        <w:rFonts w:hint="eastAsia"/>
                                      </w:rPr>
                                      <w:t>新鲜水</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43" name="直接箭头连接符 43"/>
                              <wps:cNvCnPr>
                                <a:endCxn id="44" idx="1"/>
                              </wps:cNvCnPr>
                              <wps:spPr>
                                <a:xfrm>
                                  <a:off x="1073017" y="2759128"/>
                                  <a:ext cx="701217"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44" name="文本框 44"/>
                              <wps:cNvSpPr txBox="1"/>
                              <wps:spPr>
                                <a:xfrm>
                                  <a:off x="1774234" y="2623873"/>
                                  <a:ext cx="723265" cy="270510"/>
                                </a:xfrm>
                                <a:prstGeom prst="rect">
                                  <a:avLst/>
                                </a:prstGeom>
                                <a:solidFill>
                                  <a:schemeClr val="lt1"/>
                                </a:solidFill>
                                <a:ln w="6350">
                                  <a:solidFill>
                                    <a:prstClr val="black"/>
                                  </a:solidFill>
                                </a:ln>
                              </wps:spPr>
                              <wps:txbx>
                                <w:txbxContent>
                                  <w:p>
                                    <w:r>
                                      <w:rPr>
                                        <w:rFonts w:hint="eastAsia"/>
                                      </w:rPr>
                                      <w:t>生活用水</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45" name="直接箭头连接符 45"/>
                              <wps:cNvCnPr>
                                <a:stCxn id="44" idx="3"/>
                              </wps:cNvCnPr>
                              <wps:spPr>
                                <a:xfrm>
                                  <a:off x="2497239" y="2759128"/>
                                  <a:ext cx="473769"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52" name="文本框 52"/>
                              <wps:cNvSpPr txBox="1"/>
                              <wps:spPr>
                                <a:xfrm>
                                  <a:off x="1863064" y="3007409"/>
                                  <a:ext cx="1833881" cy="270510"/>
                                </a:xfrm>
                                <a:prstGeom prst="rect">
                                  <a:avLst/>
                                </a:prstGeom>
                                <a:solidFill>
                                  <a:schemeClr val="lt1"/>
                                </a:solidFill>
                                <a:ln w="6350">
                                  <a:noFill/>
                                </a:ln>
                              </wps:spPr>
                              <wps:txbx>
                                <w:txbxContent>
                                  <w:p>
                                    <w:pPr>
                                      <w:rPr>
                                        <w:b/>
                                      </w:rPr>
                                    </w:pPr>
                                    <w:r>
                                      <w:rPr>
                                        <w:rFonts w:hint="eastAsia"/>
                                        <w:b/>
                                      </w:rPr>
                                      <w:t xml:space="preserve">图2-1 </w:t>
                                    </w:r>
                                    <w:r>
                                      <w:rPr>
                                        <w:b/>
                                      </w:rPr>
                                      <w:t>水平衡</w:t>
                                    </w:r>
                                    <w:r>
                                      <w:rPr>
                                        <w:rFonts w:hint="eastAsia"/>
                                        <w:b/>
                                      </w:rPr>
                                      <w:t xml:space="preserve">图     </w:t>
                                    </w:r>
                                    <w:r>
                                      <w:rPr>
                                        <w:b/>
                                      </w:rPr>
                                      <w:t xml:space="preserve"> m</w:t>
                                    </w:r>
                                    <w:r>
                                      <w:rPr>
                                        <w:b/>
                                        <w:vertAlign w:val="superscript"/>
                                      </w:rPr>
                                      <w:t>3</w:t>
                                    </w:r>
                                    <w:r>
                                      <w:rPr>
                                        <w:b/>
                                      </w:rPr>
                                      <w:t>/d</w:t>
                                    </w:r>
                                  </w:p>
                                </w:txbxContent>
                              </wps:txbx>
                              <wps:bodyPr rot="0" spcFirstLastPara="0" vertOverflow="overflow" horzOverflow="overflow" vert="horz" wrap="square" lIns="91440" tIns="45720" rIns="91440" bIns="45720" numCol="1" spcCol="0" rtlCol="0" fromWordArt="0" anchor="t" anchorCtr="0" forceAA="0" compatLnSpc="1">
                                <a:spAutoFit/>
                              </wps:bodyPr>
                            </wps:wsp>
                            <wps:wsp>
                              <wps:cNvPr id="47" name="直接连接符 47"/>
                              <wps:cNvCnPr/>
                              <wps:spPr>
                                <a:xfrm flipH="1">
                                  <a:off x="1073017" y="1110164"/>
                                  <a:ext cx="8" cy="1648964"/>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51" name="直接连接符 51"/>
                              <wps:cNvCnPr/>
                              <wps:spPr>
                                <a:xfrm>
                                  <a:off x="3230356" y="834787"/>
                                  <a:ext cx="0" cy="602819"/>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450" name="直接连接符 450"/>
                              <wps:cNvCnPr>
                                <a:stCxn id="14" idx="3"/>
                              </wps:cNvCnPr>
                              <wps:spPr>
                                <a:xfrm>
                                  <a:off x="2807446" y="1437605"/>
                                  <a:ext cx="42291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452" name="直接箭头连接符 452"/>
                              <wps:cNvCnPr>
                                <a:stCxn id="16" idx="0"/>
                                <a:endCxn id="459" idx="2"/>
                              </wps:cNvCnPr>
                              <wps:spPr>
                                <a:xfrm flipV="1">
                                  <a:off x="4977799" y="669557"/>
                                  <a:ext cx="0" cy="305351"/>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453" name="直接箭头连接符 453"/>
                              <wps:cNvCnPr>
                                <a:stCxn id="16" idx="2"/>
                                <a:endCxn id="454" idx="0"/>
                              </wps:cNvCnPr>
                              <wps:spPr>
                                <a:xfrm flipH="1">
                                  <a:off x="4977735" y="1245418"/>
                                  <a:ext cx="64" cy="434236"/>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454" name="文本框 454"/>
                              <wps:cNvSpPr txBox="1"/>
                              <wps:spPr>
                                <a:xfrm>
                                  <a:off x="4682777" y="1679654"/>
                                  <a:ext cx="589915" cy="270510"/>
                                </a:xfrm>
                                <a:prstGeom prst="rect">
                                  <a:avLst/>
                                </a:prstGeom>
                                <a:solidFill>
                                  <a:schemeClr val="lt1"/>
                                </a:solidFill>
                                <a:ln w="6350">
                                  <a:solidFill>
                                    <a:prstClr val="black"/>
                                  </a:solidFill>
                                </a:ln>
                              </wps:spPr>
                              <wps:txbx>
                                <w:txbxContent>
                                  <w:p>
                                    <w:r>
                                      <w:rPr>
                                        <w:rFonts w:hint="eastAsia"/>
                                      </w:rPr>
                                      <w:t>清水池</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455" name="文本框 455"/>
                              <wps:cNvSpPr txBox="1"/>
                              <wps:spPr>
                                <a:xfrm>
                                  <a:off x="3030829" y="2619883"/>
                                  <a:ext cx="2056765" cy="270510"/>
                                </a:xfrm>
                                <a:prstGeom prst="rect">
                                  <a:avLst/>
                                </a:prstGeom>
                                <a:solidFill>
                                  <a:schemeClr val="lt1"/>
                                </a:solidFill>
                                <a:ln w="6350">
                                  <a:noFill/>
                                </a:ln>
                              </wps:spPr>
                              <wps:txbx>
                                <w:txbxContent>
                                  <w:p>
                                    <w:r>
                                      <w:rPr>
                                        <w:rFonts w:hint="eastAsia"/>
                                      </w:rPr>
                                      <w:t>依托附近既有污水处理设施处理</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457" name="直接连接符 457"/>
                              <wps:cNvCnPr/>
                              <wps:spPr>
                                <a:xfrm flipH="1" flipV="1">
                                  <a:off x="1261221" y="834787"/>
                                  <a:ext cx="1" cy="60282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458" name="直接箭头连接符 458"/>
                              <wps:cNvCnPr>
                                <a:stCxn id="42" idx="3"/>
                              </wps:cNvCnPr>
                              <wps:spPr>
                                <a:xfrm>
                                  <a:off x="590096" y="1814909"/>
                                  <a:ext cx="482796"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459" name="文本框 459"/>
                              <wps:cNvSpPr txBox="1"/>
                              <wps:spPr>
                                <a:xfrm>
                                  <a:off x="4682841" y="399047"/>
                                  <a:ext cx="589915" cy="270510"/>
                                </a:xfrm>
                                <a:prstGeom prst="rect">
                                  <a:avLst/>
                                </a:prstGeom>
                                <a:solidFill>
                                  <a:schemeClr val="lt1"/>
                                </a:solidFill>
                                <a:ln w="6350">
                                  <a:solidFill>
                                    <a:prstClr val="black"/>
                                  </a:solidFill>
                                </a:ln>
                              </wps:spPr>
                              <wps:txbx>
                                <w:txbxContent>
                                  <w:p>
                                    <w:r>
                                      <w:rPr>
                                        <w:rFonts w:hint="eastAsia"/>
                                      </w:rPr>
                                      <w:t>压滤机</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461" name="直接箭头连接符 461"/>
                              <wps:cNvCnPr>
                                <a:stCxn id="459" idx="0"/>
                              </wps:cNvCnPr>
                              <wps:spPr>
                                <a:xfrm flipV="1">
                                  <a:off x="4977799" y="231686"/>
                                  <a:ext cx="0" cy="167361"/>
                                </a:xfrm>
                                <a:prstGeom prst="straightConnector1">
                                  <a:avLst/>
                                </a:prstGeom>
                                <a:ln w="9525">
                                  <a:prstDash val="dash"/>
                                  <a:tailEnd type="triangle"/>
                                </a:ln>
                              </wps:spPr>
                              <wps:style>
                                <a:lnRef idx="1">
                                  <a:schemeClr val="dk1"/>
                                </a:lnRef>
                                <a:fillRef idx="0">
                                  <a:schemeClr val="dk1"/>
                                </a:fillRef>
                                <a:effectRef idx="0">
                                  <a:schemeClr val="dk1"/>
                                </a:effectRef>
                                <a:fontRef idx="minor">
                                  <a:schemeClr val="tx1"/>
                                </a:fontRef>
                              </wps:style>
                              <wps:bodyPr/>
                            </wps:wsp>
                            <wps:wsp>
                              <wps:cNvPr id="172" name="文本框 16"/>
                              <wps:cNvSpPr txBox="1"/>
                              <wps:spPr>
                                <a:xfrm>
                                  <a:off x="3783304" y="974908"/>
                                  <a:ext cx="589915" cy="270510"/>
                                </a:xfrm>
                                <a:prstGeom prst="rect">
                                  <a:avLst/>
                                </a:prstGeom>
                                <a:solidFill>
                                  <a:schemeClr val="lt1"/>
                                </a:solidFill>
                                <a:ln w="6350">
                                  <a:solidFill>
                                    <a:prstClr val="black"/>
                                  </a:solidFill>
                                </a:ln>
                              </wps:spPr>
                              <wps:txbx>
                                <w:txbxContent>
                                  <w:p>
                                    <w:pPr>
                                      <w:pStyle w:val="12"/>
                                      <w:spacing w:before="0" w:beforeAutospacing="0" w:after="0" w:afterAutospacing="0"/>
                                      <w:jc w:val="both"/>
                                      <w:rPr>
                                        <w:szCs w:val="24"/>
                                      </w:rPr>
                                    </w:pPr>
                                    <w:r>
                                      <w:rPr>
                                        <w:rFonts w:hint="eastAsia" w:ascii="Times New Roman"/>
                                        <w:kern w:val="2"/>
                                        <w:sz w:val="21"/>
                                        <w:szCs w:val="21"/>
                                      </w:rPr>
                                      <w:t>收集池</w:t>
                                    </w:r>
                                  </w:p>
                                </w:txbxContent>
                              </wps:txbx>
                              <wps:bodyPr rot="0" spcFirstLastPara="0" vert="horz" wrap="none" lIns="91440" tIns="45720" rIns="91440" bIns="45720" numCol="1" spcCol="0" rtlCol="0" fromWordArt="0" anchor="t" anchorCtr="0" forceAA="0" compatLnSpc="1">
                                <a:spAutoFit/>
                              </wps:bodyPr>
                            </wps:wsp>
                            <wps:wsp>
                              <wps:cNvPr id="463" name="直接箭头连接符 463"/>
                              <wps:cNvCnPr>
                                <a:endCxn id="16" idx="1"/>
                              </wps:cNvCnPr>
                              <wps:spPr>
                                <a:xfrm flipV="1">
                                  <a:off x="4373569" y="1110163"/>
                                  <a:ext cx="309272" cy="1"/>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464" name="直接连接符 464"/>
                              <wps:cNvCnPr/>
                              <wps:spPr>
                                <a:xfrm flipH="1">
                                  <a:off x="4078206" y="576848"/>
                                  <a:ext cx="604571"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465" name="直接箭头连接符 465"/>
                              <wps:cNvCnPr>
                                <a:endCxn id="172" idx="0"/>
                              </wps:cNvCnPr>
                              <wps:spPr>
                                <a:xfrm>
                                  <a:off x="4078206" y="576848"/>
                                  <a:ext cx="28" cy="39806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260" name="AutoShape 312"/>
                              <wps:cNvCnPr>
                                <a:cxnSpLocks noChangeShapeType="1"/>
                              </wps:cNvCnPr>
                              <wps:spPr bwMode="auto">
                                <a:xfrm flipV="1">
                                  <a:off x="1974577" y="2496693"/>
                                  <a:ext cx="161290" cy="123190"/>
                                </a:xfrm>
                                <a:prstGeom prst="straightConnector1">
                                  <a:avLst/>
                                </a:prstGeom>
                                <a:noFill/>
                                <a:ln w="9525">
                                  <a:solidFill>
                                    <a:srgbClr val="000000"/>
                                  </a:solidFill>
                                  <a:prstDash val="dash"/>
                                  <a:round/>
                                  <a:tailEnd type="triangle" w="med" len="med"/>
                                </a:ln>
                              </wps:spPr>
                              <wps:bodyPr/>
                            </wps:wsp>
                            <wps:wsp>
                              <wps:cNvPr id="86" name="直接连接符 86"/>
                              <wps:cNvCnPr>
                                <a:stCxn id="12" idx="3"/>
                              </wps:cNvCnPr>
                              <wps:spPr>
                                <a:xfrm>
                                  <a:off x="2540746" y="834787"/>
                                  <a:ext cx="68961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7" name="直接连接符 87"/>
                              <wps:cNvCnPr/>
                              <wps:spPr>
                                <a:xfrm>
                                  <a:off x="1072892" y="1108304"/>
                                  <a:ext cx="188329" cy="0"/>
                                </a:xfrm>
                                <a:prstGeom prst="line">
                                  <a:avLst/>
                                </a:prstGeom>
                                <a:ln w="9525"/>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_x0000_s1026" o:spid="_x0000_s1026" o:spt="203" style="height:258.05pt;width:432.85pt;" coordsize="5497195,3277235" editas="canvas" o:gfxdata="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">
                      <o:lock v:ext="edit" aspectratio="f"/>
                      <v:shape id="_x0000_s1026" o:spid="_x0000_s1026" style="position:absolute;left:0;top:0;height:3277235;width:5497195;" filled="f" stroked="f" coordsize="21600,21600" o:gfxdata="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">
                        <v:fill on="f" focussize="0,0"/>
                        <v:stroke on="f"/>
                        <v:imagedata o:title=""/>
                        <o:lock v:ext="edit" aspectratio="t"/>
                      </v:shape>
                      <v:shape id="Text Box 314" o:spid="_x0000_s1026" o:spt="202" type="#_x0000_t202" style="position:absolute;left:2133371;top:2352261;height:243205;width:674075;" fillcolor="#FFFFFF" filled="t" stroked="f" coordsize="21600,21600" o:gfxdata="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FQPhjUAAAABQEAAA8AAAAAAAAAAQAgAAAAIgAAAGRycy9kb3ducmV2LnhtbFBLAQIUABQAAAAI&#10;AIdO4kD3FjSWKgIAAEwEAAAOAAAAAAAAAAEAIAAAACMBAABkcnMvZTJvRG9jLnhtbFBLBQYAAAAA&#10;BgAGAFkBAAC/BQAAAAA=&#10;">
                        <v:fill on="t" focussize="0,0"/>
                        <v:stroke on="f"/>
                        <v:imagedata o:title=""/>
                        <o:lock v:ext="edit" aspectratio="f"/>
                        <v:textbox>
                          <w:txbxContent>
                            <w:p>
                              <w:pPr>
                                <w:pStyle w:val="12"/>
                                <w:spacing w:before="0" w:beforeAutospacing="0" w:after="0" w:afterAutospacing="0"/>
                                <w:jc w:val="both"/>
                                <w:rPr>
                                  <w:rFonts w:eastAsiaTheme="minorEastAsia"/>
                                  <w:szCs w:val="24"/>
                                </w:rPr>
                              </w:pPr>
                              <w:r>
                                <w:rPr>
                                  <w:rFonts w:hint="eastAsia" w:ascii="Times New Roman"/>
                                  <w:kern w:val="2"/>
                                  <w:sz w:val="21"/>
                                  <w:szCs w:val="21"/>
                                </w:rPr>
                                <w:t>损耗</w:t>
                              </w:r>
                              <w:r>
                                <w:rPr>
                                  <w:rFonts w:ascii="Times New Roman" w:hAnsi="Times New Roman" w:eastAsiaTheme="minorEastAsia"/>
                                  <w:kern w:val="2"/>
                                  <w:sz w:val="21"/>
                                  <w:szCs w:val="21"/>
                                </w:rPr>
                                <w:t>0.5</w:t>
                              </w:r>
                            </w:p>
                          </w:txbxContent>
                        </v:textbox>
                      </v:shape>
                      <v:shape id="文本框 27" o:spid="_x0000_s1026" o:spt="202" type="#_x0000_t202" style="position:absolute;left:2683075;top:627071;height:250825;width:622935;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kMZvXAAAABQEAAA8AAAAAAAAAAQAg&#10;AAAAIgAAAGRycy9kb3ducmV2LnhtbFBLAQIUABQAAAAIAIdO4kCQYq8rSAIAAGoEAAAOAAAAAAAA&#10;AAEAIAAAACYBAABkcnMvZTJvRG9jLnhtbFBLBQYAAAAABgAGAFkBAADgBQ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eastAsiaTheme="minorEastAsia"/>
                                  <w:szCs w:val="24"/>
                                </w:rPr>
                              </w:pPr>
                              <w:r>
                                <w:rPr>
                                  <w:rFonts w:ascii="Times New Roman" w:hAnsi="Times New Roman" w:eastAsiaTheme="minorEastAsia"/>
                                  <w:kern w:val="2"/>
                                  <w:sz w:val="21"/>
                                  <w:szCs w:val="21"/>
                                </w:rPr>
                                <w:t>2476.94</w:t>
                              </w:r>
                            </w:p>
                          </w:txbxContent>
                        </v:textbox>
                      </v:shape>
                      <v:shape id="文本框 27" o:spid="_x0000_s1026" o:spt="202" type="#_x0000_t202" style="position:absolute;left:3194199;top:899040;height:250825;width:622935;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6Qxm9cAAAAFAQAADwAAAAAAAAABACAA&#10;AAAiAAAAZHJzL2Rvd25yZXYueG1sUEsBAhQAFAAAAAgAh07iQO89pbxHAgAAagQAAA4AAAAAAAAA&#10;AQAgAAAAJgEAAGRycy9lMm9Eb2MueG1sUEsFBgAAAAAGAAYAWQEAAN8FA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eastAsiaTheme="minorEastAsia"/>
                                  <w:szCs w:val="24"/>
                                </w:rPr>
                              </w:pPr>
                              <w:r>
                                <w:rPr>
                                  <w:rFonts w:ascii="Times New Roman" w:hAnsi="Times New Roman" w:eastAsiaTheme="minorEastAsia"/>
                                  <w:kern w:val="2"/>
                                  <w:sz w:val="21"/>
                                  <w:szCs w:val="21"/>
                                </w:rPr>
                                <w:t>2480.78</w:t>
                              </w:r>
                            </w:p>
                          </w:txbxContent>
                        </v:textbox>
                      </v:shape>
                      <v:shape id="_x0000_s1026" o:spid="_x0000_s1026" o:spt="202" type="#_x0000_t202" style="position:absolute;left:4078203;top:312983;height:270510;width:589915;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k&#10;MZvXAAAABQEAAA8AAAAAAAAAAQAgAAAAIgAAAGRycy9kb3ducmV2LnhtbFBLAQIUABQAAAAIAIdO&#10;4kD6gmoEXQIAAJsEAAAOAAAAAAAAAAEAIAAAACYBAABkcnMvZTJvRG9jLnhtbFBLBQYAAAAABgAG&#10;AFkBAAD1BQAAAAA=&#10;">
                        <v:fill on="t" focussize="0,0"/>
                        <v:stroke on="f" weight="0.5pt"/>
                        <v:imagedata o:title=""/>
                        <o:lock v:ext="edit" aspectratio="f"/>
                        <v:textbox style="mso-fit-shape-to-text:t;">
                          <w:txbxContent>
                            <w:p>
                              <w:r>
                                <w:rPr>
                                  <w:rFonts w:hint="eastAsia"/>
                                </w:rPr>
                                <w:t>压滤液</w:t>
                              </w:r>
                            </w:p>
                          </w:txbxContent>
                        </v:textbox>
                      </v:shape>
                      <v:shape id="_x0000_s1026" o:spid="_x0000_s1026" o:spt="202" type="#_x0000_t202" style="position:absolute;left:4344046;top:36059;height:270510;width:1118235;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6Qx&#10;m9cAAAAFAQAADwAAAAAAAAABACAAAAAiAAAAZHJzL2Rvd25yZXYueG1sUEsBAhQAFAAAAAgAh07i&#10;QKFXGuVcAgAAmwQAAA4AAAAAAAAAAQAgAAAAJgEAAGRycy9lMm9Eb2MueG1sUEsFBgAAAAAGAAYA&#10;WQEAAPQFAAAAAA==&#10;">
                        <v:fill on="t" focussize="0,0"/>
                        <v:stroke on="f" weight="0.5pt"/>
                        <v:imagedata o:title=""/>
                        <o:lock v:ext="edit" aspectratio="f"/>
                        <v:textbox style="mso-fit-shape-to-text:t;">
                          <w:txbxContent>
                            <w:p>
                              <w:r>
                                <w:rPr>
                                  <w:rFonts w:hint="eastAsia"/>
                                </w:rPr>
                                <w:t>泥饼</w:t>
                              </w:r>
                              <w:r>
                                <w:t>带走112.18</w:t>
                              </w:r>
                            </w:p>
                          </w:txbxContent>
                        </v:textbox>
                      </v:shape>
                      <v:shape id="文本框 27" o:spid="_x0000_s1026" o:spt="202" type="#_x0000_t202" style="position:absolute;left:2971318;top:1581229;height:270510;width:923290;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6Qxm9cAAAAFAQAADwAAAAAAAAAB&#10;ACAAAAAiAAAAZHJzL2Rvd25yZXYueG1sUEsBAhQAFAAAAAgAh07iQHCyjPRKAgAAawQAAA4AAAAA&#10;AAAAAQAgAAAAJgEAAGRycy9lMm9Eb2MueG1sUEsFBgAAAAAGAAYAWQEAAOIFA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eastAsiaTheme="minorEastAsia"/>
                                  <w:szCs w:val="24"/>
                                </w:rPr>
                              </w:pPr>
                              <w:r>
                                <w:rPr>
                                  <w:kern w:val="2"/>
                                  <w:sz w:val="21"/>
                                  <w:szCs w:val="21"/>
                                </w:rPr>
                                <w:t>循环</w:t>
                              </w:r>
                              <w:r>
                                <w:rPr>
                                  <w:rFonts w:ascii="Times New Roman" w:hAnsi="Times New Roman" w:eastAsiaTheme="minorEastAsia"/>
                                  <w:kern w:val="2"/>
                                  <w:sz w:val="21"/>
                                  <w:szCs w:val="21"/>
                                </w:rPr>
                                <w:t>2368.60</w:t>
                              </w:r>
                            </w:p>
                          </w:txbxContent>
                        </v:textbox>
                      </v:shape>
                      <v:shape id="Text Box 314" o:spid="_x0000_s1026" o:spt="202" type="#_x0000_t202" style="position:absolute;left:2135867;top:1827792;height:243205;width:1035685;" fillcolor="#FFFFFF" filled="t" stroked="f" coordsize="21600,21600" o:gfxdata="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BUD4Y1AAAAAUBAAAPAAAAAAAAAAEAIAAAACIAAABkcnMvZG93bnJldi54bWxQSwECFAAUAAAA&#10;CACHTuJAYeq3bysCAABMBAAADgAAAAAAAAABACAAAAAjAQAAZHJzL2Uyb0RvYy54bWxQSwUGAAAA&#10;AAYABgBZAQAAwAUAAAAA&#10;">
                        <v:fill on="t" focussize="0,0"/>
                        <v:stroke on="f"/>
                        <v:imagedata o:title=""/>
                        <o:lock v:ext="edit" aspectratio="f"/>
                        <v:textbox>
                          <w:txbxContent>
                            <w:p>
                              <w:pPr>
                                <w:pStyle w:val="12"/>
                                <w:spacing w:before="0" w:beforeAutospacing="0" w:after="0" w:afterAutospacing="0"/>
                                <w:jc w:val="both"/>
                                <w:rPr>
                                  <w:szCs w:val="24"/>
                                </w:rPr>
                              </w:pPr>
                              <w:r>
                                <w:rPr>
                                  <w:rFonts w:hint="eastAsia" w:ascii="Times New Roman"/>
                                  <w:kern w:val="2"/>
                                  <w:sz w:val="21"/>
                                  <w:szCs w:val="21"/>
                                </w:rPr>
                                <w:t>损耗</w:t>
                              </w:r>
                              <w:r>
                                <w:rPr>
                                  <w:rFonts w:ascii="Times New Roman" w:hAnsi="Times New Roman"/>
                                  <w:kern w:val="2"/>
                                  <w:sz w:val="21"/>
                                  <w:szCs w:val="21"/>
                                </w:rPr>
                                <w:t>15.6</w:t>
                              </w:r>
                            </w:p>
                          </w:txbxContent>
                        </v:textbox>
                      </v:shape>
                      <v:shape id="文本框 27" o:spid="_x0000_s1026" o:spt="202" type="#_x0000_t202" style="position:absolute;left:2488222;top:2567066;height:250825;width:356235;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6Qxm9cAAAAFAQAADwAAAAAAAAABACAA&#10;AAAiAAAAZHJzL2Rvd25yZXYueG1sUEsBAhQAFAAAAAgAh07iQOJ32mBHAgAAagQAAA4AAAAAAAAA&#10;AQAgAAAAJgEAAGRycy9lMm9Eb2MueG1sUEsFBgAAAAAGAAYAWQEAAN8FA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ascii="Times New Roman" w:hAnsi="Times New Roman"/>
                                  <w:kern w:val="2"/>
                                  <w:sz w:val="21"/>
                                  <w:szCs w:val="21"/>
                                </w:rPr>
                                <w:t>2.1</w:t>
                              </w:r>
                            </w:p>
                          </w:txbxContent>
                        </v:textbox>
                      </v:shape>
                      <v:shape id="文本框 27" o:spid="_x0000_s1026" o:spt="202" type="#_x0000_t202" style="position:absolute;left:1073017;top:2567066;height:250825;width:356235;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kMZvXAAAABQEAAA8AAAAAAAAAAQAg&#10;AAAAIgAAAGRycy9kb3ducmV2LnhtbFBLAQIUABQAAAAIAIdO4kBKfL/qSAIAAGoEAAAOAAAAAAAA&#10;AAEAIAAAACYBAABkcnMvZTJvRG9jLnhtbFBLBQYAAAAABgAGAFkBAADgBQ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ascii="Times New Roman" w:hAnsi="Times New Roman"/>
                                  <w:kern w:val="2"/>
                                  <w:sz w:val="21"/>
                                  <w:szCs w:val="21"/>
                                </w:rPr>
                                <w:t>2.6</w:t>
                              </w:r>
                            </w:p>
                          </w:txbxContent>
                        </v:textbox>
                      </v:shape>
                      <v:shape id="文本框 27" o:spid="_x0000_s1026" o:spt="202" type="#_x0000_t202" style="position:absolute;left:1366137;top:1231994;height:250825;width:356235;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kMZvXAAAABQEAAA8AAAAAAAAAAQAg&#10;AAAAIgAAAGRycy9kb3ducmV2LnhtbFBLAQIUABQAAAAIAIdO4kBkGOpoSAIAAGoEAAAOAAAAAAAA&#10;AAEAIAAAACYBAABkcnMvZTJvRG9jLnhtbFBLBQYAAAAABgAGAFkBAADgBQ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ascii="Times New Roman" w:hAnsi="Times New Roman"/>
                                  <w:kern w:val="2"/>
                                  <w:sz w:val="21"/>
                                  <w:szCs w:val="21"/>
                                </w:rPr>
                                <w:t>4.8</w:t>
                              </w:r>
                            </w:p>
                          </w:txbxContent>
                        </v:textbox>
                      </v:shape>
                      <v:shape id="文本框 27" o:spid="_x0000_s1026" o:spt="202" type="#_x0000_t202" style="position:absolute;left:2880576;top:1231989;height:250825;width:422910;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pDGb1wAAAAUBAAAPAAAAAAAAAAEAIAAA&#10;ACIAAABkcnMvZG93bnJldi54bWxQSwECFAAUAAAACACHTuJA6c2pC0YCAABqBAAADgAAAAAAAAAB&#10;ACAAAAAmAQAAZHJzL2Uyb0RvYy54bWxQSwUGAAAAAAYABgBZAQAA3gU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ascii="Times New Roman" w:hAnsi="Times New Roman"/>
                                  <w:kern w:val="2"/>
                                  <w:sz w:val="21"/>
                                  <w:szCs w:val="21"/>
                                </w:rPr>
                                <w:t>3.84</w:t>
                              </w:r>
                            </w:p>
                          </w:txbxContent>
                        </v:textbox>
                      </v:shape>
                      <v:shape id="文本框 27" o:spid="_x0000_s1026" o:spt="202" type="#_x0000_t202" style="position:absolute;left:4373569;top:1328331;height:250825;width:622935;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pDGb1wAAAAUBAAAPAAAAAAAAAAEA&#10;IAAAACIAAABkcnMvZG93bnJldi54bWxQSwECFAAUAAAACACHTuJATDq8u0kCAABqBAAADgAAAAAA&#10;AAABACAAAAAmAQAAZHJzL2Uyb0RvYy54bWxQSwUGAAAAAAYABgBZAQAA4QU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kern w:val="2"/>
                                  <w:sz w:val="21"/>
                                  <w:szCs w:val="21"/>
                                </w:rPr>
                              </w:pPr>
                              <w:r>
                                <w:rPr>
                                  <w:rFonts w:ascii="Times New Roman" w:hAnsi="Times New Roman"/>
                                  <w:kern w:val="2"/>
                                  <w:sz w:val="21"/>
                                  <w:szCs w:val="21"/>
                                </w:rPr>
                                <w:t>2368.60</w:t>
                              </w:r>
                            </w:p>
                          </w:txbxContent>
                        </v:textbox>
                      </v:shape>
                      <v:shape id="文本框 27" o:spid="_x0000_s1026" o:spt="202" type="#_x0000_t202" style="position:absolute;left:1194546;top:628950;height:250825;width:622935;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6Qxm9cAAAAFAQAADwAAAAAAAAABACAA&#10;AAAiAAAAZHJzL2Rvd25yZXYueG1sUEsBAhQAFAAAAAgAh07iQLph8cFHAgAAaQQAAA4AAAAAAAAA&#10;AQAgAAAAJgEAAGRycy9lMm9Eb2MueG1sUEsFBgAAAAAGAAYAWQEAAN8FA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ascii="Times New Roman" w:hAnsi="Times New Roman"/>
                                  <w:kern w:val="2"/>
                                  <w:sz w:val="21"/>
                                  <w:szCs w:val="21"/>
                                </w:rPr>
                                <w:t>2878.24</w:t>
                              </w:r>
                            </w:p>
                          </w:txbxContent>
                        </v:textbox>
                      </v:shape>
                      <v:shape id="文本框 27" o:spid="_x0000_s1026" o:spt="202" type="#_x0000_t202" style="position:absolute;left:1073017;top:2033226;height:250825;width:422910;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pDGb1wAAAAUBAAAPAAAAAAAAAAEAIAAA&#10;ACIAAABkcnMvZG93bnJldi54bWxQSwECFAAUAAAACACHTuJAvDTxNkYCAABqBAAADgAAAAAAAAAB&#10;ACAAAAAmAQAAZHJzL2Uyb0RvYy54bWxQSwUGAAAAAAYABgBZAQAA3gU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ascii="Times New Roman" w:hAnsi="Times New Roman"/>
                                  <w:kern w:val="2"/>
                                  <w:sz w:val="21"/>
                                  <w:szCs w:val="21"/>
                                </w:rPr>
                                <w:t>15.6</w:t>
                              </w:r>
                            </w:p>
                          </w:txbxContent>
                        </v:textbox>
                      </v:shape>
                      <v:shape id="_x0000_s1026" o:spid="_x0000_s1026" o:spt="202" type="#_x0000_t202" style="position:absolute;left:516765;top:1589842;height:250825;width:556260;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pDGb1wAA&#10;AAUBAAAPAAAAAAAAAAEAIAAAACIAAABkcnMvZG93bnJldi54bWxQSwECFAAUAAAACACHTuJAuE7w&#10;6FgCAACZBAAADgAAAAAAAAABACAAAAAmAQAAZHJzL2Uyb0RvYy54bWxQSwUGAAAAAAYABgBZAQAA&#10;8AUAAAAA&#10;">
                        <v:fill on="t" focussize="0,0"/>
                        <v:stroke on="f" weight="0.5pt"/>
                        <v:imagedata o:title=""/>
                        <o:lock v:ext="edit" aspectratio="f"/>
                        <v:textbox style="mso-fit-shape-to-text:t;">
                          <w:txbxContent>
                            <w:p>
                              <w:r>
                                <w:t>543.38</w:t>
                              </w:r>
                            </w:p>
                          </w:txbxContent>
                        </v:textbox>
                      </v:shape>
                      <v:shape id="_x0000_s1026" o:spid="_x0000_s1026" o:spt="32" type="#_x0000_t32" style="position:absolute;left:1261221;top:834787;height:0;width:556260;" filled="f" stroked="t" coordsize="21600,21600" o:gfxdata="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O4m2j0wAA&#10;AAUBAAAPAAAAAAAAAAEAIAAAACIAAABkcnMvZG93bnJldi54bWxQSwECFAAUAAAACACHTuJAXTHR&#10;JSMCAAATBAAADgAAAAAAAAABACAAAAAiAQAAZHJzL2Uyb0RvYy54bWxQSwUGAAAAAAYABgBZAQAA&#10;twUAAAAA&#10;">
                        <v:fill on="f" focussize="0,0"/>
                        <v:stroke color="#000000 [3200]" miterlimit="8" joinstyle="miter" endarrow="block"/>
                        <v:imagedata o:title=""/>
                        <o:lock v:ext="edit" aspectratio="f"/>
                      </v:shape>
                      <v:shape id="_x0000_s1026" o:spid="_x0000_s1026" o:spt="32" type="#_x0000_t32" style="position:absolute;left:1073017;top:2217006;height:0;width:701217;" filled="f" stroked="t" coordsize="21600,21600" o:gfxdata="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7ibaPTAAAA&#10;BQEAAA8AAAAAAAAAAQAgAAAAIgAAAGRycy9kb3ducmV2LnhtbFBLAQIUABQAAAAIAIdO4kB7OzOe&#10;IgIAABQEAAAOAAAAAAAAAAEAIAAAACIBAABkcnMvZTJvRG9jLnhtbFBLBQYAAAAABgAGAFkBAAC2&#10;BQAAAAA=&#10;">
                        <v:fill on="f" focussize="0,0"/>
                        <v:stroke color="#000000 [3200]" miterlimit="8" joinstyle="miter" endarrow="block"/>
                        <v:imagedata o:title=""/>
                        <o:lock v:ext="edit" aspectratio="f"/>
                      </v:shape>
                      <v:shape id="_x0000_s1026" o:spid="_x0000_s1026" o:spt="32" type="#_x0000_t32" style="position:absolute;left:1261221;top:1436925;height:680;width:556260;" filled="f" stroked="t" coordsize="21600,21600" o:gfxdata="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7ibaPT&#10;AAAABQEAAA8AAAAAAAAAAQAgAAAAIgAAAGRycy9kb3ducmV2LnhtbFBLAQIUABQAAAAIAIdO4kB2&#10;ABTCJQIAABgEAAAOAAAAAAAAAAEAIAAAACIBAABkcnMvZTJvRG9jLnhtbFBLBQYAAAAABgAGAFkB&#10;AAC5BQAAAAA=&#10;">
                        <v:fill on="f" focussize="0,0"/>
                        <v:stroke color="#000000 [3200]" miterlimit="8" joinstyle="miter" endarrow="block"/>
                        <v:imagedata o:title=""/>
                        <o:lock v:ext="edit" aspectratio="f"/>
                      </v:shape>
                      <v:shape id="_x0000_s1026" o:spid="_x0000_s1026" o:spt="202" type="#_x0000_t202" style="position:absolute;left:1774234;top:2081751;height:270510;width:989965;mso-wrap-style:none;" fillcolor="#FFFFFF [3201]" filled="t" stroked="t" coordsize="21600,21600" o:gfxdata="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TG9Tp1AAAAAUBAAAPAAAAAAAAAAEAIAAAACIAAABkcnMvZG93bnJldi54bWxQSwECFAAUAAAA&#10;CACHTuJAZz/4OWQCAADCBAAADgAAAAAAAAABACAAAAAjAQAAZHJzL2Uyb0RvYy54bWxQSwUGAAAA&#10;AAYABgBZAQAA+QUAAAAA&#10;">
                        <v:fill on="t" focussize="0,0"/>
                        <v:stroke weight="0.5pt" color="#000000" joinstyle="round"/>
                        <v:imagedata o:title=""/>
                        <o:lock v:ext="edit" aspectratio="f"/>
                        <v:textbox style="mso-fit-shape-to-text:t;">
                          <w:txbxContent>
                            <w:p>
                              <w:r>
                                <w:rPr>
                                  <w:rFonts w:hint="eastAsia"/>
                                  <w:szCs w:val="21"/>
                                </w:rPr>
                                <w:t>洒水降尘用水</w:t>
                              </w:r>
                            </w:p>
                          </w:txbxContent>
                        </v:textbox>
                      </v:shape>
                      <v:shape id="_x0000_s1026" o:spid="_x0000_s1026" o:spt="202" type="#_x0000_t202" style="position:absolute;left:1817481;top:699532;height:270510;width:723265;mso-wrap-style:none;" fillcolor="#FFFFFF [3201]" filled="t" stroked="t" coordsize="21600,21600" o:gfxdata="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Mb1OnUAAAABQEAAA8AAAAAAAAAAQAgAAAAIgAAAGRycy9kb3ducmV2LnhtbFBLAQIUABQAAAAI&#10;AIdO4kCql9yFYwIAAMEEAAAOAAAAAAAAAAEAIAAAACMBAABkcnMvZTJvRG9jLnhtbFBLBQYAAAAA&#10;BgAGAFkBAAD4BQAAAAA=&#10;">
                        <v:fill on="t" focussize="0,0"/>
                        <v:stroke weight="0.5pt" color="#000000" joinstyle="round"/>
                        <v:imagedata o:title=""/>
                        <o:lock v:ext="edit" aspectratio="f"/>
                        <v:textbox style="mso-fit-shape-to-text:t;">
                          <w:txbxContent>
                            <w:p>
                              <w:r>
                                <w:rPr>
                                  <w:rFonts w:hint="eastAsia"/>
                                  <w:szCs w:val="21"/>
                                </w:rPr>
                                <w:t>洗砂用水</w:t>
                              </w:r>
                            </w:p>
                          </w:txbxContent>
                        </v:textbox>
                      </v:shape>
                      <v:shape id="_x0000_s1026" o:spid="_x0000_s1026" o:spt="202" type="#_x0000_t202" style="position:absolute;left:1817481;top:1302350;height:270510;width:989965;" fillcolor="#FFFFFF [3201]" filled="t" stroked="t" coordsize="21600,21600" o:gfxdata="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1JoBa1gAAAAUBAAAPAAAAAAAAAAEAIAAAACIAAABkcnMvZG93bnJldi54bWxQSwECFAAUAAAA&#10;CACHTuJAgnnZO2ICAADEBAAADgAAAAAAAAABACAAAAAlAQAAZHJzL2Uyb0RvYy54bWxQSwUGAAAA&#10;AAYABgBZAQAA+QUAAAAA&#10;">
                        <v:fill on="t" focussize="0,0"/>
                        <v:stroke weight="0.5pt" color="#000000" joinstyle="round"/>
                        <v:imagedata o:title=""/>
                        <o:lock v:ext="edit" aspectratio="f"/>
                        <v:textbox style="mso-fit-shape-to-text:t;">
                          <w:txbxContent>
                            <w:p>
                              <w:r>
                                <w:rPr>
                                  <w:rFonts w:hint="eastAsia"/>
                                  <w:szCs w:val="21"/>
                                </w:rPr>
                                <w:t>车辆冲洗用水</w:t>
                              </w:r>
                            </w:p>
                          </w:txbxContent>
                        </v:textbox>
                      </v:shape>
                      <v:shape id="_x0000_s1026" o:spid="_x0000_s1026" o:spt="32" type="#_x0000_t32" style="position:absolute;left:3230356;top:1110163;height:0;width:552948;" filled="f" stroked="t" coordsize="21600,21600" o:gfxdata="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O4m2j&#10;0wAAAAUBAAAPAAAAAAAAAAEAIAAAACIAAABkcnMvZG93bnJldi54bWxQSwECFAAUAAAACACHTuJA&#10;7RV1PSYCAAAXBAAADgAAAAAAAAABACAAAAAiAQAAZHJzL2Uyb0RvYy54bWxQSwUGAAAAAAYABgBZ&#10;AQAAugUAAAAA&#10;">
                        <v:fill on="f" focussize="0,0"/>
                        <v:stroke color="#000000 [3200]" miterlimit="8" joinstyle="miter" endarrow="block"/>
                        <v:imagedata o:title=""/>
                        <o:lock v:ext="edit" aspectratio="f"/>
                      </v:shape>
                      <v:shape id="_x0000_s1026" o:spid="_x0000_s1026" o:spt="202" type="#_x0000_t202" style="position:absolute;left:4682841;top:974908;height:270510;width:589915;mso-wrap-style:none;" fillcolor="#FFFFFF [3201]" filled="t" stroked="t" coordsize="21600,21600" o:gfxdata="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xvU6dQAAAAFAQAADwAAAAAAAAABACAAAAAiAAAAZHJzL2Rvd25yZXYueG1sUEsBAhQAFAAAAAgA&#10;h07iQFzurb5iAgAAwQQAAA4AAAAAAAAAAQAgAAAAIwEAAGRycy9lMm9Eb2MueG1sUEsFBgAAAAAG&#10;AAYAWQEAAPcFAAAAAA==&#10;">
                        <v:fill on="t" focussize="0,0"/>
                        <v:stroke weight="0.5pt" color="#000000" joinstyle="round"/>
                        <v:imagedata o:title=""/>
                        <o:lock v:ext="edit" aspectratio="f"/>
                        <v:textbox style="mso-fit-shape-to-text:t;">
                          <w:txbxContent>
                            <w:p>
                              <w:r>
                                <w:rPr>
                                  <w:rFonts w:hint="eastAsia"/>
                                </w:rPr>
                                <w:t>浓密罐</w:t>
                              </w:r>
                            </w:p>
                          </w:txbxContent>
                        </v:textbox>
                      </v:shape>
                      <v:line id="_x0000_s1026" o:spid="_x0000_s1026" o:spt="20" style="position:absolute;left:1194498;top:1814909;flip:x;height:0;width:3488279;" filled="f" stroked="t" coordsize="21600,21600" o:gfxdata="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lJRm/XAAAABQEAAA8AAAAAAAAAAQAgAAAAIgAA&#10;AGRycy9kb3ducmV2LnhtbFBLAQIUABQAAAAIAIdO4kD3C8wVCQIAAPEDAAAOAAAAAAAAAAEAIAAA&#10;ACYBAABkcnMvZTJvRG9jLnhtbFBLBQYAAAAABgAGAFkBAAChBQAAAAA=&#10;">
                        <v:fill on="f" focussize="0,0"/>
                        <v:stroke color="#000000 [3200]" miterlimit="8" joinstyle="miter"/>
                        <v:imagedata o:title=""/>
                        <o:lock v:ext="edit" aspectratio="f"/>
                      </v:line>
                      <v:shape id="_x0000_s1026" o:spid="_x0000_s1026" o:spt="32" type="#_x0000_t32" style="position:absolute;left:1194498;top:1110164;flip:y;height:704746;width:0;" filled="f" stroked="t" coordsize="21600,21600" o:gfxdata="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HZxddQAAAAFAQAADwAA&#10;AAAAAAABACAAAAAiAAAAZHJzL2Rvd25yZXYueG1sUEsBAhQAFAAAAAgAh07iQMjSJZoaAgAA+AMA&#10;AA4AAAAAAAAAAQAgAAAAIwEAAGRycy9lMm9Eb2MueG1sUEsFBgAAAAAGAAYAWQEAAK8FAAAAAA==&#10;">
                        <v:fill on="f" focussize="0,0"/>
                        <v:stroke color="#000000 [3200]" miterlimit="8" joinstyle="miter" endarrow="block"/>
                        <v:imagedata o:title=""/>
                        <o:lock v:ext="edit" aspectratio="f"/>
                      </v:shape>
                      <v:shape id="AutoShape 312" o:spid="_x0000_s1026" o:spt="32" type="#_x0000_t32" style="position:absolute;left:1973942;top:1962371;flip:y;height:123190;width:161290;" filled="f" stroked="t" coordsize="21600,21600" o:gfxdata="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KLYrNIAAAAFAQAADwAAAAAAAAABACAAAAAi&#10;AAAAZHJzL2Rvd25yZXYueG1sUEsBAhQAFAAAAAgAh07iQCqSNhsQAgAAFQQAAA4AAAAAAAAAAQAg&#10;AAAAIQEAAGRycy9lMm9Eb2MueG1sUEsFBgAAAAAGAAYAWQEAAKMFAAAAAA==&#10;">
                        <v:fill on="f" focussize="0,0"/>
                        <v:stroke color="#000000" joinstyle="round" dashstyle="dash" endarrow="block"/>
                        <v:imagedata o:title=""/>
                        <o:lock v:ext="edit" aspectratio="f"/>
                      </v:shape>
                      <v:shape id="Text Box 314" o:spid="_x0000_s1026" o:spt="202" type="#_x0000_t202" style="position:absolute;left:2179115;top:394181;height:243205;width:912200;" fillcolor="#FFFFFF" filled="t" stroked="f" coordsize="21600,21600" o:gfxdata="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AVA+GNQAAAAFAQAADwAAAAAAAAABACAAAAAiAAAAZHJzL2Rvd25yZXYueG1sUEsBAhQAFAAAAAgA&#10;h07iQF0Ve10pAgAASgQAAA4AAAAAAAAAAQAgAAAAIwEAAGRycy9lMm9Eb2MueG1sUEsFBgAAAAAG&#10;AAYAWQEAAL4FAAAAAA==&#10;">
                        <v:fill on="t" focussize="0,0"/>
                        <v:stroke on="f"/>
                        <v:imagedata o:title=""/>
                        <o:lock v:ext="edit" aspectratio="f"/>
                        <v:textbox>
                          <w:txbxContent>
                            <w:p>
                              <w:pPr>
                                <w:pStyle w:val="12"/>
                                <w:spacing w:before="0" w:beforeAutospacing="0" w:after="0" w:afterAutospacing="0"/>
                                <w:jc w:val="both"/>
                                <w:rPr>
                                  <w:szCs w:val="24"/>
                                </w:rPr>
                              </w:pPr>
                              <w:r>
                                <w:rPr>
                                  <w:rFonts w:hint="eastAsia" w:ascii="Times New Roman"/>
                                  <w:kern w:val="2"/>
                                  <w:sz w:val="21"/>
                                  <w:szCs w:val="21"/>
                                </w:rPr>
                                <w:t>损耗</w:t>
                              </w:r>
                              <w:r>
                                <w:rPr>
                                  <w:rFonts w:ascii="Times New Roman" w:hAnsi="Times New Roman"/>
                                  <w:kern w:val="2"/>
                                  <w:sz w:val="21"/>
                                  <w:szCs w:val="21"/>
                                </w:rPr>
                                <w:t>401.3</w:t>
                              </w:r>
                            </w:p>
                          </w:txbxContent>
                        </v:textbox>
                      </v:shape>
                      <v:shape id="AutoShape 312" o:spid="_x0000_s1026" o:spt="32" type="#_x0000_t32" style="position:absolute;left:2016554;top:580152;flip:y;height:123190;width:161290;" filled="f" stroked="t" coordsize="21600,21600" o:gfxdata="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8otis0gAAAAUBAAAPAAAAAAAAAAEAIAAA&#10;ACIAAABkcnMvZG93bnJldi54bWxQSwECFAAUAAAACACHTuJAJX79dRICAAAUBAAADgAAAAAAAAAB&#10;ACAAAAAhAQAAZHJzL2Uyb0RvYy54bWxQSwUGAAAAAAYABgBZAQAApQUAAAAA&#10;">
                        <v:fill on="f" focussize="0,0"/>
                        <v:stroke color="#000000" joinstyle="round" dashstyle="dash" endarrow="block"/>
                        <v:imagedata o:title=""/>
                        <o:lock v:ext="edit" aspectratio="f"/>
                      </v:shape>
                      <v:shape id="Text Box 314" o:spid="_x0000_s1026" o:spt="202" type="#_x0000_t202" style="position:absolute;left:2179114;top:1026671;height:243205;width:1035685;" fillcolor="#FFFFFF" filled="t" stroked="f" coordsize="21600,21600" o:gfxdata="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FQPhjUAAAABQEAAA8AAAAAAAAAAQAgAAAAIgAAAGRycy9kb3ducmV2LnhtbFBLAQIUABQAAAAI&#10;AIdO4kDoXNRRKgIAAEwEAAAOAAAAAAAAAAEAIAAAACMBAABkcnMvZTJvRG9jLnhtbFBLBQYAAAAA&#10;BgAGAFkBAAC/BQAAAAA=&#10;">
                        <v:fill on="t" focussize="0,0"/>
                        <v:stroke on="f"/>
                        <v:imagedata o:title=""/>
                        <o:lock v:ext="edit" aspectratio="f"/>
                        <v:textbox>
                          <w:txbxContent>
                            <w:p>
                              <w:pPr>
                                <w:pStyle w:val="12"/>
                                <w:spacing w:before="0" w:beforeAutospacing="0" w:after="0" w:afterAutospacing="0"/>
                                <w:jc w:val="both"/>
                                <w:rPr>
                                  <w:szCs w:val="24"/>
                                </w:rPr>
                              </w:pPr>
                              <w:r>
                                <w:rPr>
                                  <w:rFonts w:hint="eastAsia" w:ascii="Times New Roman"/>
                                  <w:kern w:val="2"/>
                                  <w:sz w:val="21"/>
                                  <w:szCs w:val="21"/>
                                </w:rPr>
                                <w:t>损耗</w:t>
                              </w:r>
                              <w:r>
                                <w:rPr>
                                  <w:rFonts w:ascii="Times New Roman" w:hAnsi="Times New Roman"/>
                                  <w:kern w:val="2"/>
                                  <w:sz w:val="21"/>
                                  <w:szCs w:val="21"/>
                                </w:rPr>
                                <w:t>0.86</w:t>
                              </w:r>
                            </w:p>
                          </w:txbxContent>
                        </v:textbox>
                      </v:shape>
                      <v:shape id="AutoShape 312" o:spid="_x0000_s1026" o:spt="32" type="#_x0000_t32" style="position:absolute;left:2017189;top:1167346;flip:y;height:123190;width:161290;" filled="f" stroked="t" coordsize="21600,21600" o:gfxdata="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8otis0gAAAAUBAAAPAAAAAAAAAAEAIAAA&#10;ACIAAABkcnMvZG93bnJldi54bWxQSwECFAAUAAAACACHTuJAPhCNQxICAAAVBAAADgAAAAAAAAAB&#10;ACAAAAAhAQAAZHJzL2Uyb0RvYy54bWxQSwUGAAAAAAYABgBZAQAApQUAAAAA&#10;">
                        <v:fill on="f" focussize="0,0"/>
                        <v:stroke color="#000000" joinstyle="round" dashstyle="dash" endarrow="block"/>
                        <v:imagedata o:title=""/>
                        <o:lock v:ext="edit" aspectratio="f"/>
                      </v:shape>
                      <v:shape id="_x0000_s1026" o:spid="_x0000_s1026" o:spt="202" type="#_x0000_t202" style="position:absolute;left:250;top:1679654;height:270510;width:589915;mso-wrap-style:none;" fillcolor="#FFFFFF [3201]" filled="t" stroked="t" coordsize="21600,21600" o:gfxdata="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ExvU&#10;6dQAAAAFAQAADwAAAAAAAAABACAAAAAiAAAAZHJzL2Rvd25yZXYueG1sUEsBAhQAFAAAAAgAh07i&#10;QP64wpFfAgAAvgQAAA4AAAAAAAAAAQAgAAAAIwEAAGRycy9lMm9Eb2MueG1sUEsFBgAAAAAGAAYA&#10;WQEAAPQFAAAAAA==&#10;">
                        <v:fill on="t" focussize="0,0"/>
                        <v:stroke weight="0.5pt" color="#000000" joinstyle="round"/>
                        <v:imagedata o:title=""/>
                        <o:lock v:ext="edit" aspectratio="f"/>
                        <v:textbox style="mso-fit-shape-to-text:t;">
                          <w:txbxContent>
                            <w:p>
                              <w:r>
                                <w:rPr>
                                  <w:rFonts w:hint="eastAsia"/>
                                </w:rPr>
                                <w:t>新鲜水</w:t>
                              </w:r>
                            </w:p>
                          </w:txbxContent>
                        </v:textbox>
                      </v:shape>
                      <v:shape id="_x0000_s1026" o:spid="_x0000_s1026" o:spt="32" type="#_x0000_t32" style="position:absolute;left:1073017;top:2759128;height:0;width:701217;" filled="f" stroked="t" coordsize="21600,21600" o:gfxdata="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7ibaPT&#10;AAAABQEAAA8AAAAAAAAAAQAgAAAAIgAAAGRycy9kb3ducmV2LnhtbFBLAQIUABQAAAAIAIdO4kCb&#10;+SEoJQIAABYEAAAOAAAAAAAAAAEAIAAAACIBAABkcnMvZTJvRG9jLnhtbFBLBQYAAAAABgAGAFkB&#10;AAC5BQAAAAA=&#10;">
                        <v:fill on="f" focussize="0,0"/>
                        <v:stroke color="#000000 [3200]" miterlimit="8" joinstyle="miter" endarrow="block"/>
                        <v:imagedata o:title=""/>
                        <o:lock v:ext="edit" aspectratio="f"/>
                      </v:shape>
                      <v:shape id="_x0000_s1026" o:spid="_x0000_s1026" o:spt="202" type="#_x0000_t202" style="position:absolute;left:1774234;top:2623873;height:270510;width:723265;mso-wrap-style:none;" fillcolor="#FFFFFF [3201]" filled="t" stroked="t" coordsize="21600,21600" o:gfxdata="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Mb1OnUAAAABQEAAA8AAAAAAAAAAQAgAAAAIgAAAGRycy9kb3ducmV2LnhtbFBLAQIUABQAAAAI&#10;AIdO4kD5024DYwIAAMIEAAAOAAAAAAAAAAEAIAAAACMBAABkcnMvZTJvRG9jLnhtbFBLBQYAAAAA&#10;BgAGAFkBAAD4BQAAAAA=&#10;">
                        <v:fill on="t" focussize="0,0"/>
                        <v:stroke weight="0.5pt" color="#000000" joinstyle="round"/>
                        <v:imagedata o:title=""/>
                        <o:lock v:ext="edit" aspectratio="f"/>
                        <v:textbox style="mso-fit-shape-to-text:t;">
                          <w:txbxContent>
                            <w:p>
                              <w:r>
                                <w:rPr>
                                  <w:rFonts w:hint="eastAsia"/>
                                </w:rPr>
                                <w:t>生活用水</w:t>
                              </w:r>
                            </w:p>
                          </w:txbxContent>
                        </v:textbox>
                      </v:shape>
                      <v:shape id="_x0000_s1026" o:spid="_x0000_s1026" o:spt="32" type="#_x0000_t32" style="position:absolute;left:2497239;top:2759128;height:0;width:473769;" filled="f" stroked="t" coordsize="21600,21600" o:gfxdata="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7ibaPT&#10;AAAABQEAAA8AAAAAAAAAAQAgAAAAIgAAAGRycy9kb3ducmV2LnhtbFBLAQIUABQAAAAIAIdO4kCR&#10;X+2kJQIAABUEAAAOAAAAAAAAAAEAIAAAACIBAABkcnMvZTJvRG9jLnhtbFBLBQYAAAAABgAGAFkB&#10;AAC5BQAAAAA=&#10;">
                        <v:fill on="f" focussize="0,0"/>
                        <v:stroke color="#000000 [3200]" miterlimit="8" joinstyle="miter" endarrow="block"/>
                        <v:imagedata o:title=""/>
                        <o:lock v:ext="edit" aspectratio="f"/>
                      </v:shape>
                      <v:shape id="_x0000_s1026" o:spid="_x0000_s1026" o:spt="202" type="#_x0000_t202" style="position:absolute;left:1863064;top:3007409;height:270510;width:1833881;" fillcolor="#FFFFFF [3201]" filled="t" stroked="f" coordsize="21600,21600" o:gfxdata="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be5Ca&#10;1QAAAAUBAAAPAAAAAAAAAAEAIAAAACIAAABkcnMvZG93bnJldi54bWxQSwECFAAUAAAACACHTuJA&#10;/e45YV0CAACdBAAADgAAAAAAAAABACAAAAAkAQAAZHJzL2Uyb0RvYy54bWxQSwUGAAAAAAYABgBZ&#10;AQAA8wUAAAAA&#10;">
                        <v:fill on="t" focussize="0,0"/>
                        <v:stroke on="f" weight="0.5pt"/>
                        <v:imagedata o:title=""/>
                        <o:lock v:ext="edit" aspectratio="f"/>
                        <v:textbox style="mso-fit-shape-to-text:t;">
                          <w:txbxContent>
                            <w:p>
                              <w:pPr>
                                <w:rPr>
                                  <w:b/>
                                </w:rPr>
                              </w:pPr>
                              <w:r>
                                <w:rPr>
                                  <w:rFonts w:hint="eastAsia"/>
                                  <w:b/>
                                </w:rPr>
                                <w:t xml:space="preserve">图2-1 </w:t>
                              </w:r>
                              <w:r>
                                <w:rPr>
                                  <w:b/>
                                </w:rPr>
                                <w:t>水平衡</w:t>
                              </w:r>
                              <w:r>
                                <w:rPr>
                                  <w:rFonts w:hint="eastAsia"/>
                                  <w:b/>
                                </w:rPr>
                                <w:t xml:space="preserve">图     </w:t>
                              </w:r>
                              <w:r>
                                <w:rPr>
                                  <w:b/>
                                </w:rPr>
                                <w:t xml:space="preserve"> m</w:t>
                              </w:r>
                              <w:r>
                                <w:rPr>
                                  <w:b/>
                                  <w:vertAlign w:val="superscript"/>
                                </w:rPr>
                                <w:t>3</w:t>
                              </w:r>
                              <w:r>
                                <w:rPr>
                                  <w:b/>
                                </w:rPr>
                                <w:t>/d</w:t>
                              </w:r>
                            </w:p>
                          </w:txbxContent>
                        </v:textbox>
                      </v:shape>
                      <v:line id="_x0000_s1026" o:spid="_x0000_s1026" o:spt="20" style="position:absolute;left:1073017;top:1110164;flip:x;height:1648964;width:8;" filled="f" stroked="t" coordsize="21600,21600" o:gfxdata="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5SUZv1wAAAAUBAAAPAAAAAAAAAAEAIAAAACIAAABkcnMvZG93bnJldi54bWxQ&#10;SwECFAAUAAAACACHTuJAxBoS7PgBAADJAwAADgAAAAAAAAABACAAAAAmAQAAZHJzL2Uyb0RvYy54&#10;bWxQSwUGAAAAAAYABgBZAQAAkAUAAAAA&#10;">
                        <v:fill on="f" focussize="0,0"/>
                        <v:stroke color="#000000 [3200]" miterlimit="8" joinstyle="miter"/>
                        <v:imagedata o:title=""/>
                        <o:lock v:ext="edit" aspectratio="f"/>
                      </v:line>
                      <v:line id="_x0000_s1026" o:spid="_x0000_s1026" o:spt="20" style="position:absolute;left:3230356;top:834787;height:602819;width:0;" filled="f" stroked="t" coordsize="21600,21600" o:gfxdata="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42WxA1gAAAAUBAAAPAAAAAAAAAAEAIAAAACIAAABkcnMvZG93bnJldi54bWxQSwECFAAUAAAA&#10;CACHTuJAglC3JPABAAC9AwAADgAAAAAAAAABACAAAAAlAQAAZHJzL2Uyb0RvYy54bWxQSwUGAAAA&#10;AAYABgBZAQAAhwUAAAAA&#10;">
                        <v:fill on="f" focussize="0,0"/>
                        <v:stroke color="#000000 [3200]" miterlimit="8" joinstyle="miter"/>
                        <v:imagedata o:title=""/>
                        <o:lock v:ext="edit" aspectratio="f"/>
                      </v:line>
                      <v:line id="_x0000_s1026" o:spid="_x0000_s1026" o:spt="20" style="position:absolute;left:2807446;top:1437605;height:0;width:422910;" filled="f" stroked="t" coordsize="21600,21600" o:gfxdata="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42WxA1gAAAAUBAAAPAAAAAAAAAAEAIAAAACIAAABkcnMv&#10;ZG93bnJldi54bWxQSwECFAAUAAAACACHTuJAAsNkPwUCAADnAwAADgAAAAAAAAABACAAAAAlAQAA&#10;ZHJzL2Uyb0RvYy54bWxQSwUGAAAAAAYABgBZAQAAnAUAAAAA&#10;">
                        <v:fill on="f" focussize="0,0"/>
                        <v:stroke color="#000000 [3200]" miterlimit="8" joinstyle="miter"/>
                        <v:imagedata o:title=""/>
                        <o:lock v:ext="edit" aspectratio="f"/>
                      </v:line>
                      <v:shape id="_x0000_s1026" o:spid="_x0000_s1026" o:spt="32" type="#_x0000_t32" style="position:absolute;left:4977799;top:669557;flip:y;height:305351;width:0;" filled="f" stroked="t" coordsize="21600,21600" o:gfxdata="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wdnF11AAAAAUBAAAPAAAAAAAAAAEAIAAAACIAAABkcnMvZG93bnJldi54bWxQ&#10;SwECFAAUAAAACACHTuJAoeTpyzQCAAA8BAAADgAAAAAAAAABACAAAAAjAQAAZHJzL2Uyb0RvYy54&#10;bWxQSwUGAAAAAAYABgBZAQAAyQUAAAAA&#10;">
                        <v:fill on="f" focussize="0,0"/>
                        <v:stroke color="#000000 [3200]" miterlimit="8" joinstyle="miter" endarrow="block"/>
                        <v:imagedata o:title=""/>
                        <o:lock v:ext="edit" aspectratio="f"/>
                      </v:shape>
                      <v:shape id="_x0000_s1026" o:spid="_x0000_s1026" o:spt="32" type="#_x0000_t32" style="position:absolute;left:4977735;top:1245418;flip:x;height:434236;width:64;" filled="f" stroked="t" coordsize="21600,21600" o:gfxdata="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B2cXXUAAAABQEAAA8AAAAAAAAAAQAgAAAAIgAAAGRycy9kb3ducmV2Lnht&#10;bFBLAQIUABQAAAAIAIdO4kC4qE5xNgIAAD4EAAAOAAAAAAAAAAEAIAAAACMBAABkcnMvZTJvRG9j&#10;LnhtbFBLBQYAAAAABgAGAFkBAADLBQAAAAA=&#10;">
                        <v:fill on="f" focussize="0,0"/>
                        <v:stroke color="#000000 [3200]" miterlimit="8" joinstyle="miter" endarrow="block"/>
                        <v:imagedata o:title=""/>
                        <o:lock v:ext="edit" aspectratio="f"/>
                      </v:shape>
                      <v:shape id="_x0000_s1026" o:spid="_x0000_s1026" o:spt="202" type="#_x0000_t202" style="position:absolute;left:4682777;top:1679654;height:270510;width:589915;mso-wrap-style:none;" fillcolor="#FFFFFF [3201]" filled="t" stroked="t" coordsize="21600,21600" o:gfxdata="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TG9Tp1AAAAAUBAAAPAAAAAAAAAAEAIAAAACIAAABkcnMvZG93bnJldi54bWxQSwECFAAU&#10;AAAACACHTuJAL6AXtWcCAADEBAAADgAAAAAAAAABACAAAAAjAQAAZHJzL2Uyb0RvYy54bWxQSwUG&#10;AAAAAAYABgBZAQAA/AUAAAAA&#10;">
                        <v:fill on="t" focussize="0,0"/>
                        <v:stroke weight="0.5pt" color="#000000" joinstyle="round"/>
                        <v:imagedata o:title=""/>
                        <o:lock v:ext="edit" aspectratio="f"/>
                        <v:textbox style="mso-fit-shape-to-text:t;">
                          <w:txbxContent>
                            <w:p>
                              <w:r>
                                <w:rPr>
                                  <w:rFonts w:hint="eastAsia"/>
                                </w:rPr>
                                <w:t>清水池</w:t>
                              </w:r>
                            </w:p>
                          </w:txbxContent>
                        </v:textbox>
                      </v:shape>
                      <v:shape id="_x0000_s1026" o:spid="_x0000_s1026" o:spt="202" type="#_x0000_t202" style="position:absolute;left:3030829;top:2619883;height:270510;width:2056765;mso-wrap-style:none;" fillcolor="#FFFFFF [3201]" filled="t" stroked="f" coordsize="21600,21600" o:gfxdata="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k&#10;MZvXAAAABQEAAA8AAAAAAAAAAQAgAAAAIgAAAGRycy9kb3ducmV2LnhtbFBLAQIUABQAAAAIAIdO&#10;4kDhyF55XQIAAJ0EAAAOAAAAAAAAAAEAIAAAACYBAABkcnMvZTJvRG9jLnhtbFBLBQYAAAAABgAG&#10;AFkBAAD1BQAAAAA=&#10;">
                        <v:fill on="t" focussize="0,0"/>
                        <v:stroke on="f" weight="0.5pt"/>
                        <v:imagedata o:title=""/>
                        <o:lock v:ext="edit" aspectratio="f"/>
                        <v:textbox style="mso-fit-shape-to-text:t;">
                          <w:txbxContent>
                            <w:p>
                              <w:r>
                                <w:rPr>
                                  <w:rFonts w:hint="eastAsia"/>
                                </w:rPr>
                                <w:t>依托附近既有污水处理设施处理</w:t>
                              </w:r>
                            </w:p>
                          </w:txbxContent>
                        </v:textbox>
                      </v:shape>
                      <v:line id="_x0000_s1026" o:spid="_x0000_s1026" o:spt="20" style="position:absolute;left:1261221;top:834787;flip:x y;height:602820;width:1;" filled="f" stroked="t" coordsize="21600,21600" o:gfxdata="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QjMI/UAAAABQEAAA8AAAAAAAAAAQAgAAAAIgAAAGRycy9kb3ducmV2Lnht&#10;bFBLAQIUABQAAAAIAIdO4kA+Ios4/QEAANMDAAAOAAAAAAAAAAEAIAAAACMBAABkcnMvZTJvRG9j&#10;LnhtbFBLBQYAAAAABgAGAFkBAACSBQAAAAA=&#10;">
                        <v:fill on="f" focussize="0,0"/>
                        <v:stroke color="#000000 [3200]" miterlimit="8" joinstyle="miter"/>
                        <v:imagedata o:title=""/>
                        <o:lock v:ext="edit" aspectratio="f"/>
                      </v:line>
                      <v:shape id="_x0000_s1026" o:spid="_x0000_s1026" o:spt="32" type="#_x0000_t32" style="position:absolute;left:590096;top:1814909;height:0;width:482796;" filled="f" stroked="t" coordsize="21600,21600" o:gfxdata="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7ibaPT&#10;AAAABQEAAA8AAAAAAAAAAQAgAAAAIgAAAGRycy9kb3ducmV2LnhtbFBLAQIUABQAAAAIAIdO4kBh&#10;Z6WvJQIAABYEAAAOAAAAAAAAAAEAIAAAACIBAABkcnMvZTJvRG9jLnhtbFBLBQYAAAAABgAGAFkB&#10;AAC5BQAAAAA=&#10;">
                        <v:fill on="f" focussize="0,0"/>
                        <v:stroke color="#000000 [3200]" miterlimit="8" joinstyle="miter" endarrow="block"/>
                        <v:imagedata o:title=""/>
                        <o:lock v:ext="edit" aspectratio="f"/>
                      </v:shape>
                      <v:shape id="_x0000_s1026" o:spid="_x0000_s1026" o:spt="202" type="#_x0000_t202" style="position:absolute;left:4682841;top:399047;height:270510;width:589915;mso-wrap-style:none;" fillcolor="#FFFFFF [3201]" filled="t" stroked="t" coordsize="21600,21600" o:gfxdata="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ExvU6dQAAAAFAQAADwAAAAAAAAABACAAAAAiAAAAZHJzL2Rvd25yZXYueG1sUEsBAhQAFAAA&#10;AAgAh07iQIy+LFFlAgAAwwQAAA4AAAAAAAAAAQAgAAAAIwEAAGRycy9lMm9Eb2MueG1sUEsFBgAA&#10;AAAGAAYAWQEAAPoFAAAAAA==&#10;">
                        <v:fill on="t" focussize="0,0"/>
                        <v:stroke weight="0.5pt" color="#000000" joinstyle="round"/>
                        <v:imagedata o:title=""/>
                        <o:lock v:ext="edit" aspectratio="f"/>
                        <v:textbox style="mso-fit-shape-to-text:t;">
                          <w:txbxContent>
                            <w:p>
                              <w:r>
                                <w:rPr>
                                  <w:rFonts w:hint="eastAsia"/>
                                </w:rPr>
                                <w:t>压滤机</w:t>
                              </w:r>
                            </w:p>
                          </w:txbxContent>
                        </v:textbox>
                      </v:shape>
                      <v:shape id="_x0000_s1026" o:spid="_x0000_s1026" o:spt="32" type="#_x0000_t32" style="position:absolute;left:4977799;top:231686;flip:y;height:167361;width:0;" filled="f" stroked="t" coordsize="21600,21600" o:gfxdata="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ryVNIAAAAFAQAADwAAAAAAAAABACAAAAAiAAAAZHJzL2Rvd25yZXYueG1sUEsBAhQAFAAAAAgA&#10;h07iQLtoeI0rAgAAIAQAAA4AAAAAAAAAAQAgAAAAIQEAAGRycy9lMm9Eb2MueG1sUEsFBgAAAAAG&#10;AAYAWQEAAL4FAAAAAA==&#10;">
                        <v:fill on="f" focussize="0,0"/>
                        <v:stroke color="#000000 [3200]" miterlimit="8" joinstyle="miter" dashstyle="dash" endarrow="block"/>
                        <v:imagedata o:title=""/>
                        <o:lock v:ext="edit" aspectratio="f"/>
                      </v:shape>
                      <v:shape id="文本框 16" o:spid="_x0000_s1026" o:spt="202" type="#_x0000_t202" style="position:absolute;left:3783304;top:974908;height:270510;width:589915;mso-wrap-style:none;" fillcolor="#FFFFFF [3201]" filled="t" stroked="t" coordsize="21600,21600" o:gfxdata="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TG9Tp1AAAAAUBAAAP&#10;AAAAAAAAAAEAIAAAACIAAABkcnMvZG93bnJldi54bWxQSwECFAAUAAAACACHTuJAaqlAMFUCAACS&#10;BAAADgAAAAAAAAABACAAAAAjAQAAZHJzL2Uyb0RvYy54bWxQSwUGAAAAAAYABgBZAQAA6gUAAAAA&#10;">
                        <v:fill on="t" focussize="0,0"/>
                        <v:stroke weight="0.5pt" color="#000000" joinstyle="round"/>
                        <v:imagedata o:title=""/>
                        <o:lock v:ext="edit" aspectratio="f"/>
                        <v:textbox style="mso-fit-shape-to-text:t;">
                          <w:txbxContent>
                            <w:p>
                              <w:pPr>
                                <w:pStyle w:val="12"/>
                                <w:spacing w:before="0" w:beforeAutospacing="0" w:after="0" w:afterAutospacing="0"/>
                                <w:jc w:val="both"/>
                                <w:rPr>
                                  <w:szCs w:val="24"/>
                                </w:rPr>
                              </w:pPr>
                              <w:r>
                                <w:rPr>
                                  <w:rFonts w:hint="eastAsia" w:ascii="Times New Roman"/>
                                  <w:kern w:val="2"/>
                                  <w:sz w:val="21"/>
                                  <w:szCs w:val="21"/>
                                </w:rPr>
                                <w:t>收集池</w:t>
                              </w:r>
                            </w:p>
                          </w:txbxContent>
                        </v:textbox>
                      </v:shape>
                      <v:shape id="_x0000_s1026" o:spid="_x0000_s1026" o:spt="32" type="#_x0000_t32" style="position:absolute;left:4373569;top:1110163;flip:y;height:1;width:309272;" filled="f" stroked="t" coordsize="21600,21600" o:gfxdata="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MHZxddQAAAAFAQAADwAAAAAAAAABACAAAAAiAAAAZHJzL2Rvd25yZXYueG1sUEsBAhQAFAAA&#10;AAgAh07iQNnP7cksAgAAIgQAAA4AAAAAAAAAAQAgAAAAIwEAAGRycy9lMm9Eb2MueG1sUEsFBgAA&#10;AAAGAAYAWQEAAMEFAAAAAA==&#10;">
                        <v:fill on="f" focussize="0,0"/>
                        <v:stroke color="#000000 [3200]" miterlimit="8" joinstyle="miter" endarrow="block"/>
                        <v:imagedata o:title=""/>
                        <o:lock v:ext="edit" aspectratio="f"/>
                      </v:shape>
                      <v:line id="_x0000_s1026" o:spid="_x0000_s1026" o:spt="20" style="position:absolute;left:4078206;top:576848;flip:x;height:0;width:604571;" filled="f" stroked="t" coordsize="21600,21600" o:gfxdata="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5SUZv1wAAAAUBAAAPAAAAAAAAAAEAIAAAACIAAABkcnMvZG93bnJldi54&#10;bWxQSwECFAAUAAAACACHTuJAmtbJ2/sBAADJAwAADgAAAAAAAAABACAAAAAmAQAAZHJzL2Uyb0Rv&#10;Yy54bWxQSwUGAAAAAAYABgBZAQAAkwUAAAAA&#10;">
                        <v:fill on="f" focussize="0,0"/>
                        <v:stroke color="#000000 [3200]" miterlimit="8" joinstyle="miter"/>
                        <v:imagedata o:title=""/>
                        <o:lock v:ext="edit" aspectratio="f"/>
                      </v:line>
                      <v:shape id="_x0000_s1026" o:spid="_x0000_s1026" o:spt="32" type="#_x0000_t32" style="position:absolute;left:4078206;top:576848;height:398060;width:28;" filled="f" stroked="t" coordsize="21600,21600" o:gfxdata="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O&#10;4m2j0wAAAAUBAAAPAAAAAAAAAAEAIAAAACIAAABkcnMvZG93bnJldi54bWxQSwECFAAUAAAACACH&#10;TuJASnXrlSkCAAAZBAAADgAAAAAAAAABACAAAAAiAQAAZHJzL2Uyb0RvYy54bWxQSwUGAAAAAAYA&#10;BgBZAQAAvQUAAAAA&#10;">
                        <v:fill on="f" focussize="0,0"/>
                        <v:stroke color="#000000 [3200]" miterlimit="8" joinstyle="miter" endarrow="block"/>
                        <v:imagedata o:title=""/>
                        <o:lock v:ext="edit" aspectratio="f"/>
                      </v:shape>
                      <v:shape id="AutoShape 312" o:spid="_x0000_s1026" o:spt="32" type="#_x0000_t32" style="position:absolute;left:1974577;top:2496693;flip:y;height:123190;width:161290;" filled="f" stroked="t" coordsize="21600,21600" o:gfxdata="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fKLYrNIAAAAFAQAADwAAAAAAAAABACAA&#10;AAAiAAAAZHJzL2Rvd25yZXYueG1sUEsBAhQAFAAAAAgAh07iQCaDOAoTAgAAFgQAAA4AAAAAAAAA&#10;AQAgAAAAIQEAAGRycy9lMm9Eb2MueG1sUEsFBgAAAAAGAAYAWQEAAKYFAAAAAA==&#10;">
                        <v:fill on="f" focussize="0,0"/>
                        <v:stroke color="#000000" joinstyle="round" dashstyle="dash" endarrow="block"/>
                        <v:imagedata o:title=""/>
                        <o:lock v:ext="edit" aspectratio="f"/>
                      </v:shape>
                      <v:line id="_x0000_s1026" o:spid="_x0000_s1026" o:spt="20" style="position:absolute;left:2540746;top:834787;height:0;width:689610;" filled="f" stroked="t" coordsize="21600,21600" o:gfxdata="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42WxA1gAAAAUBAAAPAAAAAAAAAAEAIAAAACIAAABkcnMvZG93&#10;bnJldi54bWxQSwECFAAUAAAACACHTuJAIDixIAICAADkAwAADgAAAAAAAAABACAAAAAlAQAAZHJz&#10;L2Uyb0RvYy54bWxQSwUGAAAAAAYABgBZAQAAmQUAAAAA&#10;">
                        <v:fill on="f" focussize="0,0"/>
                        <v:stroke color="#000000 [3200]" miterlimit="8" joinstyle="miter"/>
                        <v:imagedata o:title=""/>
                        <o:lock v:ext="edit" aspectratio="f"/>
                      </v:line>
                      <v:line id="_x0000_s1026" o:spid="_x0000_s1026" o:spt="20" style="position:absolute;left:1072892;top:1108304;height:0;width:188329;" filled="f" stroked="t" coordsize="21600,21600" o:gfxdata="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lsQNYAAAAFAQAADwAAAAAAAAABACAAAAAiAAAAZHJzL2Rvd25yZXYueG1sUEsBAhQAFAAA&#10;AAgAh07iQKq1+q/xAQAAvgMAAA4AAAAAAAAAAQAgAAAAJQEAAGRycy9lMm9Eb2MueG1sUEsFBgAA&#10;AAAGAAYAWQEAAIgFAAAAAA==&#10;">
                        <v:fill on="f" focussize="0,0"/>
                        <v:stroke color="#000000 [3200]" miterlimit="8" joinstyle="miter"/>
                        <v:imagedata o:title=""/>
                        <o:lock v:ext="edit" aspectratio="f"/>
                      </v:line>
                      <w10:wrap type="none"/>
                      <w10:anchorlock/>
                    </v:group>
                  </w:pict>
                </mc:Fallback>
              </mc:AlternateContent>
            </w:r>
          </w:p>
          <w:p>
            <w:pPr>
              <w:adjustRightInd w:val="0"/>
              <w:snapToGrid w:val="0"/>
              <w:spacing w:line="360" w:lineRule="auto"/>
              <w:ind w:firstLine="480" w:firstLineChars="200"/>
              <w:jc w:val="left"/>
              <w:rPr>
                <w:sz w:val="24"/>
              </w:rPr>
            </w:pPr>
            <w:r>
              <w:rPr>
                <w:sz w:val="24"/>
              </w:rPr>
              <w:t>（2）排水</w:t>
            </w:r>
          </w:p>
          <w:p>
            <w:pPr>
              <w:spacing w:line="360" w:lineRule="auto"/>
              <w:ind w:firstLine="480" w:firstLineChars="200"/>
              <w:jc w:val="left"/>
              <w:outlineLvl w:val="0"/>
              <w:rPr>
                <w:sz w:val="24"/>
              </w:rPr>
            </w:pPr>
            <w:r>
              <w:rPr>
                <w:rFonts w:hint="eastAsia"/>
                <w:sz w:val="24"/>
              </w:rPr>
              <w:t>全厂采取雨污分流制，雨水通过雨水管网排入雨水管网。生产废水全部循环使用或自然蒸发，不外排；生活污水依托附近既有污水处理设施处理。</w:t>
            </w:r>
          </w:p>
          <w:p>
            <w:pPr>
              <w:spacing w:line="360" w:lineRule="auto"/>
              <w:ind w:firstLine="480" w:firstLineChars="200"/>
              <w:jc w:val="left"/>
              <w:outlineLvl w:val="0"/>
              <w:rPr>
                <w:sz w:val="24"/>
              </w:rPr>
            </w:pPr>
            <w:r>
              <w:rPr>
                <w:sz w:val="24"/>
              </w:rPr>
              <w:t>（3）供电</w:t>
            </w:r>
          </w:p>
          <w:p>
            <w:pPr>
              <w:spacing w:line="360" w:lineRule="auto"/>
              <w:ind w:firstLine="480" w:firstLineChars="200"/>
              <w:rPr>
                <w:sz w:val="24"/>
              </w:rPr>
            </w:pPr>
            <w:r>
              <w:rPr>
                <w:rFonts w:hint="eastAsia"/>
                <w:sz w:val="24"/>
              </w:rPr>
              <w:t>本项目生产和生活用电由当地电网经厂区变压器接入供应。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859" w:hRule="atLeast"/>
          <w:jc w:val="center"/>
        </w:trPr>
        <w:tc>
          <w:tcPr>
            <w:tcW w:w="699" w:type="dxa"/>
            <w:vAlign w:val="center"/>
          </w:tcPr>
          <w:p>
            <w:pPr>
              <w:pStyle w:val="12"/>
              <w:adjustRightInd w:val="0"/>
              <w:snapToGrid w:val="0"/>
              <w:spacing w:before="0" w:beforeAutospacing="0" w:after="0" w:afterAutospacing="0"/>
              <w:jc w:val="center"/>
              <w:rPr>
                <w:rFonts w:ascii="Times New Roman" w:hAnsi="Times New Roman" w:cs="宋体"/>
                <w:szCs w:val="24"/>
                <w:lang w:val="en-US"/>
              </w:rPr>
            </w:pPr>
            <w:r>
              <w:rPr>
                <w:rFonts w:hint="eastAsia" w:ascii="Times New Roman" w:hAnsi="Times New Roman" w:cs="宋体"/>
                <w:szCs w:val="24"/>
                <w:lang w:val="en-US"/>
              </w:rPr>
              <w:t>工艺流程和产排污环节</w:t>
            </w:r>
          </w:p>
        </w:tc>
        <w:tc>
          <w:tcPr>
            <w:tcW w:w="8787" w:type="dxa"/>
          </w:tcPr>
          <w:p>
            <w:pPr>
              <w:spacing w:line="360" w:lineRule="auto"/>
              <w:ind w:firstLine="482" w:firstLineChars="200"/>
              <w:jc w:val="left"/>
              <w:rPr>
                <w:b/>
                <w:bCs/>
                <w:color w:val="000000"/>
                <w:sz w:val="24"/>
              </w:rPr>
            </w:pPr>
            <w:r>
              <w:rPr>
                <w:rFonts w:hint="eastAsia"/>
                <w:b/>
                <w:bCs/>
                <w:color w:val="000000"/>
                <w:sz w:val="24"/>
              </w:rPr>
              <w:t>一、施工期工艺流程</w:t>
            </w:r>
          </w:p>
          <w:p>
            <w:pPr>
              <w:spacing w:line="360" w:lineRule="auto"/>
              <w:ind w:firstLine="480" w:firstLineChars="200"/>
              <w:jc w:val="left"/>
              <w:rPr>
                <w:color w:val="000000"/>
                <w:sz w:val="24"/>
              </w:rPr>
            </w:pPr>
            <w:r>
              <w:rPr>
                <w:rFonts w:hint="eastAsia"/>
                <w:color w:val="000000"/>
                <w:sz w:val="24"/>
              </w:rPr>
              <w:t>本项目施工期主要为场地平整、修建厂房、设备安装等。施工期工艺流程及产污位置示意图见下图。</w:t>
            </w:r>
          </w:p>
          <w:p>
            <w:pPr>
              <w:spacing w:line="360" w:lineRule="auto"/>
              <w:jc w:val="center"/>
              <w:rPr>
                <w:b/>
                <w:bCs/>
                <w:color w:val="000000"/>
                <w:sz w:val="24"/>
              </w:rPr>
            </w:pPr>
            <w:r>
              <w:rPr>
                <w:bCs/>
                <w:sz w:val="24"/>
              </w:rPr>
              <mc:AlternateContent>
                <mc:Choice Requires="wpc">
                  <w:drawing>
                    <wp:inline distT="0" distB="0" distL="0" distR="0">
                      <wp:extent cx="5113655" cy="4359910"/>
                      <wp:effectExtent l="0" t="0" r="0" b="2540"/>
                      <wp:docPr id="403" name="画布 4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75" name="矩形 429"/>
                              <wps:cNvSpPr>
                                <a:spLocks noChangeArrowheads="1"/>
                              </wps:cNvSpPr>
                              <wps:spPr bwMode="auto">
                                <a:xfrm>
                                  <a:off x="4185433" y="362912"/>
                                  <a:ext cx="734884" cy="501015"/>
                                </a:xfrm>
                                <a:prstGeom prst="rect">
                                  <a:avLst/>
                                </a:prstGeom>
                                <a:solidFill>
                                  <a:srgbClr val="FFFFFF"/>
                                </a:solidFill>
                                <a:ln>
                                  <a:noFill/>
                                </a:ln>
                                <a:effectLst/>
                              </wps:spPr>
                              <wps:txbx>
                                <w:txbxContent>
                                  <w:p>
                                    <w:pPr>
                                      <w:rPr>
                                        <w:szCs w:val="21"/>
                                      </w:rPr>
                                    </w:pPr>
                                    <w:r>
                                      <w:rPr>
                                        <w:rFonts w:hint="eastAsia"/>
                                        <w:szCs w:val="21"/>
                                      </w:rPr>
                                      <w:t>建筑垃圾清运系统</w:t>
                                    </w:r>
                                  </w:p>
                                </w:txbxContent>
                              </wps:txbx>
                              <wps:bodyPr rot="0" vert="horz" wrap="square" lIns="91440" tIns="45720" rIns="91440" bIns="45720" anchor="t" anchorCtr="0" upright="1">
                                <a:noAutofit/>
                              </wps:bodyPr>
                            </wps:wsp>
                            <wps:wsp>
                              <wps:cNvPr id="1076" name="矩形 430"/>
                              <wps:cNvSpPr>
                                <a:spLocks noChangeArrowheads="1"/>
                              </wps:cNvSpPr>
                              <wps:spPr bwMode="auto">
                                <a:xfrm>
                                  <a:off x="2269178" y="16461"/>
                                  <a:ext cx="685800" cy="296545"/>
                                </a:xfrm>
                                <a:prstGeom prst="rect">
                                  <a:avLst/>
                                </a:prstGeom>
                                <a:solidFill>
                                  <a:srgbClr val="FFFFFF"/>
                                </a:solidFill>
                                <a:ln>
                                  <a:noFill/>
                                </a:ln>
                                <a:effectLst/>
                              </wps:spPr>
                              <wps:txbx>
                                <w:txbxContent>
                                  <w:p>
                                    <w:pPr>
                                      <w:ind w:firstLine="105" w:firstLineChars="50"/>
                                      <w:rPr>
                                        <w:szCs w:val="21"/>
                                      </w:rPr>
                                    </w:pPr>
                                    <w:r>
                                      <w:rPr>
                                        <w:rFonts w:hint="eastAsia"/>
                                        <w:szCs w:val="21"/>
                                      </w:rPr>
                                      <w:t>回 用</w:t>
                                    </w:r>
                                  </w:p>
                                </w:txbxContent>
                              </wps:txbx>
                              <wps:bodyPr rot="0" vert="horz" wrap="square" lIns="91440" tIns="45720" rIns="91440" bIns="45720" anchor="t" anchorCtr="0" upright="1">
                                <a:noAutofit/>
                              </wps:bodyPr>
                            </wps:wsp>
                            <wps:wsp>
                              <wps:cNvPr id="1077" name="矩形 431"/>
                              <wps:cNvSpPr>
                                <a:spLocks noChangeArrowheads="1"/>
                              </wps:cNvSpPr>
                              <wps:spPr bwMode="auto">
                                <a:xfrm>
                                  <a:off x="3070489" y="313006"/>
                                  <a:ext cx="914136" cy="448195"/>
                                </a:xfrm>
                                <a:prstGeom prst="rect">
                                  <a:avLst/>
                                </a:prstGeom>
                                <a:solidFill>
                                  <a:srgbClr val="FFFFFF"/>
                                </a:solidFill>
                                <a:ln>
                                  <a:noFill/>
                                </a:ln>
                                <a:effectLst/>
                              </wps:spPr>
                              <wps:txbx>
                                <w:txbxContent>
                                  <w:p>
                                    <w:pPr>
                                      <w:pStyle w:val="5"/>
                                      <w:tabs>
                                        <w:tab w:val="left" w:pos="0"/>
                                      </w:tabs>
                                      <w:jc w:val="center"/>
                                      <w:rPr>
                                        <w:sz w:val="21"/>
                                        <w:szCs w:val="21"/>
                                      </w:rPr>
                                    </w:pPr>
                                    <w:r>
                                      <w:rPr>
                                        <w:sz w:val="21"/>
                                        <w:szCs w:val="21"/>
                                      </w:rPr>
                                      <w:t>周边</w:t>
                                    </w:r>
                                    <w:r>
                                      <w:rPr>
                                        <w:rFonts w:hint="eastAsia"/>
                                        <w:sz w:val="21"/>
                                        <w:szCs w:val="21"/>
                                      </w:rPr>
                                      <w:t>既有</w:t>
                                    </w:r>
                                    <w:r>
                                      <w:rPr>
                                        <w:sz w:val="21"/>
                                        <w:szCs w:val="21"/>
                                      </w:rPr>
                                      <w:t>污水处理</w:t>
                                    </w:r>
                                    <w:r>
                                      <w:rPr>
                                        <w:rFonts w:hint="eastAsia"/>
                                        <w:sz w:val="21"/>
                                        <w:szCs w:val="21"/>
                                      </w:rPr>
                                      <w:t>设施</w:t>
                                    </w:r>
                                  </w:p>
                                </w:txbxContent>
                              </wps:txbx>
                              <wps:bodyPr rot="0" vert="horz" wrap="square" lIns="91440" tIns="45720" rIns="91440" bIns="45720" anchor="t" anchorCtr="0" upright="1">
                                <a:noAutofit/>
                              </wps:bodyPr>
                            </wps:wsp>
                            <wps:wsp>
                              <wps:cNvPr id="1078" name="矩形 432"/>
                              <wps:cNvSpPr>
                                <a:spLocks noChangeArrowheads="1"/>
                              </wps:cNvSpPr>
                              <wps:spPr bwMode="auto">
                                <a:xfrm>
                                  <a:off x="1573530" y="2014220"/>
                                  <a:ext cx="756000" cy="273600"/>
                                </a:xfrm>
                                <a:prstGeom prst="rect">
                                  <a:avLst/>
                                </a:prstGeom>
                                <a:solidFill>
                                  <a:srgbClr val="969696"/>
                                </a:solidFill>
                                <a:ln w="9525">
                                  <a:solidFill>
                                    <a:srgbClr val="000000"/>
                                  </a:solidFill>
                                  <a:miter lim="800000"/>
                                </a:ln>
                                <a:effectLst/>
                              </wps:spPr>
                              <wps:txbx>
                                <w:txbxContent>
                                  <w:p>
                                    <w:pPr>
                                      <w:pStyle w:val="5"/>
                                      <w:tabs>
                                        <w:tab w:val="left" w:pos="0"/>
                                      </w:tabs>
                                      <w:jc w:val="center"/>
                                      <w:rPr>
                                        <w:sz w:val="21"/>
                                        <w:szCs w:val="21"/>
                                      </w:rPr>
                                    </w:pPr>
                                    <w:r>
                                      <w:rPr>
                                        <w:rFonts w:hint="eastAsia"/>
                                        <w:sz w:val="21"/>
                                        <w:szCs w:val="21"/>
                                      </w:rPr>
                                      <w:t>主体工程</w:t>
                                    </w:r>
                                  </w:p>
                                </w:txbxContent>
                              </wps:txbx>
                              <wps:bodyPr rot="0" vert="horz" wrap="square" lIns="91440" tIns="45720" rIns="91440" bIns="45720" anchor="t" anchorCtr="0" upright="1">
                                <a:noAutofit/>
                              </wps:bodyPr>
                            </wps:wsp>
                            <wps:wsp>
                              <wps:cNvPr id="1079" name="直线 433"/>
                              <wps:cNvCnPr>
                                <a:cxnSpLocks noChangeShapeType="1"/>
                                <a:stCxn id="1078" idx="3"/>
                                <a:endCxn id="1080" idx="1"/>
                              </wps:cNvCnPr>
                              <wps:spPr bwMode="auto">
                                <a:xfrm>
                                  <a:off x="2329530" y="2151020"/>
                                  <a:ext cx="529875" cy="0"/>
                                </a:xfrm>
                                <a:prstGeom prst="line">
                                  <a:avLst/>
                                </a:prstGeom>
                                <a:noFill/>
                                <a:ln w="28575">
                                  <a:solidFill>
                                    <a:srgbClr val="000000"/>
                                  </a:solidFill>
                                  <a:round/>
                                  <a:tailEnd type="triangle" w="med" len="med"/>
                                </a:ln>
                                <a:effectLst/>
                              </wps:spPr>
                              <wps:bodyPr/>
                            </wps:wsp>
                            <wps:wsp>
                              <wps:cNvPr id="1080" name="矩形 434"/>
                              <wps:cNvSpPr>
                                <a:spLocks noChangeArrowheads="1"/>
                              </wps:cNvSpPr>
                              <wps:spPr bwMode="auto">
                                <a:xfrm>
                                  <a:off x="2859405" y="2014220"/>
                                  <a:ext cx="756000" cy="273600"/>
                                </a:xfrm>
                                <a:prstGeom prst="rect">
                                  <a:avLst/>
                                </a:prstGeom>
                                <a:solidFill>
                                  <a:srgbClr val="969696"/>
                                </a:solidFill>
                                <a:ln w="9525">
                                  <a:solidFill>
                                    <a:srgbClr val="000000"/>
                                  </a:solidFill>
                                  <a:miter lim="800000"/>
                                </a:ln>
                                <a:effectLst/>
                              </wps:spPr>
                              <wps:txbx>
                                <w:txbxContent>
                                  <w:p>
                                    <w:pPr>
                                      <w:pStyle w:val="5"/>
                                      <w:tabs>
                                        <w:tab w:val="left" w:pos="0"/>
                                      </w:tabs>
                                      <w:jc w:val="center"/>
                                      <w:rPr>
                                        <w:sz w:val="21"/>
                                        <w:szCs w:val="21"/>
                                      </w:rPr>
                                    </w:pPr>
                                    <w:r>
                                      <w:rPr>
                                        <w:rFonts w:hint="eastAsia"/>
                                        <w:sz w:val="21"/>
                                        <w:szCs w:val="21"/>
                                      </w:rPr>
                                      <w:t>设备安装</w:t>
                                    </w:r>
                                  </w:p>
                                </w:txbxContent>
                              </wps:txbx>
                              <wps:bodyPr rot="0" vert="horz" wrap="square" lIns="91440" tIns="45720" rIns="91440" bIns="45720" anchor="t" anchorCtr="0" upright="1">
                                <a:noAutofit/>
                              </wps:bodyPr>
                            </wps:wsp>
                            <wps:wsp>
                              <wps:cNvPr id="1081" name="直线 435"/>
                              <wps:cNvCnPr>
                                <a:cxnSpLocks noChangeShapeType="1"/>
                                <a:stCxn id="1080" idx="3"/>
                                <a:endCxn id="1082" idx="1"/>
                              </wps:cNvCnPr>
                              <wps:spPr bwMode="auto">
                                <a:xfrm>
                                  <a:off x="3615405" y="2151020"/>
                                  <a:ext cx="548912" cy="0"/>
                                </a:xfrm>
                                <a:prstGeom prst="line">
                                  <a:avLst/>
                                </a:prstGeom>
                                <a:noFill/>
                                <a:ln w="28575">
                                  <a:solidFill>
                                    <a:srgbClr val="000000"/>
                                  </a:solidFill>
                                  <a:round/>
                                  <a:tailEnd type="triangle" w="med" len="med"/>
                                </a:ln>
                                <a:effectLst/>
                              </wps:spPr>
                              <wps:bodyPr/>
                            </wps:wsp>
                            <wps:wsp>
                              <wps:cNvPr id="1082" name="矩形 436"/>
                              <wps:cNvSpPr>
                                <a:spLocks noChangeArrowheads="1"/>
                              </wps:cNvSpPr>
                              <wps:spPr bwMode="auto">
                                <a:xfrm>
                                  <a:off x="4164317" y="2014220"/>
                                  <a:ext cx="756000" cy="273600"/>
                                </a:xfrm>
                                <a:prstGeom prst="rect">
                                  <a:avLst/>
                                </a:prstGeom>
                                <a:solidFill>
                                  <a:srgbClr val="969696"/>
                                </a:solidFill>
                                <a:ln w="9525">
                                  <a:solidFill>
                                    <a:srgbClr val="000000"/>
                                  </a:solidFill>
                                  <a:miter lim="800000"/>
                                </a:ln>
                                <a:effectLst/>
                              </wps:spPr>
                              <wps:txbx>
                                <w:txbxContent>
                                  <w:p>
                                    <w:pPr>
                                      <w:pStyle w:val="5"/>
                                      <w:tabs>
                                        <w:tab w:val="left" w:pos="0"/>
                                      </w:tabs>
                                      <w:jc w:val="center"/>
                                      <w:rPr>
                                        <w:sz w:val="21"/>
                                        <w:szCs w:val="21"/>
                                      </w:rPr>
                                    </w:pPr>
                                    <w:r>
                                      <w:rPr>
                                        <w:rFonts w:hint="eastAsia"/>
                                        <w:sz w:val="21"/>
                                        <w:szCs w:val="21"/>
                                      </w:rPr>
                                      <w:t>工程验收</w:t>
                                    </w:r>
                                  </w:p>
                                </w:txbxContent>
                              </wps:txbx>
                              <wps:bodyPr rot="0" vert="horz" wrap="square" lIns="91440" tIns="45720" rIns="91440" bIns="45720" anchor="t" anchorCtr="0" upright="1">
                                <a:noAutofit/>
                              </wps:bodyPr>
                            </wps:wsp>
                            <wps:wsp>
                              <wps:cNvPr id="1083" name="矩形 437"/>
                              <wps:cNvSpPr>
                                <a:spLocks noChangeArrowheads="1"/>
                              </wps:cNvSpPr>
                              <wps:spPr bwMode="auto">
                                <a:xfrm>
                                  <a:off x="4164317" y="2707640"/>
                                  <a:ext cx="756000" cy="273600"/>
                                </a:xfrm>
                                <a:prstGeom prst="rect">
                                  <a:avLst/>
                                </a:prstGeom>
                                <a:solidFill>
                                  <a:srgbClr val="969696"/>
                                </a:solidFill>
                                <a:ln w="9525">
                                  <a:solidFill>
                                    <a:srgbClr val="000000"/>
                                  </a:solidFill>
                                  <a:miter lim="800000"/>
                                </a:ln>
                                <a:effectLst/>
                              </wps:spPr>
                              <wps:txbx>
                                <w:txbxContent>
                                  <w:p>
                                    <w:pPr>
                                      <w:pStyle w:val="5"/>
                                      <w:tabs>
                                        <w:tab w:val="left" w:pos="0"/>
                                      </w:tabs>
                                      <w:jc w:val="center"/>
                                      <w:rPr>
                                        <w:sz w:val="21"/>
                                        <w:szCs w:val="21"/>
                                      </w:rPr>
                                    </w:pPr>
                                    <w:r>
                                      <w:rPr>
                                        <w:rFonts w:hint="eastAsia"/>
                                        <w:sz w:val="21"/>
                                        <w:szCs w:val="21"/>
                                      </w:rPr>
                                      <w:t>工程运营</w:t>
                                    </w:r>
                                  </w:p>
                                </w:txbxContent>
                              </wps:txbx>
                              <wps:bodyPr rot="0" vert="horz" wrap="square" lIns="91440" tIns="45720" rIns="91440" bIns="45720" anchor="t" anchorCtr="0" upright="1">
                                <a:noAutofit/>
                              </wps:bodyPr>
                            </wps:wsp>
                            <wps:wsp>
                              <wps:cNvPr id="1084" name="直线 438"/>
                              <wps:cNvCnPr>
                                <a:cxnSpLocks noChangeShapeType="1"/>
                                <a:stCxn id="1078" idx="0"/>
                              </wps:cNvCnPr>
                              <wps:spPr bwMode="auto">
                                <a:xfrm flipV="1">
                                  <a:off x="1951530" y="1783080"/>
                                  <a:ext cx="0" cy="231140"/>
                                </a:xfrm>
                                <a:prstGeom prst="line">
                                  <a:avLst/>
                                </a:prstGeom>
                                <a:noFill/>
                                <a:ln w="9525">
                                  <a:solidFill>
                                    <a:srgbClr val="000000"/>
                                  </a:solidFill>
                                  <a:prstDash val="dash"/>
                                  <a:round/>
                                </a:ln>
                                <a:effectLst/>
                              </wps:spPr>
                              <wps:bodyPr/>
                            </wps:wsp>
                            <wps:wsp>
                              <wps:cNvPr id="1085" name="直线 439"/>
                              <wps:cNvCnPr>
                                <a:cxnSpLocks noChangeShapeType="1"/>
                              </wps:cNvCnPr>
                              <wps:spPr bwMode="auto">
                                <a:xfrm>
                                  <a:off x="659130" y="1783715"/>
                                  <a:ext cx="3886200" cy="635"/>
                                </a:xfrm>
                                <a:prstGeom prst="line">
                                  <a:avLst/>
                                </a:prstGeom>
                                <a:noFill/>
                                <a:ln w="9525">
                                  <a:solidFill>
                                    <a:srgbClr val="000000"/>
                                  </a:solidFill>
                                  <a:prstDash val="dash"/>
                                  <a:round/>
                                </a:ln>
                                <a:effectLst/>
                              </wps:spPr>
                              <wps:bodyPr/>
                            </wps:wsp>
                            <wps:wsp>
                              <wps:cNvPr id="1086" name="直线 440"/>
                              <wps:cNvCnPr>
                                <a:cxnSpLocks noChangeShapeType="1"/>
                                <a:endCxn id="1082" idx="0"/>
                              </wps:cNvCnPr>
                              <wps:spPr bwMode="auto">
                                <a:xfrm>
                                  <a:off x="4542317" y="1784985"/>
                                  <a:ext cx="0" cy="229235"/>
                                </a:xfrm>
                                <a:prstGeom prst="line">
                                  <a:avLst/>
                                </a:prstGeom>
                                <a:noFill/>
                                <a:ln w="9525">
                                  <a:solidFill>
                                    <a:srgbClr val="000000"/>
                                  </a:solidFill>
                                  <a:prstDash val="dash"/>
                                  <a:round/>
                                </a:ln>
                                <a:effectLst/>
                              </wps:spPr>
                              <wps:bodyPr/>
                            </wps:wsp>
                            <wps:wsp>
                              <wps:cNvPr id="1087" name="直线 441"/>
                              <wps:cNvCnPr>
                                <a:cxnSpLocks noChangeShapeType="1"/>
                                <a:endCxn id="643" idx="2"/>
                              </wps:cNvCnPr>
                              <wps:spPr bwMode="auto">
                                <a:xfrm flipV="1">
                                  <a:off x="1626185" y="1361271"/>
                                  <a:ext cx="0" cy="416646"/>
                                </a:xfrm>
                                <a:prstGeom prst="line">
                                  <a:avLst/>
                                </a:prstGeom>
                                <a:noFill/>
                                <a:ln w="9525">
                                  <a:solidFill>
                                    <a:srgbClr val="000000"/>
                                  </a:solidFill>
                                  <a:prstDash val="dash"/>
                                  <a:round/>
                                  <a:tailEnd type="triangle" w="med" len="med"/>
                                </a:ln>
                                <a:effectLst/>
                              </wps:spPr>
                              <wps:bodyPr/>
                            </wps:wsp>
                            <wps:wsp>
                              <wps:cNvPr id="640" name="直线 442"/>
                              <wps:cNvCnPr>
                                <a:cxnSpLocks noChangeShapeType="1"/>
                                <a:endCxn id="644" idx="2"/>
                              </wps:cNvCnPr>
                              <wps:spPr bwMode="auto">
                                <a:xfrm flipH="1" flipV="1">
                                  <a:off x="2597666" y="1363895"/>
                                  <a:ext cx="3953" cy="421090"/>
                                </a:xfrm>
                                <a:prstGeom prst="line">
                                  <a:avLst/>
                                </a:prstGeom>
                                <a:noFill/>
                                <a:ln w="9525">
                                  <a:solidFill>
                                    <a:srgbClr val="000000"/>
                                  </a:solidFill>
                                  <a:prstDash val="dash"/>
                                  <a:round/>
                                  <a:tailEnd type="triangle" w="med" len="med"/>
                                </a:ln>
                                <a:effectLst/>
                              </wps:spPr>
                              <wps:bodyPr/>
                            </wps:wsp>
                            <wps:wsp>
                              <wps:cNvPr id="641" name="直线 443"/>
                              <wps:cNvCnPr>
                                <a:cxnSpLocks noChangeShapeType="1"/>
                                <a:endCxn id="645" idx="2"/>
                              </wps:cNvCnPr>
                              <wps:spPr bwMode="auto">
                                <a:xfrm flipH="1" flipV="1">
                                  <a:off x="3515307" y="1362625"/>
                                  <a:ext cx="398" cy="417280"/>
                                </a:xfrm>
                                <a:prstGeom prst="line">
                                  <a:avLst/>
                                </a:prstGeom>
                                <a:noFill/>
                                <a:ln w="9525">
                                  <a:solidFill>
                                    <a:srgbClr val="000000"/>
                                  </a:solidFill>
                                  <a:prstDash val="dash"/>
                                  <a:round/>
                                  <a:tailEnd type="triangle" w="med" len="med"/>
                                </a:ln>
                                <a:effectLst/>
                              </wps:spPr>
                              <wps:bodyPr/>
                            </wps:wsp>
                            <wps:wsp>
                              <wps:cNvPr id="642" name="直线 444"/>
                              <wps:cNvCnPr>
                                <a:cxnSpLocks noChangeShapeType="1"/>
                                <a:endCxn id="646" idx="2"/>
                              </wps:cNvCnPr>
                              <wps:spPr bwMode="auto">
                                <a:xfrm flipV="1">
                                  <a:off x="4542317" y="1362625"/>
                                  <a:ext cx="1379" cy="416646"/>
                                </a:xfrm>
                                <a:prstGeom prst="line">
                                  <a:avLst/>
                                </a:prstGeom>
                                <a:noFill/>
                                <a:ln w="9525">
                                  <a:solidFill>
                                    <a:srgbClr val="000000"/>
                                  </a:solidFill>
                                  <a:prstDash val="dash"/>
                                  <a:round/>
                                  <a:tailEnd type="triangle" w="med" len="med"/>
                                </a:ln>
                                <a:effectLst/>
                              </wps:spPr>
                              <wps:bodyPr/>
                            </wps:wsp>
                            <wps:wsp>
                              <wps:cNvPr id="643" name="文本框 445"/>
                              <wps:cNvSpPr txBox="1">
                                <a:spLocks noChangeArrowheads="1"/>
                              </wps:cNvSpPr>
                              <wps:spPr bwMode="auto">
                                <a:xfrm>
                                  <a:off x="1194185" y="1087671"/>
                                  <a:ext cx="864000" cy="273600"/>
                                </a:xfrm>
                                <a:prstGeom prst="rect">
                                  <a:avLst/>
                                </a:prstGeom>
                                <a:solidFill>
                                  <a:srgbClr val="FFFFFF"/>
                                </a:solidFill>
                                <a:ln w="6350">
                                  <a:solidFill>
                                    <a:srgbClr val="000000"/>
                                  </a:solidFill>
                                  <a:prstDash val="sysDot"/>
                                  <a:miter lim="800000"/>
                                </a:ln>
                                <a:effectLst/>
                              </wps:spPr>
                              <wps:txbx>
                                <w:txbxContent>
                                  <w:p>
                                    <w:pPr>
                                      <w:pStyle w:val="5"/>
                                      <w:tabs>
                                        <w:tab w:val="left" w:pos="0"/>
                                      </w:tabs>
                                      <w:jc w:val="center"/>
                                      <w:rPr>
                                        <w:sz w:val="21"/>
                                        <w:szCs w:val="21"/>
                                      </w:rPr>
                                    </w:pPr>
                                    <w:r>
                                      <w:rPr>
                                        <w:rFonts w:hint="eastAsia"/>
                                        <w:sz w:val="21"/>
                                        <w:szCs w:val="21"/>
                                      </w:rPr>
                                      <w:t>扬尘、废气</w:t>
                                    </w:r>
                                  </w:p>
                                </w:txbxContent>
                              </wps:txbx>
                              <wps:bodyPr rot="0" vert="horz" wrap="square" lIns="91440" tIns="45720" rIns="91440" bIns="45720" anchor="t" anchorCtr="0" upright="1">
                                <a:noAutofit/>
                              </wps:bodyPr>
                            </wps:wsp>
                            <wps:wsp>
                              <wps:cNvPr id="644" name="文本框 446"/>
                              <wps:cNvSpPr txBox="1">
                                <a:spLocks noChangeArrowheads="1"/>
                              </wps:cNvSpPr>
                              <wps:spPr bwMode="auto">
                                <a:xfrm>
                                  <a:off x="2219666" y="1090295"/>
                                  <a:ext cx="756000" cy="273600"/>
                                </a:xfrm>
                                <a:prstGeom prst="rect">
                                  <a:avLst/>
                                </a:prstGeom>
                                <a:solidFill>
                                  <a:srgbClr val="FFFFFF"/>
                                </a:solidFill>
                                <a:ln w="6350">
                                  <a:solidFill>
                                    <a:srgbClr val="000000"/>
                                  </a:solidFill>
                                  <a:prstDash val="sysDot"/>
                                  <a:miter lim="800000"/>
                                </a:ln>
                                <a:effectLst/>
                              </wps:spPr>
                              <wps:txbx>
                                <w:txbxContent>
                                  <w:p>
                                    <w:pPr>
                                      <w:pStyle w:val="5"/>
                                      <w:tabs>
                                        <w:tab w:val="left" w:pos="0"/>
                                      </w:tabs>
                                      <w:jc w:val="center"/>
                                      <w:rPr>
                                        <w:sz w:val="21"/>
                                        <w:szCs w:val="21"/>
                                      </w:rPr>
                                    </w:pPr>
                                    <w:r>
                                      <w:rPr>
                                        <w:rFonts w:hint="eastAsia"/>
                                        <w:sz w:val="21"/>
                                        <w:szCs w:val="21"/>
                                      </w:rPr>
                                      <w:t>建筑废水</w:t>
                                    </w:r>
                                  </w:p>
                                </w:txbxContent>
                              </wps:txbx>
                              <wps:bodyPr rot="0" vert="horz" wrap="square" lIns="91440" tIns="45720" rIns="91440" bIns="45720" anchor="t" anchorCtr="0" upright="1">
                                <a:noAutofit/>
                              </wps:bodyPr>
                            </wps:wsp>
                            <wps:wsp>
                              <wps:cNvPr id="645" name="文本框 447"/>
                              <wps:cNvSpPr txBox="1">
                                <a:spLocks noChangeArrowheads="1"/>
                              </wps:cNvSpPr>
                              <wps:spPr bwMode="auto">
                                <a:xfrm>
                                  <a:off x="3137164" y="1089025"/>
                                  <a:ext cx="756285" cy="273600"/>
                                </a:xfrm>
                                <a:prstGeom prst="rect">
                                  <a:avLst/>
                                </a:prstGeom>
                                <a:solidFill>
                                  <a:srgbClr val="FFFFFF"/>
                                </a:solidFill>
                                <a:ln w="6350">
                                  <a:solidFill>
                                    <a:srgbClr val="000000"/>
                                  </a:solidFill>
                                  <a:prstDash val="sysDot"/>
                                  <a:miter lim="800000"/>
                                </a:ln>
                                <a:effectLst/>
                              </wps:spPr>
                              <wps:txbx>
                                <w:txbxContent>
                                  <w:p>
                                    <w:pPr>
                                      <w:pStyle w:val="5"/>
                                      <w:tabs>
                                        <w:tab w:val="left" w:pos="0"/>
                                      </w:tabs>
                                      <w:jc w:val="center"/>
                                      <w:rPr>
                                        <w:sz w:val="21"/>
                                        <w:szCs w:val="21"/>
                                      </w:rPr>
                                    </w:pPr>
                                    <w:r>
                                      <w:rPr>
                                        <w:rFonts w:hint="eastAsia"/>
                                        <w:sz w:val="21"/>
                                        <w:szCs w:val="21"/>
                                      </w:rPr>
                                      <w:t>生活污水</w:t>
                                    </w:r>
                                  </w:p>
                                </w:txbxContent>
                              </wps:txbx>
                              <wps:bodyPr rot="0" vert="horz" wrap="square" lIns="91440" tIns="45720" rIns="91440" bIns="45720" anchor="t" anchorCtr="0">
                                <a:noAutofit/>
                              </wps:bodyPr>
                            </wps:wsp>
                            <wps:wsp>
                              <wps:cNvPr id="646" name="文本框 448"/>
                              <wps:cNvSpPr txBox="1">
                                <a:spLocks noChangeArrowheads="1"/>
                              </wps:cNvSpPr>
                              <wps:spPr bwMode="auto">
                                <a:xfrm>
                                  <a:off x="4039696" y="1089025"/>
                                  <a:ext cx="1008000" cy="273600"/>
                                </a:xfrm>
                                <a:prstGeom prst="rect">
                                  <a:avLst/>
                                </a:prstGeom>
                                <a:solidFill>
                                  <a:srgbClr val="FFFFFF"/>
                                </a:solidFill>
                                <a:ln w="6350">
                                  <a:solidFill>
                                    <a:srgbClr val="000000"/>
                                  </a:solidFill>
                                  <a:prstDash val="sysDot"/>
                                  <a:miter lim="800000"/>
                                </a:ln>
                                <a:effectLst/>
                              </wps:spPr>
                              <wps:txbx>
                                <w:txbxContent>
                                  <w:p>
                                    <w:pPr>
                                      <w:pStyle w:val="5"/>
                                      <w:tabs>
                                        <w:tab w:val="left" w:pos="0"/>
                                      </w:tabs>
                                      <w:rPr>
                                        <w:sz w:val="21"/>
                                        <w:szCs w:val="21"/>
                                      </w:rPr>
                                    </w:pPr>
                                    <w:r>
                                      <w:rPr>
                                        <w:rFonts w:hint="eastAsia"/>
                                        <w:sz w:val="21"/>
                                        <w:szCs w:val="21"/>
                                      </w:rPr>
                                      <w:t>少量建筑垃圾</w:t>
                                    </w:r>
                                  </w:p>
                                </w:txbxContent>
                              </wps:txbx>
                              <wps:bodyPr rot="0" vert="horz" wrap="square" lIns="91440" tIns="45720" rIns="91440" bIns="45720" anchor="t" anchorCtr="0" upright="1">
                                <a:noAutofit/>
                              </wps:bodyPr>
                            </wps:wsp>
                            <wps:wsp>
                              <wps:cNvPr id="647" name="直线 449"/>
                              <wps:cNvCnPr>
                                <a:cxnSpLocks noChangeShapeType="1"/>
                                <a:stCxn id="643" idx="0"/>
                                <a:endCxn id="648" idx="2"/>
                              </wps:cNvCnPr>
                              <wps:spPr bwMode="auto">
                                <a:xfrm flipV="1">
                                  <a:off x="1626185" y="761201"/>
                                  <a:ext cx="502" cy="326470"/>
                                </a:xfrm>
                                <a:prstGeom prst="line">
                                  <a:avLst/>
                                </a:prstGeom>
                                <a:noFill/>
                                <a:ln w="9525">
                                  <a:solidFill>
                                    <a:srgbClr val="000000"/>
                                  </a:solidFill>
                                  <a:round/>
                                  <a:tailEnd type="triangle" w="med" len="med"/>
                                </a:ln>
                                <a:effectLst/>
                              </wps:spPr>
                              <wps:bodyPr/>
                            </wps:wsp>
                            <wps:wsp>
                              <wps:cNvPr id="648" name="矩形 450"/>
                              <wps:cNvSpPr>
                                <a:spLocks noChangeArrowheads="1"/>
                              </wps:cNvSpPr>
                              <wps:spPr bwMode="auto">
                                <a:xfrm>
                                  <a:off x="1248687" y="487601"/>
                                  <a:ext cx="756000" cy="273600"/>
                                </a:xfrm>
                                <a:prstGeom prst="rect">
                                  <a:avLst/>
                                </a:prstGeom>
                                <a:solidFill>
                                  <a:srgbClr val="FFFFFF"/>
                                </a:solidFill>
                                <a:ln w="9525">
                                  <a:solidFill>
                                    <a:srgbClr val="000000"/>
                                  </a:solidFill>
                                  <a:miter lim="800000"/>
                                </a:ln>
                                <a:effectLst/>
                              </wps:spPr>
                              <wps:txbx>
                                <w:txbxContent>
                                  <w:p>
                                    <w:pPr>
                                      <w:pStyle w:val="5"/>
                                      <w:tabs>
                                        <w:tab w:val="left" w:pos="0"/>
                                      </w:tabs>
                                      <w:rPr>
                                        <w:sz w:val="21"/>
                                        <w:szCs w:val="21"/>
                                      </w:rPr>
                                    </w:pPr>
                                    <w:r>
                                      <w:rPr>
                                        <w:rFonts w:hint="eastAsia"/>
                                        <w:sz w:val="21"/>
                                        <w:szCs w:val="21"/>
                                      </w:rPr>
                                      <w:t>大气环境</w:t>
                                    </w:r>
                                  </w:p>
                                </w:txbxContent>
                              </wps:txbx>
                              <wps:bodyPr rot="0" vert="horz" wrap="square" lIns="91440" tIns="45720" rIns="91440" bIns="45720" anchor="t" anchorCtr="0" upright="1">
                                <a:noAutofit/>
                              </wps:bodyPr>
                            </wps:wsp>
                            <wps:wsp>
                              <wps:cNvPr id="649" name="直线 451"/>
                              <wps:cNvCnPr>
                                <a:cxnSpLocks noChangeShapeType="1"/>
                                <a:stCxn id="644" idx="0"/>
                                <a:endCxn id="650" idx="2"/>
                              </wps:cNvCnPr>
                              <wps:spPr bwMode="auto">
                                <a:xfrm flipV="1">
                                  <a:off x="2597666" y="762555"/>
                                  <a:ext cx="0" cy="327740"/>
                                </a:xfrm>
                                <a:prstGeom prst="line">
                                  <a:avLst/>
                                </a:prstGeom>
                                <a:noFill/>
                                <a:ln w="9525">
                                  <a:solidFill>
                                    <a:srgbClr val="000000"/>
                                  </a:solidFill>
                                  <a:round/>
                                  <a:tailEnd type="triangle" w="med" len="med"/>
                                </a:ln>
                                <a:effectLst/>
                              </wps:spPr>
                              <wps:bodyPr/>
                            </wps:wsp>
                            <wps:wsp>
                              <wps:cNvPr id="650" name="矩形 452"/>
                              <wps:cNvSpPr>
                                <a:spLocks noChangeArrowheads="1"/>
                              </wps:cNvSpPr>
                              <wps:spPr bwMode="auto">
                                <a:xfrm>
                                  <a:off x="2219666" y="488871"/>
                                  <a:ext cx="756000" cy="273684"/>
                                </a:xfrm>
                                <a:prstGeom prst="rect">
                                  <a:avLst/>
                                </a:prstGeom>
                                <a:solidFill>
                                  <a:srgbClr val="FFFFFF"/>
                                </a:solidFill>
                                <a:ln w="9525">
                                  <a:solidFill>
                                    <a:srgbClr val="000000"/>
                                  </a:solidFill>
                                  <a:miter lim="800000"/>
                                </a:ln>
                                <a:effectLst/>
                              </wps:spPr>
                              <wps:txbx>
                                <w:txbxContent>
                                  <w:p>
                                    <w:pPr>
                                      <w:ind w:firstLine="105" w:firstLineChars="50"/>
                                      <w:rPr>
                                        <w:szCs w:val="21"/>
                                      </w:rPr>
                                    </w:pPr>
                                    <w:r>
                                      <w:rPr>
                                        <w:rFonts w:hint="eastAsia"/>
                                        <w:szCs w:val="21"/>
                                      </w:rPr>
                                      <w:t>沉淀池</w:t>
                                    </w:r>
                                  </w:p>
                                </w:txbxContent>
                              </wps:txbx>
                              <wps:bodyPr rot="0" vert="horz" wrap="square" lIns="91440" tIns="45720" rIns="91440" bIns="45720" anchor="t" anchorCtr="0" upright="1">
                                <a:spAutoFit/>
                              </wps:bodyPr>
                            </wps:wsp>
                            <wps:wsp>
                              <wps:cNvPr id="651" name="直线 454"/>
                              <wps:cNvCnPr>
                                <a:cxnSpLocks noChangeShapeType="1"/>
                                <a:stCxn id="645" idx="0"/>
                              </wps:cNvCnPr>
                              <wps:spPr bwMode="auto">
                                <a:xfrm flipV="1">
                                  <a:off x="3515307" y="761285"/>
                                  <a:ext cx="398" cy="327740"/>
                                </a:xfrm>
                                <a:prstGeom prst="line">
                                  <a:avLst/>
                                </a:prstGeom>
                                <a:noFill/>
                                <a:ln w="9525">
                                  <a:solidFill>
                                    <a:srgbClr val="000000"/>
                                  </a:solidFill>
                                  <a:round/>
                                  <a:tailEnd type="triangle" w="med" len="med"/>
                                </a:ln>
                                <a:effectLst/>
                              </wps:spPr>
                              <wps:bodyPr/>
                            </wps:wsp>
                            <wps:wsp>
                              <wps:cNvPr id="654" name="直线 457"/>
                              <wps:cNvCnPr>
                                <a:cxnSpLocks noChangeShapeType="1"/>
                                <a:stCxn id="646" idx="0"/>
                              </wps:cNvCnPr>
                              <wps:spPr bwMode="auto">
                                <a:xfrm flipH="1" flipV="1">
                                  <a:off x="4542317" y="762555"/>
                                  <a:ext cx="1379" cy="326470"/>
                                </a:xfrm>
                                <a:prstGeom prst="line">
                                  <a:avLst/>
                                </a:prstGeom>
                                <a:noFill/>
                                <a:ln w="9525">
                                  <a:solidFill>
                                    <a:srgbClr val="000000"/>
                                  </a:solidFill>
                                  <a:round/>
                                  <a:tailEnd type="triangle" w="med" len="med"/>
                                </a:ln>
                                <a:effectLst/>
                              </wps:spPr>
                              <wps:bodyPr/>
                            </wps:wsp>
                            <wps:wsp>
                              <wps:cNvPr id="655" name="直线 458"/>
                              <wps:cNvCnPr>
                                <a:cxnSpLocks noChangeShapeType="1"/>
                                <a:stCxn id="1082" idx="2"/>
                                <a:endCxn id="1083" idx="0"/>
                              </wps:cNvCnPr>
                              <wps:spPr bwMode="auto">
                                <a:xfrm>
                                  <a:off x="4542317" y="2287820"/>
                                  <a:ext cx="0" cy="419820"/>
                                </a:xfrm>
                                <a:prstGeom prst="line">
                                  <a:avLst/>
                                </a:prstGeom>
                                <a:noFill/>
                                <a:ln w="28575">
                                  <a:solidFill>
                                    <a:srgbClr val="000000"/>
                                  </a:solidFill>
                                  <a:round/>
                                  <a:tailEnd type="triangle" w="med" len="med"/>
                                </a:ln>
                                <a:effectLst/>
                              </wps:spPr>
                              <wps:bodyPr/>
                            </wps:wsp>
                            <wps:wsp>
                              <wps:cNvPr id="656" name="直线 459"/>
                              <wps:cNvCnPr>
                                <a:cxnSpLocks noChangeShapeType="1"/>
                                <a:stCxn id="1080" idx="0"/>
                              </wps:cNvCnPr>
                              <wps:spPr bwMode="auto">
                                <a:xfrm flipV="1">
                                  <a:off x="3237405" y="1779271"/>
                                  <a:ext cx="0" cy="234949"/>
                                </a:xfrm>
                                <a:prstGeom prst="line">
                                  <a:avLst/>
                                </a:prstGeom>
                                <a:noFill/>
                                <a:ln w="9525">
                                  <a:solidFill>
                                    <a:srgbClr val="000000"/>
                                  </a:solidFill>
                                  <a:prstDash val="dash"/>
                                  <a:round/>
                                </a:ln>
                                <a:effectLst/>
                              </wps:spPr>
                              <wps:bodyPr/>
                            </wps:wsp>
                            <wps:wsp>
                              <wps:cNvPr id="657" name="矩形 461"/>
                              <wps:cNvSpPr>
                                <a:spLocks noChangeArrowheads="1"/>
                              </wps:cNvSpPr>
                              <wps:spPr bwMode="auto">
                                <a:xfrm>
                                  <a:off x="285637" y="2014220"/>
                                  <a:ext cx="756000" cy="273600"/>
                                </a:xfrm>
                                <a:prstGeom prst="rect">
                                  <a:avLst/>
                                </a:prstGeom>
                                <a:solidFill>
                                  <a:srgbClr val="969696"/>
                                </a:solidFill>
                                <a:ln w="9525">
                                  <a:solidFill>
                                    <a:srgbClr val="000000"/>
                                  </a:solidFill>
                                  <a:miter lim="800000"/>
                                </a:ln>
                                <a:effectLst/>
                              </wps:spPr>
                              <wps:txbx>
                                <w:txbxContent>
                                  <w:p>
                                    <w:pPr>
                                      <w:pStyle w:val="5"/>
                                      <w:tabs>
                                        <w:tab w:val="left" w:pos="0"/>
                                      </w:tabs>
                                      <w:jc w:val="center"/>
                                      <w:rPr>
                                        <w:sz w:val="21"/>
                                        <w:szCs w:val="21"/>
                                      </w:rPr>
                                    </w:pPr>
                                    <w:r>
                                      <w:rPr>
                                        <w:rFonts w:hint="eastAsia"/>
                                        <w:sz w:val="21"/>
                                        <w:szCs w:val="21"/>
                                      </w:rPr>
                                      <w:t>基础工程</w:t>
                                    </w:r>
                                  </w:p>
                                </w:txbxContent>
                              </wps:txbx>
                              <wps:bodyPr rot="0" vert="horz" wrap="square" lIns="91440" tIns="45720" rIns="91440" bIns="45720" anchor="t" anchorCtr="0" upright="1">
                                <a:noAutofit/>
                              </wps:bodyPr>
                            </wps:wsp>
                            <wps:wsp>
                              <wps:cNvPr id="658" name="直线 462"/>
                              <wps:cNvCnPr>
                                <a:cxnSpLocks noChangeShapeType="1"/>
                                <a:stCxn id="657" idx="0"/>
                              </wps:cNvCnPr>
                              <wps:spPr bwMode="auto">
                                <a:xfrm flipV="1">
                                  <a:off x="663637" y="1781174"/>
                                  <a:ext cx="0" cy="233046"/>
                                </a:xfrm>
                                <a:prstGeom prst="line">
                                  <a:avLst/>
                                </a:prstGeom>
                                <a:noFill/>
                                <a:ln w="9525">
                                  <a:solidFill>
                                    <a:srgbClr val="000000"/>
                                  </a:solidFill>
                                  <a:prstDash val="dash"/>
                                  <a:round/>
                                </a:ln>
                                <a:effectLst/>
                              </wps:spPr>
                              <wps:bodyPr/>
                            </wps:wsp>
                            <wps:wsp>
                              <wps:cNvPr id="659" name="直线 463"/>
                              <wps:cNvCnPr>
                                <a:cxnSpLocks noChangeShapeType="1"/>
                                <a:endCxn id="660" idx="2"/>
                              </wps:cNvCnPr>
                              <wps:spPr bwMode="auto">
                                <a:xfrm flipV="1">
                                  <a:off x="663637" y="1365164"/>
                                  <a:ext cx="0" cy="416010"/>
                                </a:xfrm>
                                <a:prstGeom prst="line">
                                  <a:avLst/>
                                </a:prstGeom>
                                <a:noFill/>
                                <a:ln w="9525">
                                  <a:solidFill>
                                    <a:srgbClr val="000000"/>
                                  </a:solidFill>
                                  <a:prstDash val="dash"/>
                                  <a:round/>
                                  <a:tailEnd type="triangle" w="med" len="med"/>
                                </a:ln>
                                <a:effectLst/>
                              </wps:spPr>
                              <wps:bodyPr/>
                            </wps:wsp>
                            <wps:wsp>
                              <wps:cNvPr id="660" name="文本框 464"/>
                              <wps:cNvSpPr txBox="1">
                                <a:spLocks noChangeArrowheads="1"/>
                              </wps:cNvSpPr>
                              <wps:spPr bwMode="auto">
                                <a:xfrm>
                                  <a:off x="285637" y="1091564"/>
                                  <a:ext cx="756000" cy="273600"/>
                                </a:xfrm>
                                <a:prstGeom prst="rect">
                                  <a:avLst/>
                                </a:prstGeom>
                                <a:solidFill>
                                  <a:srgbClr val="FFFFFF"/>
                                </a:solidFill>
                                <a:ln w="6350">
                                  <a:solidFill>
                                    <a:srgbClr val="000000"/>
                                  </a:solidFill>
                                  <a:prstDash val="sysDot"/>
                                  <a:miter lim="800000"/>
                                </a:ln>
                                <a:effectLst/>
                              </wps:spPr>
                              <wps:txbx>
                                <w:txbxContent>
                                  <w:p>
                                    <w:pPr>
                                      <w:jc w:val="center"/>
                                      <w:rPr>
                                        <w:szCs w:val="21"/>
                                      </w:rPr>
                                    </w:pPr>
                                    <w:r>
                                      <w:rPr>
                                        <w:rFonts w:hint="eastAsia"/>
                                        <w:szCs w:val="21"/>
                                      </w:rPr>
                                      <w:t>噪声</w:t>
                                    </w:r>
                                  </w:p>
                                </w:txbxContent>
                              </wps:txbx>
                              <wps:bodyPr rot="0" vert="horz" wrap="square" lIns="91440" tIns="45720" rIns="91440" bIns="45720" anchor="t" anchorCtr="0" upright="1">
                                <a:noAutofit/>
                              </wps:bodyPr>
                            </wps:wsp>
                            <wps:wsp>
                              <wps:cNvPr id="661" name="直线 465"/>
                              <wps:cNvCnPr>
                                <a:cxnSpLocks noChangeShapeType="1"/>
                                <a:stCxn id="660" idx="0"/>
                                <a:endCxn id="662" idx="2"/>
                              </wps:cNvCnPr>
                              <wps:spPr bwMode="auto">
                                <a:xfrm flipV="1">
                                  <a:off x="663637" y="763105"/>
                                  <a:ext cx="0" cy="328459"/>
                                </a:xfrm>
                                <a:prstGeom prst="line">
                                  <a:avLst/>
                                </a:prstGeom>
                                <a:noFill/>
                                <a:ln w="9525">
                                  <a:solidFill>
                                    <a:srgbClr val="000000"/>
                                  </a:solidFill>
                                  <a:round/>
                                  <a:tailEnd type="triangle" w="med" len="med"/>
                                </a:ln>
                                <a:effectLst/>
                              </wps:spPr>
                              <wps:bodyPr/>
                            </wps:wsp>
                            <wps:wsp>
                              <wps:cNvPr id="662" name="矩形 466"/>
                              <wps:cNvSpPr>
                                <a:spLocks noChangeArrowheads="1"/>
                              </wps:cNvSpPr>
                              <wps:spPr bwMode="auto">
                                <a:xfrm>
                                  <a:off x="285637" y="489505"/>
                                  <a:ext cx="756000" cy="273600"/>
                                </a:xfrm>
                                <a:prstGeom prst="rect">
                                  <a:avLst/>
                                </a:prstGeom>
                                <a:solidFill>
                                  <a:srgbClr val="FFFFFF"/>
                                </a:solidFill>
                                <a:ln w="9525">
                                  <a:solidFill>
                                    <a:srgbClr val="000000"/>
                                  </a:solidFill>
                                  <a:miter lim="800000"/>
                                </a:ln>
                                <a:effectLst/>
                              </wps:spPr>
                              <wps:txbx>
                                <w:txbxContent>
                                  <w:p>
                                    <w:pPr>
                                      <w:jc w:val="center"/>
                                      <w:rPr>
                                        <w:szCs w:val="21"/>
                                      </w:rPr>
                                    </w:pPr>
                                    <w:r>
                                      <w:rPr>
                                        <w:rFonts w:hint="eastAsia"/>
                                        <w:szCs w:val="21"/>
                                      </w:rPr>
                                      <w:t>声环境</w:t>
                                    </w:r>
                                  </w:p>
                                </w:txbxContent>
                              </wps:txbx>
                              <wps:bodyPr rot="0" vert="horz" wrap="square" lIns="91440" tIns="45720" rIns="91440" bIns="45720" anchor="t" anchorCtr="0" upright="1">
                                <a:noAutofit/>
                              </wps:bodyPr>
                            </wps:wsp>
                            <wps:wsp>
                              <wps:cNvPr id="663" name="直线 467"/>
                              <wps:cNvCnPr>
                                <a:cxnSpLocks noChangeShapeType="1"/>
                                <a:stCxn id="657" idx="2"/>
                                <a:endCxn id="664" idx="0"/>
                              </wps:cNvCnPr>
                              <wps:spPr bwMode="auto">
                                <a:xfrm>
                                  <a:off x="663637" y="2287820"/>
                                  <a:ext cx="0" cy="235670"/>
                                </a:xfrm>
                                <a:prstGeom prst="line">
                                  <a:avLst/>
                                </a:prstGeom>
                                <a:noFill/>
                                <a:ln w="9525">
                                  <a:solidFill>
                                    <a:srgbClr val="000000"/>
                                  </a:solidFill>
                                  <a:prstDash val="dash"/>
                                  <a:round/>
                                  <a:tailEnd type="triangle" w="med" len="med"/>
                                </a:ln>
                                <a:effectLst/>
                              </wps:spPr>
                              <wps:bodyPr/>
                            </wps:wsp>
                            <wps:wsp>
                              <wps:cNvPr id="664" name="文本框 468"/>
                              <wps:cNvSpPr txBox="1">
                                <a:spLocks noChangeArrowheads="1"/>
                              </wps:cNvSpPr>
                              <wps:spPr bwMode="auto">
                                <a:xfrm>
                                  <a:off x="285637" y="2523490"/>
                                  <a:ext cx="756000" cy="273600"/>
                                </a:xfrm>
                                <a:prstGeom prst="rect">
                                  <a:avLst/>
                                </a:prstGeom>
                                <a:solidFill>
                                  <a:srgbClr val="FFFFFF"/>
                                </a:solidFill>
                                <a:ln w="6350">
                                  <a:solidFill>
                                    <a:srgbClr val="000000"/>
                                  </a:solidFill>
                                  <a:prstDash val="sysDot"/>
                                  <a:miter lim="800000"/>
                                </a:ln>
                                <a:effectLst/>
                              </wps:spPr>
                              <wps:txbx>
                                <w:txbxContent>
                                  <w:p>
                                    <w:pPr>
                                      <w:pStyle w:val="5"/>
                                      <w:tabs>
                                        <w:tab w:val="left" w:pos="0"/>
                                      </w:tabs>
                                      <w:jc w:val="center"/>
                                      <w:rPr>
                                        <w:sz w:val="21"/>
                                        <w:szCs w:val="21"/>
                                      </w:rPr>
                                    </w:pPr>
                                    <w:r>
                                      <w:rPr>
                                        <w:rFonts w:hint="eastAsia"/>
                                        <w:sz w:val="21"/>
                                        <w:szCs w:val="21"/>
                                      </w:rPr>
                                      <w:t>建筑弃土</w:t>
                                    </w:r>
                                  </w:p>
                                </w:txbxContent>
                              </wps:txbx>
                              <wps:bodyPr rot="0" vert="horz" wrap="square" lIns="91440" tIns="45720" rIns="91440" bIns="45720" anchor="t" anchorCtr="0" upright="1">
                                <a:noAutofit/>
                              </wps:bodyPr>
                            </wps:wsp>
                            <wps:wsp>
                              <wps:cNvPr id="666" name="矩形 470"/>
                              <wps:cNvSpPr>
                                <a:spLocks noChangeArrowheads="1"/>
                              </wps:cNvSpPr>
                              <wps:spPr bwMode="auto">
                                <a:xfrm>
                                  <a:off x="20955" y="3044825"/>
                                  <a:ext cx="1283335" cy="297180"/>
                                </a:xfrm>
                                <a:prstGeom prst="rect">
                                  <a:avLst/>
                                </a:prstGeom>
                                <a:solidFill>
                                  <a:srgbClr val="FFFFFF"/>
                                </a:solidFill>
                                <a:ln>
                                  <a:noFill/>
                                </a:ln>
                                <a:effectLst/>
                              </wps:spPr>
                              <wps:txbx>
                                <w:txbxContent>
                                  <w:p>
                                    <w:pPr>
                                      <w:jc w:val="center"/>
                                      <w:rPr>
                                        <w:szCs w:val="21"/>
                                      </w:rPr>
                                    </w:pPr>
                                    <w:r>
                                      <w:rPr>
                                        <w:rFonts w:hint="eastAsia"/>
                                        <w:szCs w:val="21"/>
                                      </w:rPr>
                                      <w:t>用于填筑</w:t>
                                    </w:r>
                                    <w:r>
                                      <w:rPr>
                                        <w:szCs w:val="21"/>
                                      </w:rPr>
                                      <w:t>设备基础</w:t>
                                    </w:r>
                                  </w:p>
                                  <w:p>
                                    <w:pPr>
                                      <w:ind w:firstLine="420"/>
                                      <w:jc w:val="center"/>
                                      <w:rPr>
                                        <w:szCs w:val="21"/>
                                      </w:rPr>
                                    </w:pPr>
                                  </w:p>
                                </w:txbxContent>
                              </wps:txbx>
                              <wps:bodyPr rot="0" vert="horz" wrap="square" lIns="91440" tIns="45720" rIns="91440" bIns="45720" anchor="t" anchorCtr="0" upright="1">
                                <a:noAutofit/>
                              </wps:bodyPr>
                            </wps:wsp>
                            <wps:wsp>
                              <wps:cNvPr id="667" name="直线 471"/>
                              <wps:cNvCnPr>
                                <a:cxnSpLocks noChangeShapeType="1"/>
                                <a:stCxn id="666" idx="2"/>
                                <a:endCxn id="668" idx="0"/>
                              </wps:cNvCnPr>
                              <wps:spPr bwMode="auto">
                                <a:xfrm>
                                  <a:off x="662623" y="3342005"/>
                                  <a:ext cx="1014" cy="231140"/>
                                </a:xfrm>
                                <a:prstGeom prst="line">
                                  <a:avLst/>
                                </a:prstGeom>
                                <a:noFill/>
                                <a:ln w="9525">
                                  <a:solidFill>
                                    <a:srgbClr val="000000"/>
                                  </a:solidFill>
                                  <a:round/>
                                  <a:tailEnd type="triangle" w="med" len="med"/>
                                </a:ln>
                                <a:effectLst/>
                              </wps:spPr>
                              <wps:bodyPr/>
                            </wps:wsp>
                            <wps:wsp>
                              <wps:cNvPr id="668" name="文本框 472"/>
                              <wps:cNvSpPr txBox="1">
                                <a:spLocks noChangeArrowheads="1"/>
                              </wps:cNvSpPr>
                              <wps:spPr bwMode="auto">
                                <a:xfrm>
                                  <a:off x="285637" y="3573145"/>
                                  <a:ext cx="756000" cy="270510"/>
                                </a:xfrm>
                                <a:prstGeom prst="rect">
                                  <a:avLst/>
                                </a:prstGeom>
                                <a:solidFill>
                                  <a:srgbClr val="FFFFFF"/>
                                </a:solidFill>
                                <a:ln w="6350">
                                  <a:solidFill>
                                    <a:srgbClr val="000000"/>
                                  </a:solidFill>
                                  <a:prstDash val="sysDot"/>
                                  <a:miter lim="800000"/>
                                </a:ln>
                                <a:effectLst/>
                              </wps:spPr>
                              <wps:txbx>
                                <w:txbxContent>
                                  <w:p>
                                    <w:pPr>
                                      <w:jc w:val="center"/>
                                      <w:rPr>
                                        <w:szCs w:val="21"/>
                                      </w:rPr>
                                    </w:pPr>
                                    <w:r>
                                      <w:rPr>
                                        <w:rFonts w:hint="eastAsia"/>
                                        <w:szCs w:val="21"/>
                                      </w:rPr>
                                      <w:t>粉尘</w:t>
                                    </w:r>
                                  </w:p>
                                </w:txbxContent>
                              </wps:txbx>
                              <wps:bodyPr rot="0" vert="horz" wrap="square" lIns="91440" tIns="45720" rIns="91440" bIns="45720" anchor="t" anchorCtr="0" upright="1">
                                <a:spAutoFit/>
                              </wps:bodyPr>
                            </wps:wsp>
                            <wps:wsp>
                              <wps:cNvPr id="669" name="直线 473"/>
                              <wps:cNvCnPr>
                                <a:cxnSpLocks noChangeShapeType="1"/>
                                <a:stCxn id="657" idx="3"/>
                                <a:endCxn id="1078" idx="1"/>
                              </wps:cNvCnPr>
                              <wps:spPr bwMode="auto">
                                <a:xfrm>
                                  <a:off x="1041637" y="2151020"/>
                                  <a:ext cx="531893" cy="0"/>
                                </a:xfrm>
                                <a:prstGeom prst="line">
                                  <a:avLst/>
                                </a:prstGeom>
                                <a:noFill/>
                                <a:ln w="28575">
                                  <a:solidFill>
                                    <a:srgbClr val="000000"/>
                                  </a:solidFill>
                                  <a:round/>
                                  <a:tailEnd type="triangle" w="med" len="med"/>
                                </a:ln>
                                <a:effectLst/>
                              </wps:spPr>
                              <wps:bodyPr/>
                            </wps:wsp>
                            <wps:wsp>
                              <wps:cNvPr id="670" name="直线 474"/>
                              <wps:cNvCnPr>
                                <a:cxnSpLocks noChangeShapeType="1"/>
                                <a:stCxn id="668" idx="3"/>
                                <a:endCxn id="671" idx="1"/>
                              </wps:cNvCnPr>
                              <wps:spPr bwMode="auto">
                                <a:xfrm>
                                  <a:off x="1041637" y="3708400"/>
                                  <a:ext cx="418228" cy="1545"/>
                                </a:xfrm>
                                <a:prstGeom prst="line">
                                  <a:avLst/>
                                </a:prstGeom>
                                <a:noFill/>
                                <a:ln w="9525">
                                  <a:solidFill>
                                    <a:srgbClr val="000000"/>
                                  </a:solidFill>
                                  <a:round/>
                                  <a:tailEnd type="triangle" w="med" len="med"/>
                                </a:ln>
                                <a:effectLst/>
                              </wps:spPr>
                              <wps:bodyPr/>
                            </wps:wsp>
                            <wps:wsp>
                              <wps:cNvPr id="671" name="矩形 475"/>
                              <wps:cNvSpPr>
                                <a:spLocks noChangeArrowheads="1"/>
                              </wps:cNvSpPr>
                              <wps:spPr bwMode="auto">
                                <a:xfrm>
                                  <a:off x="1459865" y="3573145"/>
                                  <a:ext cx="756000" cy="273600"/>
                                </a:xfrm>
                                <a:prstGeom prst="rect">
                                  <a:avLst/>
                                </a:prstGeom>
                                <a:solidFill>
                                  <a:srgbClr val="FFFFFF"/>
                                </a:solidFill>
                                <a:ln w="9525">
                                  <a:solidFill>
                                    <a:srgbClr val="000000"/>
                                  </a:solidFill>
                                  <a:miter lim="800000"/>
                                </a:ln>
                                <a:effectLst/>
                              </wps:spPr>
                              <wps:txbx>
                                <w:txbxContent>
                                  <w:p>
                                    <w:pPr>
                                      <w:pStyle w:val="5"/>
                                      <w:tabs>
                                        <w:tab w:val="left" w:pos="0"/>
                                      </w:tabs>
                                      <w:jc w:val="center"/>
                                      <w:rPr>
                                        <w:sz w:val="21"/>
                                        <w:szCs w:val="21"/>
                                      </w:rPr>
                                    </w:pPr>
                                    <w:r>
                                      <w:rPr>
                                        <w:rFonts w:hint="eastAsia"/>
                                        <w:sz w:val="21"/>
                                        <w:szCs w:val="21"/>
                                      </w:rPr>
                                      <w:t>大气环境</w:t>
                                    </w:r>
                                  </w:p>
                                </w:txbxContent>
                              </wps:txbx>
                              <wps:bodyPr rot="0" vert="horz" wrap="square" lIns="91440" tIns="45720" rIns="91440" bIns="45720" anchor="t" anchorCtr="0" upright="1">
                                <a:noAutofit/>
                              </wps:bodyPr>
                            </wps:wsp>
                            <wps:wsp>
                              <wps:cNvPr id="672" name="直线 476"/>
                              <wps:cNvCnPr>
                                <a:cxnSpLocks noChangeShapeType="1"/>
                                <a:stCxn id="650" idx="0"/>
                              </wps:cNvCnPr>
                              <wps:spPr bwMode="auto">
                                <a:xfrm flipV="1">
                                  <a:off x="2597666" y="248889"/>
                                  <a:ext cx="0" cy="239982"/>
                                </a:xfrm>
                                <a:prstGeom prst="line">
                                  <a:avLst/>
                                </a:prstGeom>
                                <a:noFill/>
                                <a:ln w="9525">
                                  <a:solidFill>
                                    <a:srgbClr val="000000"/>
                                  </a:solidFill>
                                  <a:round/>
                                  <a:tailEnd type="triangle" w="med" len="med"/>
                                </a:ln>
                                <a:effectLst/>
                              </wps:spPr>
                              <wps:bodyPr/>
                            </wps:wsp>
                            <wps:wsp>
                              <wps:cNvPr id="673" name="Rectangle 451"/>
                              <wps:cNvSpPr>
                                <a:spLocks noChangeArrowheads="1"/>
                              </wps:cNvSpPr>
                              <wps:spPr bwMode="auto">
                                <a:xfrm>
                                  <a:off x="1080135" y="4037964"/>
                                  <a:ext cx="2971165" cy="286385"/>
                                </a:xfrm>
                                <a:prstGeom prst="rect">
                                  <a:avLst/>
                                </a:prstGeom>
                                <a:solidFill>
                                  <a:srgbClr val="FFFFFF"/>
                                </a:solidFill>
                                <a:ln>
                                  <a:noFill/>
                                </a:ln>
                              </wps:spPr>
                              <wps:txbx>
                                <w:txbxContent>
                                  <w:p>
                                    <w:pPr>
                                      <w:jc w:val="center"/>
                                      <w:rPr>
                                        <w:b/>
                                      </w:rPr>
                                    </w:pPr>
                                    <w:r>
                                      <w:rPr>
                                        <w:rFonts w:hint="eastAsia"/>
                                        <w:b/>
                                      </w:rPr>
                                      <w:t>图2-</w:t>
                                    </w:r>
                                    <w:r>
                                      <w:rPr>
                                        <w:b/>
                                      </w:rPr>
                                      <w:t xml:space="preserve">2 </w:t>
                                    </w:r>
                                    <w:r>
                                      <w:rPr>
                                        <w:rFonts w:hint="eastAsia"/>
                                        <w:b/>
                                      </w:rPr>
                                      <w:t>施工期工艺流程及产污图</w:t>
                                    </w:r>
                                  </w:p>
                                </w:txbxContent>
                              </wps:txbx>
                              <wps:bodyPr rot="0" vert="horz" wrap="square" lIns="91440" tIns="45720" rIns="91440" bIns="45720" anchor="t" anchorCtr="0" upright="1">
                                <a:noAutofit/>
                              </wps:bodyPr>
                            </wps:wsp>
                            <wps:wsp>
                              <wps:cNvPr id="665" name="直线 469"/>
                              <wps:cNvCnPr>
                                <a:cxnSpLocks noChangeShapeType="1"/>
                                <a:stCxn id="664" idx="2"/>
                                <a:endCxn id="666" idx="0"/>
                              </wps:cNvCnPr>
                              <wps:spPr bwMode="auto">
                                <a:xfrm flipH="1">
                                  <a:off x="662623" y="2797090"/>
                                  <a:ext cx="1014" cy="247735"/>
                                </a:xfrm>
                                <a:prstGeom prst="line">
                                  <a:avLst/>
                                </a:prstGeom>
                                <a:noFill/>
                                <a:ln w="9525">
                                  <a:solidFill>
                                    <a:srgbClr val="000000"/>
                                  </a:solidFill>
                                  <a:round/>
                                  <a:tailEnd type="triangle" w="med" len="med"/>
                                </a:ln>
                                <a:effectLst/>
                              </wps:spPr>
                              <wps:bodyPr/>
                            </wps:wsp>
                          </wpc:wpc>
                        </a:graphicData>
                      </a:graphic>
                    </wp:inline>
                  </w:drawing>
                </mc:Choice>
                <mc:Fallback>
                  <w:pict>
                    <v:group id="画布 427" o:spid="_x0000_s1026" o:spt="203" style="height:343.3pt;width:402.65pt;" coordsize="5113655,4359910" editas="canvas" o:gfxdata="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">
                      <o:lock v:ext="edit" aspectratio="f"/>
                      <v:shape id="画布 427" o:spid="_x0000_s1026" style="position:absolute;left:0;top:0;height:4359910;width:5113655;" filled="f" stroked="f" coordsize="21600,21600" o:gfxdata="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">
                        <v:fill on="f" focussize="0,0"/>
                        <v:stroke on="f"/>
                        <v:imagedata o:title=""/>
                        <o:lock v:ext="edit" aspectratio="t"/>
                      </v:shape>
                      <v:rect id="矩形 429" o:spid="_x0000_s1026" o:spt="1" style="position:absolute;left:4185433;top:362912;height:501015;width:734884;" fillcolor="#FFFFFF" filled="t" stroked="f" coordsize="21600,21600" o:gfxdata="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h8cp3UAAAABQEAAA8AAAAAAAAAAQAgAAAAIgAAAGRycy9kb3ducmV2Lnht&#10;bFBLAQIUABQAAAAIAIdO4kAR/bhQNgIAAE4EAAAOAAAAAAAAAAEAIAAAACMBAABkcnMvZTJvRG9j&#10;LnhtbFBLBQYAAAAABgAGAFkBAADLBQAAAAA=&#10;">
                        <v:fill on="t" focussize="0,0"/>
                        <v:stroke on="f"/>
                        <v:imagedata o:title=""/>
                        <o:lock v:ext="edit" aspectratio="f"/>
                        <v:textbox>
                          <w:txbxContent>
                            <w:p>
                              <w:pPr>
                                <w:rPr>
                                  <w:szCs w:val="21"/>
                                </w:rPr>
                              </w:pPr>
                              <w:r>
                                <w:rPr>
                                  <w:rFonts w:hint="eastAsia"/>
                                  <w:szCs w:val="21"/>
                                </w:rPr>
                                <w:t>建筑垃圾清运系统</w:t>
                              </w:r>
                            </w:p>
                          </w:txbxContent>
                        </v:textbox>
                      </v:rect>
                      <v:rect id="矩形 430" o:spid="_x0000_s1026" o:spt="1" style="position:absolute;left:2269178;top:16461;height:296545;width:685800;" fillcolor="#FFFFFF" filled="t" stroked="f" coordsize="21600,21600" o:gfxdata="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HxyndQAAAAFAQAADwAAAAAAAAABACAAAAAiAAAAZHJzL2Rvd25yZXYueG1s&#10;UEsBAhQAFAAAAAgAh07iQPhT36I1AgAATQQAAA4AAAAAAAAAAQAgAAAAIwEAAGRycy9lMm9Eb2Mu&#10;eG1sUEsFBgAAAAAGAAYAWQEAAMoFAAAAAA==&#10;">
                        <v:fill on="t" focussize="0,0"/>
                        <v:stroke on="f"/>
                        <v:imagedata o:title=""/>
                        <o:lock v:ext="edit" aspectratio="f"/>
                        <v:textbox>
                          <w:txbxContent>
                            <w:p>
                              <w:pPr>
                                <w:ind w:firstLine="105" w:firstLineChars="50"/>
                                <w:rPr>
                                  <w:szCs w:val="21"/>
                                </w:rPr>
                              </w:pPr>
                              <w:r>
                                <w:rPr>
                                  <w:rFonts w:hint="eastAsia"/>
                                  <w:szCs w:val="21"/>
                                </w:rPr>
                                <w:t>回 用</w:t>
                              </w:r>
                            </w:p>
                          </w:txbxContent>
                        </v:textbox>
                      </v:rect>
                      <v:rect id="矩形 431" o:spid="_x0000_s1026" o:spt="1" style="position:absolute;left:3070489;top:313006;height:448195;width:914136;" fillcolor="#FFFFFF" filled="t" stroked="f" coordsize="21600,21600" o:gfxdata="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h8cp3UAAAABQEAAA8AAAAAAAAAAQAgAAAAIgAAAGRycy9kb3ducmV2LnhtbFBL&#10;AQIUABQAAAAIAIdO4kDdNmXoMwIAAE4EAAAOAAAAAAAAAAEAIAAAACMBAABkcnMvZTJvRG9jLnht&#10;bFBLBQYAAAAABgAGAFkBAADIBQAAAAA=&#10;">
                        <v:fill on="t" focussize="0,0"/>
                        <v:stroke on="f"/>
                        <v:imagedata o:title=""/>
                        <o:lock v:ext="edit" aspectratio="f"/>
                        <v:textbox>
                          <w:txbxContent>
                            <w:p>
                              <w:pPr>
                                <w:pStyle w:val="5"/>
                                <w:tabs>
                                  <w:tab w:val="left" w:pos="0"/>
                                </w:tabs>
                                <w:jc w:val="center"/>
                                <w:rPr>
                                  <w:sz w:val="21"/>
                                  <w:szCs w:val="21"/>
                                </w:rPr>
                              </w:pPr>
                              <w:r>
                                <w:rPr>
                                  <w:sz w:val="21"/>
                                  <w:szCs w:val="21"/>
                                </w:rPr>
                                <w:t>周边</w:t>
                              </w:r>
                              <w:r>
                                <w:rPr>
                                  <w:rFonts w:hint="eastAsia"/>
                                  <w:sz w:val="21"/>
                                  <w:szCs w:val="21"/>
                                </w:rPr>
                                <w:t>既有</w:t>
                              </w:r>
                              <w:r>
                                <w:rPr>
                                  <w:sz w:val="21"/>
                                  <w:szCs w:val="21"/>
                                </w:rPr>
                                <w:t>污水处理</w:t>
                              </w:r>
                              <w:r>
                                <w:rPr>
                                  <w:rFonts w:hint="eastAsia"/>
                                  <w:sz w:val="21"/>
                                  <w:szCs w:val="21"/>
                                </w:rPr>
                                <w:t>设施</w:t>
                              </w:r>
                            </w:p>
                          </w:txbxContent>
                        </v:textbox>
                      </v:rect>
                      <v:rect id="矩形 432" o:spid="_x0000_s1026" o:spt="1" style="position:absolute;left:1573530;top:2014220;height:273600;width:756000;" fillcolor="#969696" filled="t" stroked="t" coordsize="21600,21600" o:gfxdata="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yT7RL9cAAAAFAQAADwAAAAAA&#10;AAABACAAAAAiAAAAZHJzL2Rvd25yZXYueG1sUEsBAhQAFAAAAAgAh07iQHO6xzZNAgAAmAQAAA4A&#10;AAAAAAAAAQAgAAAAJgEAAGRycy9lMm9Eb2MueG1sUEsFBgAAAAAGAAYAWQEAAOUFAAAAAA==&#10;">
                        <v:fill on="t" focussize="0,0"/>
                        <v:stroke color="#000000" miterlimit="8" joinstyle="miter"/>
                        <v:imagedata o:title=""/>
                        <o:lock v:ext="edit" aspectratio="f"/>
                        <v:textbox>
                          <w:txbxContent>
                            <w:p>
                              <w:pPr>
                                <w:pStyle w:val="5"/>
                                <w:tabs>
                                  <w:tab w:val="left" w:pos="0"/>
                                </w:tabs>
                                <w:jc w:val="center"/>
                                <w:rPr>
                                  <w:sz w:val="21"/>
                                  <w:szCs w:val="21"/>
                                </w:rPr>
                              </w:pPr>
                              <w:r>
                                <w:rPr>
                                  <w:rFonts w:hint="eastAsia"/>
                                  <w:sz w:val="21"/>
                                  <w:szCs w:val="21"/>
                                </w:rPr>
                                <w:t>主体工程</w:t>
                              </w:r>
                            </w:p>
                          </w:txbxContent>
                        </v:textbox>
                      </v:rect>
                      <v:line id="直线 433" o:spid="_x0000_s1026" o:spt="20" style="position:absolute;left:2329530;top:2151020;height:0;width:529875;" filled="f" stroked="t" coordsize="21600,21600" o:gfxdata="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uuisvTAAAABQEA&#10;AA8AAAAAAAAAAQAgAAAAIgAAAGRycy9kb3ducmV2LnhtbFBLAQIUABQAAAAIAIdO4kDvO175HwIA&#10;ACcEAAAOAAAAAAAAAAEAIAAAACIBAABkcnMvZTJvRG9jLnhtbFBLBQYAAAAABgAGAFkBAACzBQAA&#10;AAA=&#10;">
                        <v:fill on="f" focussize="0,0"/>
                        <v:stroke weight="2.25pt" color="#000000" joinstyle="round" endarrow="block"/>
                        <v:imagedata o:title=""/>
                        <o:lock v:ext="edit" aspectratio="f"/>
                      </v:line>
                      <v:rect id="矩形 434" o:spid="_x0000_s1026" o:spt="1" style="position:absolute;left:2859405;top:2014220;height:273600;width:756000;" fillcolor="#969696" filled="t" stroked="t" coordsize="21600,21600" o:gfxdata="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Mk+0S/XAAAABQEAAA8AAAAA&#10;AAAAAQAgAAAAIgAAAGRycy9kb3ducmV2LnhtbFBLAQIUABQAAAAIAIdO4kB7zBPLTgIAAJgEAAAO&#10;AAAAAAAAAAEAIAAAACYBAABkcnMvZTJvRG9jLnhtbFBLBQYAAAAABgAGAFkBAADmBQAAAAA=&#10;">
                        <v:fill on="t" focussize="0,0"/>
                        <v:stroke color="#000000" miterlimit="8" joinstyle="miter"/>
                        <v:imagedata o:title=""/>
                        <o:lock v:ext="edit" aspectratio="f"/>
                        <v:textbox>
                          <w:txbxContent>
                            <w:p>
                              <w:pPr>
                                <w:pStyle w:val="5"/>
                                <w:tabs>
                                  <w:tab w:val="left" w:pos="0"/>
                                </w:tabs>
                                <w:jc w:val="center"/>
                                <w:rPr>
                                  <w:sz w:val="21"/>
                                  <w:szCs w:val="21"/>
                                </w:rPr>
                              </w:pPr>
                              <w:r>
                                <w:rPr>
                                  <w:rFonts w:hint="eastAsia"/>
                                  <w:sz w:val="21"/>
                                  <w:szCs w:val="21"/>
                                </w:rPr>
                                <w:t>设备安装</w:t>
                              </w:r>
                            </w:p>
                          </w:txbxContent>
                        </v:textbox>
                      </v:rect>
                      <v:line id="直线 435" o:spid="_x0000_s1026" o:spt="20" style="position:absolute;left:3615405;top:2151020;height:0;width:548912;" filled="f" stroked="t" coordsize="21600,21600" o:gfxdata="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uuisvTAAAABQEAAA8A&#10;AAAAAAAAAQAgAAAAIgAAAGRycy9kb3ducmV2LnhtbFBLAQIUABQAAAAIAIdO4kDPciRpHAIAACcE&#10;AAAOAAAAAAAAAAEAIAAAACIBAABkcnMvZTJvRG9jLnhtbFBLBQYAAAAABgAGAFkBAACwBQAAAAA=&#10;">
                        <v:fill on="f" focussize="0,0"/>
                        <v:stroke weight="2.25pt" color="#000000" joinstyle="round" endarrow="block"/>
                        <v:imagedata o:title=""/>
                        <o:lock v:ext="edit" aspectratio="f"/>
                      </v:line>
                      <v:rect id="矩形 436" o:spid="_x0000_s1026" o:spt="1" style="position:absolute;left:4164317;top:2014220;height:273600;width:756000;" fillcolor="#969696" filled="t" stroked="t" coordsize="21600,21600" o:gfxdata="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Mk+0S/XAAAABQEAAA8AAAAA&#10;AAAAAQAgAAAAIgAAAGRycy9kb3ducmV2LnhtbFBLAQIUABQAAAAIAIdO4kAJGtZkTgIAAJgEAAAO&#10;AAAAAAAAAAEAIAAAACYBAABkcnMvZTJvRG9jLnhtbFBLBQYAAAAABgAGAFkBAADmBQAAAAA=&#10;">
                        <v:fill on="t" focussize="0,0"/>
                        <v:stroke color="#000000" miterlimit="8" joinstyle="miter"/>
                        <v:imagedata o:title=""/>
                        <o:lock v:ext="edit" aspectratio="f"/>
                        <v:textbox>
                          <w:txbxContent>
                            <w:p>
                              <w:pPr>
                                <w:pStyle w:val="5"/>
                                <w:tabs>
                                  <w:tab w:val="left" w:pos="0"/>
                                </w:tabs>
                                <w:jc w:val="center"/>
                                <w:rPr>
                                  <w:sz w:val="21"/>
                                  <w:szCs w:val="21"/>
                                </w:rPr>
                              </w:pPr>
                              <w:r>
                                <w:rPr>
                                  <w:rFonts w:hint="eastAsia"/>
                                  <w:sz w:val="21"/>
                                  <w:szCs w:val="21"/>
                                </w:rPr>
                                <w:t>工程验收</w:t>
                              </w:r>
                            </w:p>
                          </w:txbxContent>
                        </v:textbox>
                      </v:rect>
                      <v:rect id="矩形 437" o:spid="_x0000_s1026" o:spt="1" style="position:absolute;left:4164317;top:2707640;height:273600;width:756000;" fillcolor="#969696" filled="t" stroked="t" coordsize="21600,21600" o:gfxdata="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yT7RL9cAAAAFAQAADwAAAAAA&#10;AAABACAAAAAiAAAAZHJzL2Rvd25yZXYueG1sUEsBAhQAFAAAAAgAh07iQNCrrCtNAgAAmAQAAA4A&#10;AAAAAAAAAQAgAAAAJgEAAGRycy9lMm9Eb2MueG1sUEsFBgAAAAAGAAYAWQEAAOUFAAAAAA==&#10;">
                        <v:fill on="t" focussize="0,0"/>
                        <v:stroke color="#000000" miterlimit="8" joinstyle="miter"/>
                        <v:imagedata o:title=""/>
                        <o:lock v:ext="edit" aspectratio="f"/>
                        <v:textbox>
                          <w:txbxContent>
                            <w:p>
                              <w:pPr>
                                <w:pStyle w:val="5"/>
                                <w:tabs>
                                  <w:tab w:val="left" w:pos="0"/>
                                </w:tabs>
                                <w:jc w:val="center"/>
                                <w:rPr>
                                  <w:sz w:val="21"/>
                                  <w:szCs w:val="21"/>
                                </w:rPr>
                              </w:pPr>
                              <w:r>
                                <w:rPr>
                                  <w:rFonts w:hint="eastAsia"/>
                                  <w:sz w:val="21"/>
                                  <w:szCs w:val="21"/>
                                </w:rPr>
                                <w:t>工程运营</w:t>
                              </w:r>
                            </w:p>
                          </w:txbxContent>
                        </v:textbox>
                      </v:rect>
                      <v:line id="直线 438" o:spid="_x0000_s1026" o:spt="20" style="position:absolute;left:1951530;top:1783080;flip:y;height:231140;width:0;" filled="f" stroked="t" coordsize="21600,21600" o:gfxdata="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&#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AzsQW0gAAAAUBAAAPAAAAAAAAAAEAIAAAACIAAABk&#10;cnMvZG93bnJldi54bWxQSwECFAAUAAAACACHTuJAkCRd+gwCAAD9AwAADgAAAAAAAAABACAAAAAh&#10;AQAAZHJzL2Uyb0RvYy54bWxQSwUGAAAAAAYABgBZAQAAnwUAAAAA&#10;">
                        <v:fill on="f" focussize="0,0"/>
                        <v:stroke color="#000000" joinstyle="round" dashstyle="dash"/>
                        <v:imagedata o:title=""/>
                        <o:lock v:ext="edit" aspectratio="f"/>
                      </v:line>
                      <v:line id="直线 439" o:spid="_x0000_s1026" o:spt="20" style="position:absolute;left:659130;top:1783715;height:635;width:3886200;" filled="f" stroked="t" coordsize="21600,21600" o:gfxdata="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J4QbjWAAAABQEAAA8AAAAAAAAAAQAgAAAAIgAAAGRycy9kb3ducmV2Lnht&#10;bFBLAQIUABQAAAAIAIdO4kCAO1sO+wEAANkDAAAOAAAAAAAAAAEAIAAAACUBAABkcnMvZTJvRG9j&#10;LnhtbFBLBQYAAAAABgAGAFkBAACSBQAAAAA=&#10;">
                        <v:fill on="f" focussize="0,0"/>
                        <v:stroke color="#000000" joinstyle="round" dashstyle="dash"/>
                        <v:imagedata o:title=""/>
                        <o:lock v:ext="edit" aspectratio="f"/>
                      </v:line>
                      <v:line id="直线 440" o:spid="_x0000_s1026" o:spt="20" style="position:absolute;left:4542317;top:1784985;height:229235;width:0;" filled="f" stroked="t" coordsize="21600,21600" o:gfxdata="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J4QbjWAAAABQEAAA8AAAAAAAAAAQAgAAAAIgAAAGRycy9k&#10;b3ducmV2LnhtbFBLAQIUABQAAAAIAIdO4kCB9DXMBAIAAPQDAAAOAAAAAAAAAAEAIAAAACUBAABk&#10;cnMvZTJvRG9jLnhtbFBLBQYAAAAABgAGAFkBAACbBQAAAAA=&#10;">
                        <v:fill on="f" focussize="0,0"/>
                        <v:stroke color="#000000" joinstyle="round" dashstyle="dash"/>
                        <v:imagedata o:title=""/>
                        <o:lock v:ext="edit" aspectratio="f"/>
                      </v:line>
                      <v:line id="直线 441" o:spid="_x0000_s1026" o:spt="20" style="position:absolute;left:1626185;top:1361271;flip:y;height:416646;width:0;" filled="f" stroked="t" coordsize="21600,21600" o:gfxdata="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Yy8O&#10;39QAAAAFAQAADwAAAAAAAAABACAAAAAiAAAAZHJzL2Rvd25yZXYueG1sUEsBAhQAFAAAAAgAh07i&#10;QCkRBSImAgAAKwQAAA4AAAAAAAAAAQAgAAAAIwEAAGRycy9lMm9Eb2MueG1sUEsFBgAAAAAGAAYA&#10;WQEAALsFAAAAAA==&#10;">
                        <v:fill on="f" focussize="0,0"/>
                        <v:stroke color="#000000" joinstyle="round" dashstyle="dash" endarrow="block"/>
                        <v:imagedata o:title=""/>
                        <o:lock v:ext="edit" aspectratio="f"/>
                      </v:line>
                      <v:line id="直线 442" o:spid="_x0000_s1026" o:spt="20" style="position:absolute;left:2597666;top:1363895;flip:x y;height:421090;width:3953;" filled="f" stroked="t" coordsize="21600,21600" o:gfxdata="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swg6XTAAAABQEAAA8AAAAAAAAAAQAgAAAAIgAAAGRycy9kb3ducmV2LnhtbFBLAQIUABQAAAAI&#10;AIdO4kBuFTqWKwIAADcEAAAOAAAAAAAAAAEAIAAAACIBAABkcnMvZTJvRG9jLnhtbFBLBQYAAAAA&#10;BgAGAFkBAAC/BQAAAAA=&#10;">
                        <v:fill on="f" focussize="0,0"/>
                        <v:stroke color="#000000" joinstyle="round" dashstyle="dash" endarrow="block"/>
                        <v:imagedata o:title=""/>
                        <o:lock v:ext="edit" aspectratio="f"/>
                      </v:line>
                      <v:line id="直线 443" o:spid="_x0000_s1026" o:spt="20" style="position:absolute;left:3515307;top:1362625;flip:x y;height:417280;width:398;" filled="f" stroked="t" coordsize="21600,21600" o:gfxdata="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sw&#10;g6XTAAAABQEAAA8AAAAAAAAAAQAgAAAAIgAAAGRycy9kb3ducmV2LnhtbFBLAQIUABQAAAAIAIdO&#10;4kBwR02kKAIAADYEAAAOAAAAAAAAAAEAIAAAACIBAABkcnMvZTJvRG9jLnhtbFBLBQYAAAAABgAG&#10;AFkBAAC8BQAAAAA=&#10;">
                        <v:fill on="f" focussize="0,0"/>
                        <v:stroke color="#000000" joinstyle="round" dashstyle="dash" endarrow="block"/>
                        <v:imagedata o:title=""/>
                        <o:lock v:ext="edit" aspectratio="f"/>
                      </v:line>
                      <v:line id="直线 444" o:spid="_x0000_s1026" o:spt="20" style="position:absolute;left:4542317;top:1362625;flip:y;height:416646;width:1379;" filled="f" stroked="t" coordsize="21600,21600" o:gfxdata="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MvDt/U&#10;AAAABQEAAA8AAAAAAAAAAQAgAAAAIgAAAGRycy9kb3ducmV2LnhtbFBLAQIUABQAAAAIAIdO4kD1&#10;eZBZJAIAAC0EAAAOAAAAAAAAAAEAIAAAACMBAABkcnMvZTJvRG9jLnhtbFBLBQYAAAAABgAGAFkB&#10;AAC5BQAAAAA=&#10;">
                        <v:fill on="f" focussize="0,0"/>
                        <v:stroke color="#000000" joinstyle="round" dashstyle="dash" endarrow="block"/>
                        <v:imagedata o:title=""/>
                        <o:lock v:ext="edit" aspectratio="f"/>
                      </v:line>
                      <v:shape id="文本框 445" o:spid="_x0000_s1026" o:spt="202" type="#_x0000_t202" style="position:absolute;left:1194185;top:1087671;height:273600;width:864000;" fillcolor="#FFFFFF" filled="t" stroked="t" coordsize="21600,21600" o:gfxdata="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NlQPPUAAAABQEAAA8AAAAAAAAAAQAgAAAAIgAAAGRycy9kb3ducmV2LnhtbFBLAQIUABQAAAAI&#10;AIdO4kA1K4k0YwIAAL4EAAAOAAAAAAAAAAEAIAAAACMBAABkcnMvZTJvRG9jLnhtbFBLBQYAAAAA&#10;BgAGAFkBAAD4BQAAAAA=&#10;">
                        <v:fill on="t" focussize="0,0"/>
                        <v:stroke weight="0.5pt" color="#000000" miterlimit="8" joinstyle="miter" dashstyle="1 1"/>
                        <v:imagedata o:title=""/>
                        <o:lock v:ext="edit" aspectratio="f"/>
                        <v:textbox>
                          <w:txbxContent>
                            <w:p>
                              <w:pPr>
                                <w:pStyle w:val="5"/>
                                <w:tabs>
                                  <w:tab w:val="left" w:pos="0"/>
                                </w:tabs>
                                <w:jc w:val="center"/>
                                <w:rPr>
                                  <w:sz w:val="21"/>
                                  <w:szCs w:val="21"/>
                                </w:rPr>
                              </w:pPr>
                              <w:r>
                                <w:rPr>
                                  <w:rFonts w:hint="eastAsia"/>
                                  <w:sz w:val="21"/>
                                  <w:szCs w:val="21"/>
                                </w:rPr>
                                <w:t>扬尘、废气</w:t>
                              </w:r>
                            </w:p>
                          </w:txbxContent>
                        </v:textbox>
                      </v:shape>
                      <v:shape id="文本框 446" o:spid="_x0000_s1026" o:spt="202" type="#_x0000_t202" style="position:absolute;left:2219666;top:1090295;height:273600;width:756000;" fillcolor="#FFFFFF" filled="t" stroked="t" coordsize="21600,21600" o:gfxdata="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zZUDz1AAAAAUBAAAPAAAAAAAAAAEAIAAAACIAAABkcnMvZG93bnJldi54bWxQSwECFAAUAAAA&#10;CACHTuJA+pTzW2QCAAC+BAAADgAAAAAAAAABACAAAAAjAQAAZHJzL2Uyb0RvYy54bWxQSwUGAAAA&#10;AAYABgBZAQAA+QUAAAAA&#10;">
                        <v:fill on="t" focussize="0,0"/>
                        <v:stroke weight="0.5pt" color="#000000" miterlimit="8" joinstyle="miter" dashstyle="1 1"/>
                        <v:imagedata o:title=""/>
                        <o:lock v:ext="edit" aspectratio="f"/>
                        <v:textbox>
                          <w:txbxContent>
                            <w:p>
                              <w:pPr>
                                <w:pStyle w:val="5"/>
                                <w:tabs>
                                  <w:tab w:val="left" w:pos="0"/>
                                </w:tabs>
                                <w:jc w:val="center"/>
                                <w:rPr>
                                  <w:sz w:val="21"/>
                                  <w:szCs w:val="21"/>
                                </w:rPr>
                              </w:pPr>
                              <w:r>
                                <w:rPr>
                                  <w:rFonts w:hint="eastAsia"/>
                                  <w:sz w:val="21"/>
                                  <w:szCs w:val="21"/>
                                </w:rPr>
                                <w:t>建筑废水</w:t>
                              </w:r>
                            </w:p>
                          </w:txbxContent>
                        </v:textbox>
                      </v:shape>
                      <v:shape id="文本框 447" o:spid="_x0000_s1026" o:spt="202" type="#_x0000_t202" style="position:absolute;left:3137164;top:1089025;height:273600;width:756285;" fillcolor="#FFFFFF" filled="t" stroked="t" coordsize="21600,21600" o:gfxdata="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NlQPPU&#10;AAAABQEAAA8AAAAAAAAAAQAgAAAAIgAAAGRycy9kb3ducmV2LnhtbFBLAQIUABQAAAAIAIdO4kCS&#10;g5zUXQIAALIEAAAOAAAAAAAAAAEAIAAAACMBAABkcnMvZTJvRG9jLnhtbFBLBQYAAAAABgAGAFkB&#10;AADyBQAAAAA=&#10;">
                        <v:fill on="t" focussize="0,0"/>
                        <v:stroke weight="0.5pt" color="#000000" miterlimit="8" joinstyle="miter" dashstyle="1 1"/>
                        <v:imagedata o:title=""/>
                        <o:lock v:ext="edit" aspectratio="f"/>
                        <v:textbox>
                          <w:txbxContent>
                            <w:p>
                              <w:pPr>
                                <w:pStyle w:val="5"/>
                                <w:tabs>
                                  <w:tab w:val="left" w:pos="0"/>
                                </w:tabs>
                                <w:jc w:val="center"/>
                                <w:rPr>
                                  <w:sz w:val="21"/>
                                  <w:szCs w:val="21"/>
                                </w:rPr>
                              </w:pPr>
                              <w:r>
                                <w:rPr>
                                  <w:rFonts w:hint="eastAsia"/>
                                  <w:sz w:val="21"/>
                                  <w:szCs w:val="21"/>
                                </w:rPr>
                                <w:t>生活污水</w:t>
                              </w:r>
                            </w:p>
                          </w:txbxContent>
                        </v:textbox>
                      </v:shape>
                      <v:shape id="文本框 448" o:spid="_x0000_s1026" o:spt="202" type="#_x0000_t202" style="position:absolute;left:4039696;top:1089025;height:273600;width:1008000;" fillcolor="#FFFFFF" filled="t" stroked="t" coordsize="21600,21600" o:gfxdata="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2VA89QAAAAFAQAADwAAAAAAAAABACAAAAAiAAAAZHJzL2Rvd25yZXYueG1sUEsBAhQAFAAA&#10;AAgAh07iQBRBwrJlAgAAvwQAAA4AAAAAAAAAAQAgAAAAIwEAAGRycy9lMm9Eb2MueG1sUEsFBgAA&#10;AAAGAAYAWQEAAPoFAAAAAA==&#10;">
                        <v:fill on="t" focussize="0,0"/>
                        <v:stroke weight="0.5pt" color="#000000" miterlimit="8" joinstyle="miter" dashstyle="1 1"/>
                        <v:imagedata o:title=""/>
                        <o:lock v:ext="edit" aspectratio="f"/>
                        <v:textbox>
                          <w:txbxContent>
                            <w:p>
                              <w:pPr>
                                <w:pStyle w:val="5"/>
                                <w:tabs>
                                  <w:tab w:val="left" w:pos="0"/>
                                </w:tabs>
                                <w:rPr>
                                  <w:sz w:val="21"/>
                                  <w:szCs w:val="21"/>
                                </w:rPr>
                              </w:pPr>
                              <w:r>
                                <w:rPr>
                                  <w:rFonts w:hint="eastAsia"/>
                                  <w:sz w:val="21"/>
                                  <w:szCs w:val="21"/>
                                </w:rPr>
                                <w:t>少量建筑垃圾</w:t>
                              </w:r>
                            </w:p>
                          </w:txbxContent>
                        </v:textbox>
                      </v:shape>
                      <v:line id="直线 449" o:spid="_x0000_s1026" o:spt="20" style="position:absolute;left:1626185;top:761201;flip:y;height:326470;width:502;" filled="f" stroked="t" coordsize="21600,21600" o:gfxdata="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v2v&#10;WtYAAAAFAQAADwAAAAAAAAABACAAAAAiAAAAZHJzL2Rvd25yZXYueG1sUEsBAhQAFAAAAAgAh07i&#10;QPhnirEkAgAALgQAAA4AAAAAAAAAAQAgAAAAJQEAAGRycy9lMm9Eb2MueG1sUEsFBgAAAAAGAAYA&#10;WQEAALsFAAAAAA==&#10;">
                        <v:fill on="f" focussize="0,0"/>
                        <v:stroke color="#000000" joinstyle="round" endarrow="block"/>
                        <v:imagedata o:title=""/>
                        <o:lock v:ext="edit" aspectratio="f"/>
                      </v:line>
                      <v:rect id="矩形 450" o:spid="_x0000_s1026" o:spt="1" style="position:absolute;left:1248687;top:487601;height:273600;width:756000;" fillcolor="#FFFFFF" filled="t" stroked="t" coordsize="21600,21600" o:gfxdata="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yhb3D1QAAAAUBAAAPAAAAAAAA&#10;AAEAIAAAACIAAABkcnMvZG93bnJldi54bWxQSwECFAAUAAAACACHTuJAPqyI6k4CAACWBAAADgAA&#10;AAAAAAABACAAAAAkAQAAZHJzL2Uyb0RvYy54bWxQSwUGAAAAAAYABgBZAQAA5AUAAAAA&#10;">
                        <v:fill on="t" focussize="0,0"/>
                        <v:stroke color="#000000" miterlimit="8" joinstyle="miter"/>
                        <v:imagedata o:title=""/>
                        <o:lock v:ext="edit" aspectratio="f"/>
                        <v:textbox>
                          <w:txbxContent>
                            <w:p>
                              <w:pPr>
                                <w:pStyle w:val="5"/>
                                <w:tabs>
                                  <w:tab w:val="left" w:pos="0"/>
                                </w:tabs>
                                <w:rPr>
                                  <w:sz w:val="21"/>
                                  <w:szCs w:val="21"/>
                                </w:rPr>
                              </w:pPr>
                              <w:r>
                                <w:rPr>
                                  <w:rFonts w:hint="eastAsia"/>
                                  <w:sz w:val="21"/>
                                  <w:szCs w:val="21"/>
                                </w:rPr>
                                <w:t>大气环境</w:t>
                              </w:r>
                            </w:p>
                          </w:txbxContent>
                        </v:textbox>
                      </v:rect>
                      <v:line id="直线 451" o:spid="_x0000_s1026" o:spt="20" style="position:absolute;left:2597666;top:762555;flip:y;height:327740;width:0;" filled="f" stroked="t" coordsize="21600,21600" o:gfxdata="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y/a9a&#10;1gAAAAUBAAAPAAAAAAAAAAEAIAAAACIAAABkcnMvZG93bnJldi54bWxQSwECFAAUAAAACACHTuJA&#10;m61YUCMCAAAsBAAADgAAAAAAAAABACAAAAAlAQAAZHJzL2Uyb0RvYy54bWxQSwUGAAAAAAYABgBZ&#10;AQAAugUAAAAA&#10;">
                        <v:fill on="f" focussize="0,0"/>
                        <v:stroke color="#000000" joinstyle="round" endarrow="block"/>
                        <v:imagedata o:title=""/>
                        <o:lock v:ext="edit" aspectratio="f"/>
                      </v:line>
                      <v:rect id="矩形 452" o:spid="_x0000_s1026" o:spt="1" style="position:absolute;left:2219666;top:488871;height:273684;width:756000;" fillcolor="#FFFFFF" filled="t" stroked="t" coordsize="21600,21600" o:gfxdata="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TZSiL1AAAAAUBAAAPAAAAAAAA&#10;AAEAIAAAACIAAABkcnMvZG93bnJldi54bWxQSwECFAAUAAAACACHTuJAf/bB2E8CAACWBAAADgAA&#10;AAAAAAABACAAAAAjAQAAZHJzL2Uyb0RvYy54bWxQSwUGAAAAAAYABgBZAQAA5AUAAAAA&#10;">
                        <v:fill on="t" focussize="0,0"/>
                        <v:stroke color="#000000" miterlimit="8" joinstyle="miter"/>
                        <v:imagedata o:title=""/>
                        <o:lock v:ext="edit" aspectratio="f"/>
                        <v:textbox style="mso-fit-shape-to-text:t;">
                          <w:txbxContent>
                            <w:p>
                              <w:pPr>
                                <w:ind w:firstLine="105" w:firstLineChars="50"/>
                                <w:rPr>
                                  <w:szCs w:val="21"/>
                                </w:rPr>
                              </w:pPr>
                              <w:r>
                                <w:rPr>
                                  <w:rFonts w:hint="eastAsia"/>
                                  <w:szCs w:val="21"/>
                                </w:rPr>
                                <w:t>沉淀池</w:t>
                              </w:r>
                            </w:p>
                          </w:txbxContent>
                        </v:textbox>
                      </v:rect>
                      <v:line id="直线 454" o:spid="_x0000_s1026" o:spt="20" style="position:absolute;left:3515307;top:761285;flip:y;height:327740;width:398;" filled="f" stroked="t" coordsize="21600,21600" o:gfxdata="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y/a9a1gAAAAUB&#10;AAAPAAAAAAAAAAEAIAAAACIAAABkcnMvZG93bnJldi54bWxQSwECFAAUAAAACACHTuJAX6Hg1R0C&#10;AAASBAAADgAAAAAAAAABACAAAAAlAQAAZHJzL2Uyb0RvYy54bWxQSwUGAAAAAAYABgBZAQAAtAUA&#10;AAAA&#10;">
                        <v:fill on="f" focussize="0,0"/>
                        <v:stroke color="#000000" joinstyle="round" endarrow="block"/>
                        <v:imagedata o:title=""/>
                        <o:lock v:ext="edit" aspectratio="f"/>
                      </v:line>
                      <v:line id="直线 457" o:spid="_x0000_s1026" o:spt="20" style="position:absolute;left:4542317;top:762555;flip:x y;height:326470;width:1379;" filled="f" stroked="t" coordsize="21600,21600" o:gfxdata="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cKtas&#10;1gAAAAUBAAAPAAAAAAAAAAEAIAAAACIAAABkcnMvZG93bnJldi54bWxQSwECFAAUAAAACACHTuJA&#10;7gQy5CMCAAAdBAAADgAAAAAAAAABACAAAAAlAQAAZHJzL2Uyb0RvYy54bWxQSwUGAAAAAAYABgBZ&#10;AQAAugUAAAAA&#10;">
                        <v:fill on="f" focussize="0,0"/>
                        <v:stroke color="#000000" joinstyle="round" endarrow="block"/>
                        <v:imagedata o:title=""/>
                        <o:lock v:ext="edit" aspectratio="f"/>
                      </v:line>
                      <v:line id="直线 458" o:spid="_x0000_s1026" o:spt="20" style="position:absolute;left:4542317;top:2287820;height:419820;width:0;" filled="f" stroked="t" coordsize="21600,21600" o:gfxdata="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W66Ky9MAAAAFAQAA&#10;DwAAAAAAAAABACAAAAAiAAAAZHJzL2Rvd25yZXYueG1sUEsBAhQAFAAAAAgAh07iQN7SZQweAgAA&#10;JgQAAA4AAAAAAAAAAQAgAAAAIgEAAGRycy9lMm9Eb2MueG1sUEsFBgAAAAAGAAYAWQEAALIFAAAA&#10;AA==&#10;">
                        <v:fill on="f" focussize="0,0"/>
                        <v:stroke weight="2.25pt" color="#000000" joinstyle="round" endarrow="block"/>
                        <v:imagedata o:title=""/>
                        <o:lock v:ext="edit" aspectratio="f"/>
                      </v:line>
                      <v:line id="直线 459" o:spid="_x0000_s1026" o:spt="20" style="position:absolute;left:3237405;top:1779271;flip:y;height:234949;width:0;" filled="f" stroked="t" coordsize="21600,21600" o:gfxdata="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M7EFtIAAAAFAQAADwAAAAAAAAABACAAAAAiAAAA&#10;ZHJzL2Rvd25yZXYueG1sUEsBAhQAFAAAAAgAh07iQHgk2dsNAgAA/AMAAA4AAAAAAAAAAQAgAAAA&#10;IQEAAGRycy9lMm9Eb2MueG1sUEsFBgAAAAAGAAYAWQEAAKAFAAAAAA==&#10;">
                        <v:fill on="f" focussize="0,0"/>
                        <v:stroke color="#000000" joinstyle="round" dashstyle="dash"/>
                        <v:imagedata o:title=""/>
                        <o:lock v:ext="edit" aspectratio="f"/>
                      </v:line>
                      <v:rect id="矩形 461" o:spid="_x0000_s1026" o:spt="1" style="position:absolute;left:285637;top:2014220;height:273600;width:756000;" fillcolor="#969696" filled="t" stroked="t" coordsize="21600,21600" o:gfxdata="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JPtEv1wAAAAUBAAAPAAAAAAAA&#10;AAEAIAAAACIAAABkcnMvZG93bnJldi54bWxQSwECFAAUAAAACACHTuJAqGGtfUwCAACWBAAADgAA&#10;AAAAAAABACAAAAAmAQAAZHJzL2Uyb0RvYy54bWxQSwUGAAAAAAYABgBZAQAA5AUAAAAA&#10;">
                        <v:fill on="t" focussize="0,0"/>
                        <v:stroke color="#000000" miterlimit="8" joinstyle="miter"/>
                        <v:imagedata o:title=""/>
                        <o:lock v:ext="edit" aspectratio="f"/>
                        <v:textbox>
                          <w:txbxContent>
                            <w:p>
                              <w:pPr>
                                <w:pStyle w:val="5"/>
                                <w:tabs>
                                  <w:tab w:val="left" w:pos="0"/>
                                </w:tabs>
                                <w:jc w:val="center"/>
                                <w:rPr>
                                  <w:sz w:val="21"/>
                                  <w:szCs w:val="21"/>
                                </w:rPr>
                              </w:pPr>
                              <w:r>
                                <w:rPr>
                                  <w:rFonts w:hint="eastAsia"/>
                                  <w:sz w:val="21"/>
                                  <w:szCs w:val="21"/>
                                </w:rPr>
                                <w:t>基础工程</w:t>
                              </w:r>
                            </w:p>
                          </w:txbxContent>
                        </v:textbox>
                      </v:rect>
                      <v:line id="直线 462" o:spid="_x0000_s1026" o:spt="20" style="position:absolute;left:663637;top:1781174;flip:y;height:233046;width:0;" filled="f" stroked="t" coordsize="21600,21600" o:gfxdata="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M7EFtIAAAAFAQAADwAAAAAAAAABACAAAAAiAAAAZHJzL2Rv&#10;d25yZXYueG1sUEsBAhQAFAAAAAgAh07iQNXwarEHAgAA+gMAAA4AAAAAAAAAAQAgAAAAIQEAAGRy&#10;cy9lMm9Eb2MueG1sUEsFBgAAAAAGAAYAWQEAAJoFAAAAAA==&#10;">
                        <v:fill on="f" focussize="0,0"/>
                        <v:stroke color="#000000" joinstyle="round" dashstyle="dash"/>
                        <v:imagedata o:title=""/>
                        <o:lock v:ext="edit" aspectratio="f"/>
                      </v:line>
                      <v:line id="直线 463" o:spid="_x0000_s1026" o:spt="20" style="position:absolute;left:663637;top:1365164;flip:y;height:416010;width:0;" filled="f" stroked="t" coordsize="21600,21600" o:gfxdata="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MvDt/UAAAA&#10;BQEAAA8AAAAAAAAAAQAgAAAAIgAAAGRycy9kb3ducmV2LnhtbFBLAQIUABQAAAAIAIdO4kDtddcB&#10;IQIAACkEAAAOAAAAAAAAAAEAIAAAACMBAABkcnMvZTJvRG9jLnhtbFBLBQYAAAAABgAGAFkBAAC2&#10;BQAAAAA=&#10;">
                        <v:fill on="f" focussize="0,0"/>
                        <v:stroke color="#000000" joinstyle="round" dashstyle="dash" endarrow="block"/>
                        <v:imagedata o:title=""/>
                        <o:lock v:ext="edit" aspectratio="f"/>
                      </v:line>
                      <v:shape id="文本框 464" o:spid="_x0000_s1026" o:spt="202" type="#_x0000_t202" style="position:absolute;left:285637;top:1091564;height:273600;width:756000;" fillcolor="#FFFFFF" filled="t" stroked="t" coordsize="21600,21600" o:gfxdata="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NlQPPUAAAABQEAAA8AAAAAAAAAAQAgAAAAIgAAAGRycy9kb3ducmV2LnhtbFBLAQIUABQAAAAI&#10;AIdO4kBHLZL6YwIAAL0EAAAOAAAAAAAAAAEAIAAAACMBAABkcnMvZTJvRG9jLnhtbFBLBQYAAAAA&#10;BgAGAFkBAAD4BQAAAAA=&#10;">
                        <v:fill on="t" focussize="0,0"/>
                        <v:stroke weight="0.5pt" color="#000000" miterlimit="8" joinstyle="miter" dashstyle="1 1"/>
                        <v:imagedata o:title=""/>
                        <o:lock v:ext="edit" aspectratio="f"/>
                        <v:textbox>
                          <w:txbxContent>
                            <w:p>
                              <w:pPr>
                                <w:jc w:val="center"/>
                                <w:rPr>
                                  <w:szCs w:val="21"/>
                                </w:rPr>
                              </w:pPr>
                              <w:r>
                                <w:rPr>
                                  <w:rFonts w:hint="eastAsia"/>
                                  <w:szCs w:val="21"/>
                                </w:rPr>
                                <w:t>噪声</w:t>
                              </w:r>
                            </w:p>
                          </w:txbxContent>
                        </v:textbox>
                      </v:shape>
                      <v:line id="直线 465" o:spid="_x0000_s1026" o:spt="20" style="position:absolute;left:663637;top:763105;flip:y;height:328459;width:0;" filled="f" stroked="t" coordsize="21600,21600" o:gfxdata="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sv2vWtYAAAAF&#10;AQAADwAAAAAAAAABACAAAAAiAAAAZHJzL2Rvd25yZXYueG1sUEsBAhQAFAAAAAgAh07iQAacwxce&#10;AgAAKwQAAA4AAAAAAAAAAQAgAAAAJQEAAGRycy9lMm9Eb2MueG1sUEsFBgAAAAAGAAYAWQEAALUF&#10;AAAAAA==&#10;">
                        <v:fill on="f" focussize="0,0"/>
                        <v:stroke color="#000000" joinstyle="round" endarrow="block"/>
                        <v:imagedata o:title=""/>
                        <o:lock v:ext="edit" aspectratio="f"/>
                      </v:line>
                      <v:rect id="矩形 466" o:spid="_x0000_s1026" o:spt="1" style="position:absolute;left:285637;top:489505;height:273600;width:756000;" fillcolor="#FFFFFF" filled="t" stroked="t" coordsize="21600,21600" o:gfxdata="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yhb3D1QAAAAUBAAAPAAAAAAAA&#10;AAEAIAAAACIAAABkcnMvZG93bnJldi54bWxQSwECFAAUAAAACACHTuJAd4O6Ck4CAACVBAAADgAA&#10;AAAAAAABACAAAAAkAQAAZHJzL2Uyb0RvYy54bWxQSwUGAAAAAAYABgBZAQAA5AUAAAAA&#10;">
                        <v:fill on="t" focussize="0,0"/>
                        <v:stroke color="#000000" miterlimit="8" joinstyle="miter"/>
                        <v:imagedata o:title=""/>
                        <o:lock v:ext="edit" aspectratio="f"/>
                        <v:textbox>
                          <w:txbxContent>
                            <w:p>
                              <w:pPr>
                                <w:jc w:val="center"/>
                                <w:rPr>
                                  <w:szCs w:val="21"/>
                                </w:rPr>
                              </w:pPr>
                              <w:r>
                                <w:rPr>
                                  <w:rFonts w:hint="eastAsia"/>
                                  <w:szCs w:val="21"/>
                                </w:rPr>
                                <w:t>声环境</w:t>
                              </w:r>
                            </w:p>
                          </w:txbxContent>
                        </v:textbox>
                      </v:rect>
                      <v:line id="直线 467" o:spid="_x0000_s1026" o:spt="20" style="position:absolute;left:663637;top:2287820;height:235670;width:0;" filled="f" stroked="t" coordsize="21600,21600" o:gfxdata="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YIILdcAAAAFAQAADwAAAAAAAAABACAAAAAiAAAAZHJzL2Rvd25yZXYueG1sUEsBAhQAFAAAAAgA&#10;h07iQGxX8KMmAgAAOgQAAA4AAAAAAAAAAQAgAAAAJgEAAGRycy9lMm9Eb2MueG1sUEsFBgAAAAAG&#10;AAYAWQEAAL4FAAAAAA==&#10;">
                        <v:fill on="f" focussize="0,0"/>
                        <v:stroke color="#000000" joinstyle="round" dashstyle="dash" endarrow="block"/>
                        <v:imagedata o:title=""/>
                        <o:lock v:ext="edit" aspectratio="f"/>
                      </v:line>
                      <v:shape id="文本框 468" o:spid="_x0000_s1026" o:spt="202" type="#_x0000_t202" style="position:absolute;left:285637;top:2523490;height:273600;width:756000;" fillcolor="#FFFFFF" filled="t" stroked="t" coordsize="21600,21600" o:gfxdata="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s2VA89QAAAAFAQAADwAAAAAAAAABACAAAAAiAAAAZHJzL2Rvd25yZXYueG1sUEsBAhQAFAAAAAgA&#10;h07iQBeLbjliAgAAvQQAAA4AAAAAAAAAAQAgAAAAIwEAAGRycy9lMm9Eb2MueG1sUEsFBgAAAAAG&#10;AAYAWQEAAPcFAAAAAA==&#10;">
                        <v:fill on="t" focussize="0,0"/>
                        <v:stroke weight="0.5pt" color="#000000" miterlimit="8" joinstyle="miter" dashstyle="1 1"/>
                        <v:imagedata o:title=""/>
                        <o:lock v:ext="edit" aspectratio="f"/>
                        <v:textbox>
                          <w:txbxContent>
                            <w:p>
                              <w:pPr>
                                <w:pStyle w:val="5"/>
                                <w:tabs>
                                  <w:tab w:val="left" w:pos="0"/>
                                </w:tabs>
                                <w:jc w:val="center"/>
                                <w:rPr>
                                  <w:sz w:val="21"/>
                                  <w:szCs w:val="21"/>
                                </w:rPr>
                              </w:pPr>
                              <w:r>
                                <w:rPr>
                                  <w:rFonts w:hint="eastAsia"/>
                                  <w:sz w:val="21"/>
                                  <w:szCs w:val="21"/>
                                </w:rPr>
                                <w:t>建筑弃土</w:t>
                              </w:r>
                            </w:p>
                          </w:txbxContent>
                        </v:textbox>
                      </v:shape>
                      <v:rect id="矩形 470" o:spid="_x0000_s1026" o:spt="1" style="position:absolute;left:20955;top:3044825;height:297180;width:1283335;" fillcolor="#FFFFFF" filled="t" stroked="f" coordsize="21600,21600" o:gfxdata="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OHxyndQAAAAFAQAADwAAAAAAAAABACAAAAAiAAAAZHJzL2Rvd25yZXYu&#10;eG1sUEsBAhQAFAAAAAgAh07iQOwZNHE4AgAATQQAAA4AAAAAAAAAAQAgAAAAIwEAAGRycy9lMm9E&#10;b2MueG1sUEsFBgAAAAAGAAYAWQEAAM0FAAAAAA==&#10;">
                        <v:fill on="t" focussize="0,0"/>
                        <v:stroke on="f"/>
                        <v:imagedata o:title=""/>
                        <o:lock v:ext="edit" aspectratio="f"/>
                        <v:textbox>
                          <w:txbxContent>
                            <w:p>
                              <w:pPr>
                                <w:jc w:val="center"/>
                                <w:rPr>
                                  <w:szCs w:val="21"/>
                                </w:rPr>
                              </w:pPr>
                              <w:r>
                                <w:rPr>
                                  <w:rFonts w:hint="eastAsia"/>
                                  <w:szCs w:val="21"/>
                                </w:rPr>
                                <w:t>用于填筑</w:t>
                              </w:r>
                              <w:r>
                                <w:rPr>
                                  <w:szCs w:val="21"/>
                                </w:rPr>
                                <w:t>设备基础</w:t>
                              </w:r>
                            </w:p>
                            <w:p>
                              <w:pPr>
                                <w:ind w:firstLine="420"/>
                                <w:jc w:val="center"/>
                                <w:rPr>
                                  <w:szCs w:val="21"/>
                                </w:rPr>
                              </w:pPr>
                            </w:p>
                          </w:txbxContent>
                        </v:textbox>
                      </v:rect>
                      <v:line id="直线 471" o:spid="_x0000_s1026" o:spt="20" style="position:absolute;left:662623;top:3342005;height:231140;width:1014;" filled="f" stroked="t" coordsize="21600,21600" o:gfxdata="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epU6CdcA&#10;AAAFAQAADwAAAAAAAAABACAAAAAiAAAAZHJzL2Rvd25yZXYueG1sUEsBAhQAFAAAAAgAh07iQDxb&#10;SJMgAgAAJQQAAA4AAAAAAAAAAQAgAAAAJgEAAGRycy9lMm9Eb2MueG1sUEsFBgAAAAAGAAYAWQEA&#10;ALgFAAAAAA==&#10;">
                        <v:fill on="f" focussize="0,0"/>
                        <v:stroke color="#000000" joinstyle="round" endarrow="block"/>
                        <v:imagedata o:title=""/>
                        <o:lock v:ext="edit" aspectratio="f"/>
                      </v:line>
                      <v:shape id="文本框 472" o:spid="_x0000_s1026" o:spt="202" type="#_x0000_t202" style="position:absolute;left:285637;top:3573145;height:270510;width:756000;" fillcolor="#FFFFFF" filled="t" stroked="t" coordsize="21600,21600" o:gfxdata="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YMkpU1gAAAAUBAAAPAAAAAAAAAAEAIAAAACIAAABkcnMvZG93bnJldi54bWxQSwECFAAU&#10;AAAACACHTuJAl4+kqWUCAAC9BAAADgAAAAAAAAABACAAAAAlAQAAZHJzL2Uyb0RvYy54bWxQSwUG&#10;AAAAAAYABgBZAQAA/AUAAAAA&#10;">
                        <v:fill on="t" focussize="0,0"/>
                        <v:stroke weight="0.5pt" color="#000000" miterlimit="8" joinstyle="miter" dashstyle="1 1"/>
                        <v:imagedata o:title=""/>
                        <o:lock v:ext="edit" aspectratio="f"/>
                        <v:textbox style="mso-fit-shape-to-text:t;">
                          <w:txbxContent>
                            <w:p>
                              <w:pPr>
                                <w:jc w:val="center"/>
                                <w:rPr>
                                  <w:szCs w:val="21"/>
                                </w:rPr>
                              </w:pPr>
                              <w:r>
                                <w:rPr>
                                  <w:rFonts w:hint="eastAsia"/>
                                  <w:szCs w:val="21"/>
                                </w:rPr>
                                <w:t>粉尘</w:t>
                              </w:r>
                            </w:p>
                          </w:txbxContent>
                        </v:textbox>
                      </v:shape>
                      <v:line id="直线 473" o:spid="_x0000_s1026" o:spt="20" style="position:absolute;left:1041637;top:2151020;height:0;width:531893;" filled="f" stroked="t" coordsize="21600,21600" o:gfxdata="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uuisvTAAAA&#10;BQEAAA8AAAAAAAAAAQAgAAAAIgAAAGRycy9kb3ducmV2LnhtbFBLAQIUABQAAAAIAIdO4kAXNBh6&#10;IgIAACUEAAAOAAAAAAAAAAEAIAAAACIBAABkcnMvZTJvRG9jLnhtbFBLBQYAAAAABgAGAFkBAAC2&#10;BQAAAAA=&#10;">
                        <v:fill on="f" focussize="0,0"/>
                        <v:stroke weight="2.25pt" color="#000000" joinstyle="round" endarrow="block"/>
                        <v:imagedata o:title=""/>
                        <o:lock v:ext="edit" aspectratio="f"/>
                      </v:line>
                      <v:line id="直线 474" o:spid="_x0000_s1026" o:spt="20" style="position:absolute;left:1041637;top:3708400;height:1545;width:418228;" filled="f" stroked="t" coordsize="21600,21600" o:gfxdata="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qVOgnXAAAA&#10;BQEAAA8AAAAAAAAAAQAgAAAAIgAAAGRycy9kb3ducmV2LnhtbFBLAQIUABQAAAAIAIdO4kA1ztmu&#10;HgIAACYEAAAOAAAAAAAAAAEAIAAAACYBAABkcnMvZTJvRG9jLnhtbFBLBQYAAAAABgAGAFkBAAC2&#10;BQAAAAA=&#10;">
                        <v:fill on="f" focussize="0,0"/>
                        <v:stroke color="#000000" joinstyle="round" endarrow="block"/>
                        <v:imagedata o:title=""/>
                        <o:lock v:ext="edit" aspectratio="f"/>
                      </v:line>
                      <v:rect id="矩形 475" o:spid="_x0000_s1026" o:spt="1" style="position:absolute;left:1459865;top:3573145;height:273600;width:756000;" fillcolor="#FFFFFF" filled="t" stroked="t" coordsize="21600,21600" o:gfxdata="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MoW9w9UAAAAFAQAADwAAAAAA&#10;AAABACAAAAAiAAAAZHJzL2Rvd25yZXYueG1sUEsBAhQAFAAAAAgAh07iQCaFjvxPAgAAlwQAAA4A&#10;AAAAAAAAAQAgAAAAJAEAAGRycy9lMm9Eb2MueG1sUEsFBgAAAAAGAAYAWQEAAOUFAAAAAA==&#10;">
                        <v:fill on="t" focussize="0,0"/>
                        <v:stroke color="#000000" miterlimit="8" joinstyle="miter"/>
                        <v:imagedata o:title=""/>
                        <o:lock v:ext="edit" aspectratio="f"/>
                        <v:textbox>
                          <w:txbxContent>
                            <w:p>
                              <w:pPr>
                                <w:pStyle w:val="5"/>
                                <w:tabs>
                                  <w:tab w:val="left" w:pos="0"/>
                                </w:tabs>
                                <w:jc w:val="center"/>
                                <w:rPr>
                                  <w:sz w:val="21"/>
                                  <w:szCs w:val="21"/>
                                </w:rPr>
                              </w:pPr>
                              <w:r>
                                <w:rPr>
                                  <w:rFonts w:hint="eastAsia"/>
                                  <w:sz w:val="21"/>
                                  <w:szCs w:val="21"/>
                                </w:rPr>
                                <w:t>大气环境</w:t>
                              </w:r>
                            </w:p>
                          </w:txbxContent>
                        </v:textbox>
                      </v:rect>
                      <v:line id="直线 476" o:spid="_x0000_s1026" o:spt="20" style="position:absolute;left:2597666;top:248889;flip:y;height:239982;width:0;" filled="f" stroked="t" coordsize="21600,21600" o:gfxdata="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y/a9a1gAAAAUBAAAPAAAA&#10;AAAAAAEAIAAAACIAAABkcnMvZG93bnJldi54bWxQSwECFAAUAAAACACHTuJAguiBNxcCAAAQBAAA&#10;DgAAAAAAAAABACAAAAAlAQAAZHJzL2Uyb0RvYy54bWxQSwUGAAAAAAYABgBZAQAArgUAAAAA&#10;">
                        <v:fill on="f" focussize="0,0"/>
                        <v:stroke color="#000000" joinstyle="round" endarrow="block"/>
                        <v:imagedata o:title=""/>
                        <o:lock v:ext="edit" aspectratio="f"/>
                      </v:line>
                      <v:rect id="Rectangle 451" o:spid="_x0000_s1026" o:spt="1" style="position:absolute;left:1080135;top:4037964;height:286385;width:2971165;" fillcolor="#FFFFFF" filled="t" stroked="f" coordsize="21600,21600" o:gfxdata="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4fHKd&#10;1AAAAAUBAAAPAAAAAAAAAAEAIAAAACIAAABkcnMvZG93bnJldi54bWxQSwECFAAUAAAACACHTuJA&#10;eTOYMCUCAABEBAAADgAAAAAAAAABACAAAAAjAQAAZHJzL2Uyb0RvYy54bWxQSwUGAAAAAAYABgBZ&#10;AQAAugUAAAAA&#10;">
                        <v:fill on="t" focussize="0,0"/>
                        <v:stroke on="f"/>
                        <v:imagedata o:title=""/>
                        <o:lock v:ext="edit" aspectratio="f"/>
                        <v:textbox>
                          <w:txbxContent>
                            <w:p>
                              <w:pPr>
                                <w:jc w:val="center"/>
                                <w:rPr>
                                  <w:b/>
                                </w:rPr>
                              </w:pPr>
                              <w:r>
                                <w:rPr>
                                  <w:rFonts w:hint="eastAsia"/>
                                  <w:b/>
                                </w:rPr>
                                <w:t>图2-</w:t>
                              </w:r>
                              <w:r>
                                <w:rPr>
                                  <w:b/>
                                </w:rPr>
                                <w:t xml:space="preserve">2 </w:t>
                              </w:r>
                              <w:r>
                                <w:rPr>
                                  <w:rFonts w:hint="eastAsia"/>
                                  <w:b/>
                                </w:rPr>
                                <w:t>施工期工艺流程及产污图</w:t>
                              </w:r>
                            </w:p>
                          </w:txbxContent>
                        </v:textbox>
                      </v:rect>
                      <v:line id="直线 469" o:spid="_x0000_s1026" o:spt="20" style="position:absolute;left:662623;top:2797090;flip:x;height:247735;width:1014;" filled="f" stroked="t" coordsize="21600,21600" o:gfxdata="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L9r1rW&#10;AAAABQEAAA8AAAAAAAAAAQAgAAAAIgAAAGRycy9kb3ducmV2LnhtbFBLAQIUABQAAAAIAIdO4kC4&#10;wuZsIgIAAC8EAAAOAAAAAAAAAAEAIAAAACUBAABkcnMvZTJvRG9jLnhtbFBLBQYAAAAABgAGAFkB&#10;AAC5BQAAAAA=&#10;">
                        <v:fill on="f" focussize="0,0"/>
                        <v:stroke color="#000000" joinstyle="round" endarrow="block"/>
                        <v:imagedata o:title=""/>
                        <o:lock v:ext="edit" aspectratio="f"/>
                      </v:line>
                      <w10:wrap type="none"/>
                      <w10:anchorlock/>
                    </v:group>
                  </w:pict>
                </mc:Fallback>
              </mc:AlternateContent>
            </w:r>
          </w:p>
          <w:p>
            <w:pPr>
              <w:adjustRightInd w:val="0"/>
              <w:snapToGrid w:val="0"/>
              <w:spacing w:line="360" w:lineRule="auto"/>
              <w:ind w:firstLine="482" w:firstLineChars="200"/>
              <w:jc w:val="left"/>
              <w:rPr>
                <w:rFonts w:eastAsiaTheme="minorEastAsia"/>
                <w:b/>
                <w:bCs/>
                <w:sz w:val="24"/>
              </w:rPr>
            </w:pPr>
            <w:r>
              <w:rPr>
                <w:rFonts w:hint="eastAsia"/>
                <w:b/>
                <w:bCs/>
                <w:sz w:val="24"/>
              </w:rPr>
              <w:t>二、营运期工艺流程及产污分析</w:t>
            </w:r>
          </w:p>
          <w:p>
            <w:pPr>
              <w:adjustRightInd w:val="0"/>
              <w:snapToGrid w:val="0"/>
              <w:spacing w:line="360" w:lineRule="auto"/>
              <w:ind w:firstLine="480" w:firstLineChars="200"/>
              <w:jc w:val="left"/>
              <w:rPr>
                <w:bCs/>
                <w:sz w:val="24"/>
              </w:rPr>
            </w:pPr>
            <w:r>
              <w:rPr>
                <w:rFonts w:hint="eastAsia"/>
                <w:bCs/>
                <w:sz w:val="24"/>
              </w:rPr>
              <w:t>本项目为新建砂石加工项目，建设砂石加工生产厂房和成品堆场。</w:t>
            </w:r>
          </w:p>
          <w:p>
            <w:pPr>
              <w:adjustRightInd w:val="0"/>
              <w:snapToGrid w:val="0"/>
              <w:spacing w:line="360" w:lineRule="auto"/>
              <w:ind w:firstLine="482" w:firstLineChars="200"/>
              <w:jc w:val="left"/>
              <w:rPr>
                <w:b/>
                <w:bCs/>
                <w:sz w:val="24"/>
              </w:rPr>
            </w:pPr>
            <w:r>
              <w:rPr>
                <w:rFonts w:hint="eastAsia"/>
                <w:b/>
                <w:bCs/>
                <w:sz w:val="24"/>
              </w:rPr>
              <w:t>1、工艺流程</w:t>
            </w:r>
          </w:p>
          <w:p>
            <w:pPr>
              <w:adjustRightInd w:val="0"/>
              <w:snapToGrid w:val="0"/>
              <w:spacing w:line="360" w:lineRule="auto"/>
              <w:ind w:firstLine="480" w:firstLineChars="200"/>
              <w:jc w:val="left"/>
              <w:rPr>
                <w:bCs/>
                <w:sz w:val="24"/>
              </w:rPr>
            </w:pPr>
            <w:r>
              <w:rPr>
                <w:rFonts w:hint="eastAsia"/>
                <w:bCs/>
                <w:sz w:val="24"/>
              </w:rPr>
              <w:t>本次建设主要工艺流程如下图所示。</w:t>
            </w:r>
          </w:p>
          <w:p>
            <w:pPr>
              <w:spacing w:line="360" w:lineRule="auto"/>
              <w:rPr>
                <w:b/>
                <w:bCs/>
                <w:sz w:val="24"/>
              </w:rPr>
            </w:pPr>
            <w:r>
              <w:rPr>
                <w:bCs/>
                <w:sz w:val="24"/>
              </w:rPr>
              <mc:AlternateContent>
                <mc:Choice Requires="wpc">
                  <w:drawing>
                    <wp:inline distT="0" distB="0" distL="0" distR="0">
                      <wp:extent cx="5472430" cy="6132830"/>
                      <wp:effectExtent l="0" t="0" r="0" b="1270"/>
                      <wp:docPr id="53" name="画布 5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s:wsp>
                              <wps:cNvPr id="244" name="文本框 39"/>
                              <wps:cNvSpPr txBox="1"/>
                              <wps:spPr>
                                <a:xfrm>
                                  <a:off x="923814" y="2795786"/>
                                  <a:ext cx="417830" cy="245745"/>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hint="eastAsia" w:ascii="Times New Roman"/>
                                        <w:kern w:val="2"/>
                                        <w:sz w:val="18"/>
                                        <w:szCs w:val="18"/>
                                      </w:rPr>
                                      <w:t>清水</w:t>
                                    </w:r>
                                  </w:p>
                                </w:txbxContent>
                              </wps:txbx>
                              <wps:bodyPr rot="0" spcFirstLastPara="0" vert="horz" wrap="none" lIns="91440" tIns="45720" rIns="91440" bIns="45720" numCol="1" spcCol="0" rtlCol="0" fromWordArt="0" anchor="t" anchorCtr="0" forceAA="0" compatLnSpc="1">
                                <a:spAutoFit/>
                              </wps:bodyPr>
                            </wps:wsp>
                            <wps:wsp>
                              <wps:cNvPr id="243" name="文本框 82"/>
                              <wps:cNvSpPr txBox="1"/>
                              <wps:spPr>
                                <a:xfrm>
                                  <a:off x="2553525" y="3962105"/>
                                  <a:ext cx="647065" cy="22923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W</w:t>
                                    </w:r>
                                  </w:p>
                                </w:txbxContent>
                              </wps:txbx>
                              <wps:bodyPr rot="0" spcFirstLastPara="0" vert="horz" wrap="square" lIns="91440" tIns="45720" rIns="91440" bIns="45720" numCol="1" spcCol="0" rtlCol="0" fromWordArt="0" anchor="t" anchorCtr="0" forceAA="0" compatLnSpc="1">
                                <a:spAutoFit/>
                              </wps:bodyPr>
                            </wps:wsp>
                            <wps:wsp>
                              <wps:cNvPr id="475" name="文本框 475"/>
                              <wps:cNvSpPr txBox="1"/>
                              <wps:spPr>
                                <a:xfrm>
                                  <a:off x="3405075" y="283922"/>
                                  <a:ext cx="418465" cy="245745"/>
                                </a:xfrm>
                                <a:prstGeom prst="rect">
                                  <a:avLst/>
                                </a:prstGeom>
                                <a:solidFill>
                                  <a:schemeClr val="lt1"/>
                                </a:solidFill>
                                <a:ln w="6350">
                                  <a:noFill/>
                                </a:ln>
                              </wps:spPr>
                              <wps:txbx>
                                <w:txbxContent>
                                  <w:p>
                                    <w:pPr>
                                      <w:rPr>
                                        <w:sz w:val="18"/>
                                      </w:rPr>
                                    </w:pPr>
                                    <w:r>
                                      <w:rPr>
                                        <w:rFonts w:hint="eastAsia"/>
                                        <w:sz w:val="18"/>
                                      </w:rPr>
                                      <w:t>投料</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238" name="文本框 82"/>
                              <wps:cNvSpPr txBox="1"/>
                              <wps:spPr>
                                <a:xfrm>
                                  <a:off x="4000090" y="168787"/>
                                  <a:ext cx="468630" cy="24574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N</w:t>
                                    </w:r>
                                    <w:r>
                                      <w:rPr>
                                        <w:rFonts w:ascii="Times New Roman" w:hAnsi="Times New Roman"/>
                                        <w:kern w:val="2"/>
                                        <w:sz w:val="18"/>
                                        <w:szCs w:val="18"/>
                                      </w:rPr>
                                      <w:t>、</w:t>
                                    </w:r>
                                    <w:r>
                                      <w:rPr>
                                        <w:rFonts w:ascii="Times New Roman" w:hAnsi="Times New Roman" w:eastAsia="Times New Roman"/>
                                        <w:kern w:val="2"/>
                                        <w:sz w:val="18"/>
                                        <w:szCs w:val="18"/>
                                      </w:rPr>
                                      <w:t>G</w:t>
                                    </w:r>
                                  </w:p>
                                </w:txbxContent>
                              </wps:txbx>
                              <wps:bodyPr rot="0" spcFirstLastPara="0" vert="horz" wrap="none" lIns="91440" tIns="45720" rIns="91440" bIns="45720" numCol="1" spcCol="0" rtlCol="0" fromWordArt="0" anchor="t" anchorCtr="0" forceAA="0" compatLnSpc="1">
                                <a:spAutoFit/>
                              </wps:bodyPr>
                            </wps:wsp>
                            <wps:wsp>
                              <wps:cNvPr id="239" name="直接箭头连接符 239"/>
                              <wps:cNvCnPr/>
                              <wps:spPr>
                                <a:xfrm flipV="1">
                                  <a:off x="3792445" y="382151"/>
                                  <a:ext cx="250190" cy="133985"/>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71" name="文本框 71"/>
                              <wps:cNvSpPr txBox="1"/>
                              <wps:spPr>
                                <a:xfrm>
                                  <a:off x="2476999" y="4948525"/>
                                  <a:ext cx="589915" cy="592095"/>
                                </a:xfrm>
                                <a:prstGeom prst="rect">
                                  <a:avLst/>
                                </a:prstGeom>
                                <a:solidFill>
                                  <a:schemeClr val="bg2">
                                    <a:lumMod val="90000"/>
                                  </a:schemeClr>
                                </a:solidFill>
                                <a:ln w="6350">
                                  <a:solidFill>
                                    <a:schemeClr val="tx1"/>
                                  </a:solidFill>
                                </a:ln>
                              </wps:spPr>
                              <wps:txbx>
                                <w:txbxContent>
                                  <w:p>
                                    <w:pPr>
                                      <w:jc w:val="center"/>
                                    </w:pPr>
                                    <w:r>
                                      <w:rPr>
                                        <w:rFonts w:hint="eastAsia"/>
                                      </w:rPr>
                                      <w:t>产品2</w:t>
                                    </w:r>
                                  </w:p>
                                  <w:p>
                                    <w:pPr>
                                      <w:jc w:val="center"/>
                                    </w:pPr>
                                    <w:r>
                                      <w:rPr>
                                        <w:rFonts w:hint="eastAsia"/>
                                      </w:rPr>
                                      <w:t>机制砂</w:t>
                                    </w:r>
                                  </w:p>
                                </w:txbxContent>
                              </wps:txbx>
                              <wps:bodyPr rot="0" spcFirstLastPara="0" vertOverflow="overflow" horzOverflow="overflow" vert="horz" wrap="none" lIns="91440" tIns="45720" rIns="91440" bIns="45720" numCol="1" spcCol="0" rtlCol="0" fromWordArt="0" anchor="ctr" anchorCtr="0" forceAA="0" compatLnSpc="1">
                                <a:noAutofit/>
                              </wps:bodyPr>
                            </wps:wsp>
                            <wps:wsp>
                              <wps:cNvPr id="231" name="文本框 477"/>
                              <wps:cNvSpPr txBox="1"/>
                              <wps:spPr>
                                <a:xfrm>
                                  <a:off x="3441376" y="2899296"/>
                                  <a:ext cx="532765" cy="245110"/>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hint="eastAsia" w:ascii="Times New Roman"/>
                                        <w:kern w:val="2"/>
                                        <w:sz w:val="18"/>
                                        <w:szCs w:val="18"/>
                                      </w:rPr>
                                      <w:t>输送带</w:t>
                                    </w:r>
                                  </w:p>
                                </w:txbxContent>
                              </wps:txbx>
                              <wps:bodyPr rot="0" spcFirstLastPara="0" vert="horz" wrap="none" lIns="91440" tIns="45720" rIns="91440" bIns="45720" numCol="1" spcCol="0" rtlCol="0" fromWordArt="0" anchor="t" anchorCtr="0" forceAA="0" compatLnSpc="1">
                                <a:spAutoFit/>
                              </wps:bodyPr>
                            </wps:wsp>
                            <wps:wsp>
                              <wps:cNvPr id="230" name="文本框 477"/>
                              <wps:cNvSpPr txBox="1"/>
                              <wps:spPr>
                                <a:xfrm>
                                  <a:off x="3431525" y="2339876"/>
                                  <a:ext cx="532765" cy="245110"/>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hint="eastAsia" w:ascii="Times New Roman"/>
                                        <w:kern w:val="2"/>
                                        <w:sz w:val="18"/>
                                        <w:szCs w:val="18"/>
                                      </w:rPr>
                                      <w:t>输送带</w:t>
                                    </w:r>
                                  </w:p>
                                </w:txbxContent>
                              </wps:txbx>
                              <wps:bodyPr rot="0" spcFirstLastPara="0" vert="horz" wrap="none" lIns="91440" tIns="45720" rIns="91440" bIns="45720" numCol="1" spcCol="0" rtlCol="0" fromWordArt="0" anchor="t" anchorCtr="0" forceAA="0" compatLnSpc="1">
                                <a:spAutoFit/>
                              </wps:bodyPr>
                            </wps:wsp>
                            <wps:wsp>
                              <wps:cNvPr id="229" name="文本框 477"/>
                              <wps:cNvSpPr txBox="1"/>
                              <wps:spPr>
                                <a:xfrm>
                                  <a:off x="3419697" y="1835556"/>
                                  <a:ext cx="532765" cy="245110"/>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hint="eastAsia" w:ascii="Times New Roman"/>
                                        <w:kern w:val="2"/>
                                        <w:sz w:val="18"/>
                                        <w:szCs w:val="18"/>
                                      </w:rPr>
                                      <w:t>输送带</w:t>
                                    </w:r>
                                  </w:p>
                                </w:txbxContent>
                              </wps:txbx>
                              <wps:bodyPr rot="0" spcFirstLastPara="0" vert="horz" wrap="none" lIns="91440" tIns="45720" rIns="91440" bIns="45720" numCol="1" spcCol="0" rtlCol="0" fromWordArt="0" anchor="t" anchorCtr="0" forceAA="0" compatLnSpc="1">
                                <a:spAutoFit/>
                              </wps:bodyPr>
                            </wps:wsp>
                            <wps:wsp>
                              <wps:cNvPr id="228" name="文本框 477"/>
                              <wps:cNvSpPr txBox="1"/>
                              <wps:spPr>
                                <a:xfrm>
                                  <a:off x="3407730" y="1312398"/>
                                  <a:ext cx="532765" cy="245110"/>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hint="eastAsia" w:ascii="Times New Roman"/>
                                        <w:kern w:val="2"/>
                                        <w:sz w:val="18"/>
                                        <w:szCs w:val="18"/>
                                      </w:rPr>
                                      <w:t>输送带</w:t>
                                    </w:r>
                                  </w:p>
                                </w:txbxContent>
                              </wps:txbx>
                              <wps:bodyPr rot="0" spcFirstLastPara="0" vert="horz" wrap="none" lIns="91440" tIns="45720" rIns="91440" bIns="45720" numCol="1" spcCol="0" rtlCol="0" fromWordArt="0" anchor="t" anchorCtr="0" forceAA="0" compatLnSpc="1">
                                <a:spAutoFit/>
                              </wps:bodyPr>
                            </wps:wsp>
                            <wps:wsp>
                              <wps:cNvPr id="477" name="文本框 477"/>
                              <wps:cNvSpPr txBox="1"/>
                              <wps:spPr>
                                <a:xfrm>
                                  <a:off x="3400088" y="813387"/>
                                  <a:ext cx="532765" cy="245745"/>
                                </a:xfrm>
                                <a:prstGeom prst="rect">
                                  <a:avLst/>
                                </a:prstGeom>
                                <a:solidFill>
                                  <a:schemeClr val="lt1"/>
                                </a:solidFill>
                                <a:ln w="6350">
                                  <a:noFill/>
                                </a:ln>
                              </wps:spPr>
                              <wps:txbx>
                                <w:txbxContent>
                                  <w:p>
                                    <w:pPr>
                                      <w:rPr>
                                        <w:sz w:val="18"/>
                                      </w:rPr>
                                    </w:pPr>
                                    <w:r>
                                      <w:rPr>
                                        <w:sz w:val="18"/>
                                      </w:rPr>
                                      <w:t>输送带</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204" name="文本框 82"/>
                              <wps:cNvSpPr txBox="1"/>
                              <wps:spPr>
                                <a:xfrm>
                                  <a:off x="125125" y="2200114"/>
                                  <a:ext cx="284658" cy="22923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W</w:t>
                                    </w:r>
                                  </w:p>
                                </w:txbxContent>
                              </wps:txbx>
                              <wps:bodyPr rot="0" spcFirstLastPara="0" vert="horz" wrap="square" lIns="91440" tIns="45720" rIns="91440" bIns="45720" numCol="1" spcCol="0" rtlCol="0" fromWordArt="0" anchor="t" anchorCtr="0" forceAA="0" compatLnSpc="1">
                                <a:spAutoFit/>
                              </wps:bodyPr>
                            </wps:wsp>
                            <wps:wsp>
                              <wps:cNvPr id="484" name="文本框 484"/>
                              <wps:cNvSpPr txBox="1"/>
                              <wps:spPr>
                                <a:xfrm>
                                  <a:off x="390056" y="2119360"/>
                                  <a:ext cx="418465" cy="245745"/>
                                </a:xfrm>
                                <a:prstGeom prst="rect">
                                  <a:avLst/>
                                </a:prstGeom>
                                <a:solidFill>
                                  <a:schemeClr val="lt1"/>
                                </a:solidFill>
                                <a:ln w="6350">
                                  <a:noFill/>
                                </a:ln>
                              </wps:spPr>
                              <wps:txbx>
                                <w:txbxContent>
                                  <w:p>
                                    <w:pPr>
                                      <w:rPr>
                                        <w:sz w:val="18"/>
                                      </w:rPr>
                                    </w:pPr>
                                    <w:r>
                                      <w:rPr>
                                        <w:rFonts w:hint="eastAsia"/>
                                        <w:sz w:val="18"/>
                                      </w:rPr>
                                      <w:t>泥水</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39" name="文本框 39"/>
                              <wps:cNvSpPr txBox="1"/>
                              <wps:spPr>
                                <a:xfrm>
                                  <a:off x="333262" y="2635613"/>
                                  <a:ext cx="418465" cy="245745"/>
                                </a:xfrm>
                                <a:prstGeom prst="rect">
                                  <a:avLst/>
                                </a:prstGeom>
                                <a:solidFill>
                                  <a:schemeClr val="lt1"/>
                                </a:solidFill>
                                <a:ln w="6350">
                                  <a:noFill/>
                                </a:ln>
                              </wps:spPr>
                              <wps:txbx>
                                <w:txbxContent>
                                  <w:p>
                                    <w:pPr>
                                      <w:rPr>
                                        <w:sz w:val="18"/>
                                        <w:szCs w:val="18"/>
                                      </w:rPr>
                                    </w:pPr>
                                    <w:r>
                                      <w:rPr>
                                        <w:rFonts w:hint="eastAsia"/>
                                        <w:sz w:val="18"/>
                                        <w:szCs w:val="18"/>
                                      </w:rPr>
                                      <w:t>清水</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188" name="文本框 82"/>
                              <wps:cNvSpPr txBox="1"/>
                              <wps:spPr>
                                <a:xfrm>
                                  <a:off x="1661225" y="4287688"/>
                                  <a:ext cx="647065" cy="22923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W</w:t>
                                    </w:r>
                                  </w:p>
                                </w:txbxContent>
                              </wps:txbx>
                              <wps:bodyPr rot="0" spcFirstLastPara="0" vert="horz" wrap="square" lIns="91440" tIns="45720" rIns="91440" bIns="45720" numCol="1" spcCol="0" rtlCol="0" fromWordArt="0" anchor="t" anchorCtr="0" forceAA="0" compatLnSpc="1">
                                <a:spAutoFit/>
                              </wps:bodyPr>
                            </wps:wsp>
                            <wps:wsp>
                              <wps:cNvPr id="186" name="文本框 82"/>
                              <wps:cNvSpPr txBox="1"/>
                              <wps:spPr>
                                <a:xfrm>
                                  <a:off x="801975" y="1597276"/>
                                  <a:ext cx="465455" cy="22923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W</w:t>
                                    </w:r>
                                  </w:p>
                                </w:txbxContent>
                              </wps:txbx>
                              <wps:bodyPr rot="0" spcFirstLastPara="0" vert="horz" wrap="square" lIns="91440" tIns="45720" rIns="91440" bIns="45720" numCol="1" spcCol="0" rtlCol="0" fromWordArt="0" anchor="t" anchorCtr="0" forceAA="0" compatLnSpc="1">
                                <a:spAutoFit/>
                              </wps:bodyPr>
                            </wps:wsp>
                            <wps:wsp>
                              <wps:cNvPr id="183" name="文本框 82"/>
                              <wps:cNvSpPr txBox="1"/>
                              <wps:spPr>
                                <a:xfrm>
                                  <a:off x="2175001" y="1202081"/>
                                  <a:ext cx="465455" cy="22923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W</w:t>
                                    </w:r>
                                  </w:p>
                                </w:txbxContent>
                              </wps:txbx>
                              <wps:bodyPr rot="0" spcFirstLastPara="0" vert="horz" wrap="square" lIns="91440" tIns="45720" rIns="91440" bIns="45720" numCol="1" spcCol="0" rtlCol="0" fromWordArt="0" anchor="t" anchorCtr="0" forceAA="0" compatLnSpc="1">
                                <a:spAutoFit/>
                              </wps:bodyPr>
                            </wps:wsp>
                            <wps:wsp>
                              <wps:cNvPr id="187" name="文本框 71"/>
                              <wps:cNvSpPr txBox="1"/>
                              <wps:spPr>
                                <a:xfrm>
                                  <a:off x="2485811" y="2599911"/>
                                  <a:ext cx="487045" cy="22923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szCs w:val="24"/>
                                      </w:rPr>
                                    </w:pPr>
                                    <w:r>
                                      <w:rPr>
                                        <w:rFonts w:ascii="Times New Roman" w:hAnsi="Times New Roman"/>
                                        <w:kern w:val="2"/>
                                        <w:sz w:val="18"/>
                                        <w:szCs w:val="18"/>
                                      </w:rPr>
                                      <w:t>≤</w:t>
                                    </w:r>
                                    <w:r>
                                      <w:rPr>
                                        <w:rFonts w:ascii="Times New Roman" w:hAnsi="Times New Roman" w:eastAsiaTheme="minorEastAsia"/>
                                        <w:kern w:val="2"/>
                                        <w:sz w:val="18"/>
                                        <w:szCs w:val="18"/>
                                      </w:rPr>
                                      <w:t>5</w:t>
                                    </w:r>
                                    <w:r>
                                      <w:rPr>
                                        <w:rFonts w:ascii="Times New Roman" w:hAnsi="Times New Roman" w:eastAsia="Times New Roman"/>
                                        <w:kern w:val="2"/>
                                        <w:sz w:val="18"/>
                                        <w:szCs w:val="18"/>
                                      </w:rPr>
                                      <w:t>mm</w:t>
                                    </w:r>
                                  </w:p>
                                </w:txbxContent>
                              </wps:txbx>
                              <wps:bodyPr rot="0" spcFirstLastPara="0" vert="horz" wrap="none" lIns="91440" tIns="45720" rIns="91440" bIns="45720" numCol="1" spcCol="0" rtlCol="0" fromWordArt="0" anchor="t" anchorCtr="0" forceAA="0" compatLnSpc="1">
                                <a:spAutoFit/>
                              </wps:bodyPr>
                            </wps:wsp>
                            <wps:wsp>
                              <wps:cNvPr id="152" name="文本框 82"/>
                              <wps:cNvSpPr txBox="1"/>
                              <wps:spPr>
                                <a:xfrm>
                                  <a:off x="3067570" y="4229893"/>
                                  <a:ext cx="443865" cy="229235"/>
                                </a:xfrm>
                                <a:prstGeom prst="rect">
                                  <a:avLst/>
                                </a:prstGeom>
                                <a:solidFill>
                                  <a:schemeClr val="lt1"/>
                                </a:solidFill>
                                <a:ln w="6350">
                                  <a:noFill/>
                                </a:ln>
                              </wps:spPr>
                              <wps:txbx>
                                <w:txbxContent>
                                  <w:p>
                                    <w:pPr>
                                      <w:pStyle w:val="12"/>
                                      <w:spacing w:before="0" w:beforeAutospacing="0" w:after="0" w:afterAutospacing="0"/>
                                      <w:jc w:val="both"/>
                                      <w:rPr>
                                        <w:sz w:val="22"/>
                                        <w:szCs w:val="24"/>
                                      </w:rPr>
                                    </w:pPr>
                                    <w:r>
                                      <w:rPr>
                                        <w:rFonts w:hint="eastAsia" w:ascii="Times New Roman"/>
                                        <w:kern w:val="2"/>
                                        <w:sz w:val="18"/>
                                      </w:rPr>
                                      <w:t>N</w:t>
                                    </w:r>
                                  </w:p>
                                </w:txbxContent>
                              </wps:txbx>
                              <wps:bodyPr rot="0" spcFirstLastPara="0" vert="horz" wrap="square" lIns="91440" tIns="45720" rIns="91440" bIns="45720" numCol="1" spcCol="0" rtlCol="0" fromWordArt="0" anchor="t" anchorCtr="0" forceAA="0" compatLnSpc="1">
                                <a:spAutoFit/>
                              </wps:bodyPr>
                            </wps:wsp>
                            <wps:wsp>
                              <wps:cNvPr id="139" name="文本框 71"/>
                              <wps:cNvSpPr txBox="1"/>
                              <wps:spPr>
                                <a:xfrm>
                                  <a:off x="1495846" y="1290549"/>
                                  <a:ext cx="539115" cy="245745"/>
                                </a:xfrm>
                                <a:prstGeom prst="rect">
                                  <a:avLst/>
                                </a:prstGeom>
                                <a:solidFill>
                                  <a:schemeClr val="lt1"/>
                                </a:solidFill>
                                <a:ln w="6350">
                                  <a:noFill/>
                                </a:ln>
                              </wps:spPr>
                              <wps:txbx>
                                <w:txbxContent>
                                  <w:p>
                                    <w:pPr>
                                      <w:pStyle w:val="12"/>
                                      <w:spacing w:before="0" w:beforeAutospacing="0" w:after="0" w:afterAutospacing="0"/>
                                      <w:jc w:val="both"/>
                                      <w:rPr>
                                        <w:sz w:val="22"/>
                                        <w:szCs w:val="24"/>
                                      </w:rPr>
                                    </w:pPr>
                                    <w:r>
                                      <w:rPr>
                                        <w:rFonts w:hint="eastAsia"/>
                                        <w:kern w:val="2"/>
                                        <w:sz w:val="18"/>
                                      </w:rPr>
                                      <w:t>≤</w:t>
                                    </w:r>
                                    <w:r>
                                      <w:rPr>
                                        <w:rFonts w:ascii="Times New Roman" w:hAnsi="Times New Roman"/>
                                        <w:kern w:val="2"/>
                                        <w:sz w:val="18"/>
                                      </w:rPr>
                                      <w:t>5mm</w:t>
                                    </w:r>
                                  </w:p>
                                </w:txbxContent>
                              </wps:txbx>
                              <wps:bodyPr rot="0" spcFirstLastPara="0" vert="horz" wrap="none" lIns="91440" tIns="45720" rIns="91440" bIns="45720" numCol="1" spcCol="0" rtlCol="0" fromWordArt="0" anchor="t" anchorCtr="0" forceAA="0" compatLnSpc="1">
                                <a:spAutoFit/>
                              </wps:bodyPr>
                            </wps:wsp>
                            <wps:wsp>
                              <wps:cNvPr id="156" name="文本框 82"/>
                              <wps:cNvSpPr txBox="1"/>
                              <wps:spPr>
                                <a:xfrm>
                                  <a:off x="2501460" y="1351540"/>
                                  <a:ext cx="465455" cy="229235"/>
                                </a:xfrm>
                                <a:prstGeom prst="rect">
                                  <a:avLst/>
                                </a:prstGeom>
                                <a:solidFill>
                                  <a:schemeClr val="lt1"/>
                                </a:solidFill>
                                <a:ln w="6350">
                                  <a:noFill/>
                                </a:ln>
                              </wps:spPr>
                              <wps:txbx>
                                <w:txbxContent>
                                  <w:p>
                                    <w:pPr>
                                      <w:pStyle w:val="12"/>
                                      <w:spacing w:before="0" w:beforeAutospacing="0" w:after="0" w:afterAutospacing="0"/>
                                      <w:jc w:val="both"/>
                                      <w:rPr>
                                        <w:sz w:val="18"/>
                                        <w:szCs w:val="18"/>
                                      </w:rPr>
                                    </w:pPr>
                                    <w:r>
                                      <w:rPr>
                                        <w:rFonts w:hint="eastAsia" w:ascii="Times New Roman"/>
                                        <w:kern w:val="2"/>
                                        <w:sz w:val="18"/>
                                        <w:szCs w:val="18"/>
                                      </w:rPr>
                                      <w:t>N</w:t>
                                    </w:r>
                                  </w:p>
                                </w:txbxContent>
                              </wps:txbx>
                              <wps:bodyPr rot="0" spcFirstLastPara="0" vert="horz" wrap="square" lIns="91440" tIns="45720" rIns="91440" bIns="45720" numCol="1" spcCol="0" rtlCol="0" fromWordArt="0" anchor="t" anchorCtr="0" forceAA="0" compatLnSpc="1">
                                <a:spAutoFit/>
                              </wps:bodyPr>
                            </wps:wsp>
                            <wps:wsp>
                              <wps:cNvPr id="157" name="直接箭头连接符 157"/>
                              <wps:cNvCnPr/>
                              <wps:spPr>
                                <a:xfrm flipV="1">
                                  <a:off x="2351506" y="1515582"/>
                                  <a:ext cx="202019" cy="144146"/>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150" name="文本框 82"/>
                              <wps:cNvSpPr txBox="1"/>
                              <wps:spPr>
                                <a:xfrm>
                                  <a:off x="3999398" y="1724233"/>
                                  <a:ext cx="271780" cy="229235"/>
                                </a:xfrm>
                                <a:prstGeom prst="rect">
                                  <a:avLst/>
                                </a:prstGeom>
                                <a:solidFill>
                                  <a:schemeClr val="lt1"/>
                                </a:solidFill>
                                <a:ln w="6350">
                                  <a:noFill/>
                                </a:ln>
                              </wps:spPr>
                              <wps:txbx>
                                <w:txbxContent>
                                  <w:p>
                                    <w:pPr>
                                      <w:pStyle w:val="12"/>
                                      <w:spacing w:before="0" w:beforeAutospacing="0" w:after="0" w:afterAutospacing="0"/>
                                      <w:jc w:val="both"/>
                                      <w:rPr>
                                        <w:sz w:val="22"/>
                                        <w:szCs w:val="24"/>
                                      </w:rPr>
                                    </w:pPr>
                                    <w:r>
                                      <w:rPr>
                                        <w:rFonts w:hint="eastAsia" w:ascii="Times New Roman"/>
                                        <w:kern w:val="2"/>
                                        <w:sz w:val="18"/>
                                      </w:rPr>
                                      <w:t>N</w:t>
                                    </w:r>
                                  </w:p>
                                </w:txbxContent>
                              </wps:txbx>
                              <wps:bodyPr rot="0" spcFirstLastPara="0" vert="horz" wrap="none" lIns="91440" tIns="45720" rIns="91440" bIns="45720" numCol="1" spcCol="0" rtlCol="0" fromWordArt="0" anchor="t" anchorCtr="0" forceAA="0" compatLnSpc="1">
                                <a:spAutoFit/>
                              </wps:bodyPr>
                            </wps:wsp>
                            <wps:wsp>
                              <wps:cNvPr id="146" name="文本框 82"/>
                              <wps:cNvSpPr txBox="1"/>
                              <wps:spPr>
                                <a:xfrm>
                                  <a:off x="4000090" y="689427"/>
                                  <a:ext cx="468630" cy="245745"/>
                                </a:xfrm>
                                <a:prstGeom prst="rect">
                                  <a:avLst/>
                                </a:prstGeom>
                                <a:solidFill>
                                  <a:schemeClr val="lt1"/>
                                </a:solidFill>
                                <a:ln w="6350">
                                  <a:noFill/>
                                </a:ln>
                              </wps:spPr>
                              <wps:txbx>
                                <w:txbxContent>
                                  <w:p>
                                    <w:pPr>
                                      <w:pStyle w:val="12"/>
                                      <w:spacing w:before="0" w:beforeAutospacing="0" w:after="0" w:afterAutospacing="0"/>
                                      <w:jc w:val="both"/>
                                      <w:rPr>
                                        <w:sz w:val="22"/>
                                        <w:szCs w:val="24"/>
                                      </w:rPr>
                                    </w:pPr>
                                    <w:r>
                                      <w:rPr>
                                        <w:rFonts w:hint="eastAsia" w:ascii="Times New Roman"/>
                                        <w:kern w:val="2"/>
                                        <w:sz w:val="18"/>
                                      </w:rPr>
                                      <w:t>N、</w:t>
                                    </w:r>
                                    <w:r>
                                      <w:rPr>
                                        <w:rFonts w:ascii="Times New Roman"/>
                                        <w:kern w:val="2"/>
                                        <w:sz w:val="18"/>
                                      </w:rPr>
                                      <w:t>G</w:t>
                                    </w:r>
                                  </w:p>
                                </w:txbxContent>
                              </wps:txbx>
                              <wps:bodyPr rot="0" spcFirstLastPara="0" vert="horz" wrap="none" lIns="91440" tIns="45720" rIns="91440" bIns="45720" numCol="1" spcCol="0" rtlCol="0" fromWordArt="0" anchor="t" anchorCtr="0" forceAA="0" compatLnSpc="1">
                                <a:spAutoFit/>
                              </wps:bodyPr>
                            </wps:wsp>
                            <wps:wsp>
                              <wps:cNvPr id="147" name="直接箭头连接符 147"/>
                              <wps:cNvCnPr/>
                              <wps:spPr>
                                <a:xfrm flipV="1">
                                  <a:off x="3792515" y="897259"/>
                                  <a:ext cx="250190" cy="13462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130" name="文本框 71"/>
                              <wps:cNvSpPr txBox="1"/>
                              <wps:spPr>
                                <a:xfrm>
                                  <a:off x="2640456" y="3437436"/>
                                  <a:ext cx="681990" cy="245745"/>
                                </a:xfrm>
                                <a:prstGeom prst="rect">
                                  <a:avLst/>
                                </a:prstGeom>
                                <a:solidFill>
                                  <a:schemeClr val="lt1"/>
                                </a:solidFill>
                                <a:ln w="6350">
                                  <a:noFill/>
                                </a:ln>
                              </wps:spPr>
                              <wps:txbx>
                                <w:txbxContent>
                                  <w:p>
                                    <w:pPr>
                                      <w:pStyle w:val="12"/>
                                      <w:spacing w:before="0" w:beforeAutospacing="0" w:after="0" w:afterAutospacing="0"/>
                                      <w:jc w:val="both"/>
                                      <w:rPr>
                                        <w:sz w:val="22"/>
                                        <w:szCs w:val="24"/>
                                      </w:rPr>
                                    </w:pPr>
                                    <w:r>
                                      <w:rPr>
                                        <w:rFonts w:hint="eastAsia"/>
                                        <w:kern w:val="2"/>
                                        <w:sz w:val="18"/>
                                      </w:rPr>
                                      <w:t>≥</w:t>
                                    </w:r>
                                    <w:r>
                                      <w:rPr>
                                        <w:rFonts w:ascii="Times New Roman" w:hAnsi="Times New Roman"/>
                                        <w:kern w:val="2"/>
                                        <w:sz w:val="18"/>
                                      </w:rPr>
                                      <w:t>31.5mm</w:t>
                                    </w:r>
                                  </w:p>
                                </w:txbxContent>
                              </wps:txbx>
                              <wps:bodyPr rot="0" spcFirstLastPara="0" vert="horz" wrap="none" lIns="91440" tIns="45720" rIns="91440" bIns="45720" numCol="1" spcCol="0" rtlCol="0" fromWordArt="0" anchor="t" anchorCtr="0" forceAA="0" compatLnSpc="1">
                                <a:spAutoFit/>
                              </wps:bodyPr>
                            </wps:wsp>
                            <wps:wsp>
                              <wps:cNvPr id="129" name="文本框 71"/>
                              <wps:cNvSpPr txBox="1"/>
                              <wps:spPr>
                                <a:xfrm>
                                  <a:off x="3542687" y="4003207"/>
                                  <a:ext cx="710565" cy="245745"/>
                                </a:xfrm>
                                <a:prstGeom prst="rect">
                                  <a:avLst/>
                                </a:prstGeom>
                                <a:solidFill>
                                  <a:schemeClr val="lt1"/>
                                </a:solidFill>
                                <a:ln w="6350">
                                  <a:noFill/>
                                </a:ln>
                              </wps:spPr>
                              <wps:txbx>
                                <w:txbxContent>
                                  <w:p>
                                    <w:pPr>
                                      <w:pStyle w:val="12"/>
                                      <w:spacing w:before="0" w:beforeAutospacing="0" w:after="0" w:afterAutospacing="0"/>
                                      <w:jc w:val="both"/>
                                      <w:rPr>
                                        <w:sz w:val="22"/>
                                        <w:szCs w:val="24"/>
                                      </w:rPr>
                                    </w:pPr>
                                    <w:r>
                                      <w:rPr>
                                        <w:kern w:val="2"/>
                                        <w:sz w:val="18"/>
                                      </w:rPr>
                                      <w:t>5-31.5</w:t>
                                    </w:r>
                                    <w:r>
                                      <w:rPr>
                                        <w:rFonts w:ascii="Times New Roman" w:hAnsi="Times New Roman"/>
                                        <w:kern w:val="2"/>
                                        <w:sz w:val="18"/>
                                      </w:rPr>
                                      <w:t>mm</w:t>
                                    </w:r>
                                  </w:p>
                                </w:txbxContent>
                              </wps:txbx>
                              <wps:bodyPr rot="0" spcFirstLastPara="0" vert="horz" wrap="none" lIns="91440" tIns="45720" rIns="91440" bIns="45720" numCol="1" spcCol="0" rtlCol="0" fromWordArt="0" anchor="t" anchorCtr="0" forceAA="0" compatLnSpc="1">
                                <a:spAutoFit/>
                              </wps:bodyPr>
                            </wps:wsp>
                            <wps:wsp>
                              <wps:cNvPr id="128" name="文本框 71"/>
                              <wps:cNvSpPr txBox="1"/>
                              <wps:spPr>
                                <a:xfrm>
                                  <a:off x="2860971" y="4028474"/>
                                  <a:ext cx="539115" cy="245745"/>
                                </a:xfrm>
                                <a:prstGeom prst="rect">
                                  <a:avLst/>
                                </a:prstGeom>
                                <a:solidFill>
                                  <a:schemeClr val="lt1"/>
                                </a:solidFill>
                                <a:ln w="6350">
                                  <a:noFill/>
                                </a:ln>
                              </wps:spPr>
                              <wps:txbx>
                                <w:txbxContent>
                                  <w:p>
                                    <w:pPr>
                                      <w:pStyle w:val="12"/>
                                      <w:spacing w:before="0" w:beforeAutospacing="0" w:after="0" w:afterAutospacing="0"/>
                                      <w:jc w:val="both"/>
                                      <w:rPr>
                                        <w:sz w:val="21"/>
                                        <w:szCs w:val="24"/>
                                      </w:rPr>
                                    </w:pPr>
                                    <w:r>
                                      <w:rPr>
                                        <w:rFonts w:hint="eastAsia"/>
                                        <w:kern w:val="2"/>
                                        <w:sz w:val="18"/>
                                        <w:szCs w:val="21"/>
                                      </w:rPr>
                                      <w:t>≤</w:t>
                                    </w:r>
                                    <w:r>
                                      <w:rPr>
                                        <w:rFonts w:ascii="Times New Roman"/>
                                        <w:kern w:val="2"/>
                                        <w:sz w:val="18"/>
                                        <w:szCs w:val="21"/>
                                      </w:rPr>
                                      <w:t>5mm</w:t>
                                    </w:r>
                                  </w:p>
                                </w:txbxContent>
                              </wps:txbx>
                              <wps:bodyPr rot="0" spcFirstLastPara="0" vert="horz" wrap="none" lIns="91440" tIns="45720" rIns="91440" bIns="45720" numCol="1" spcCol="0" rtlCol="0" fromWordArt="0" anchor="t" anchorCtr="0" forceAA="0" compatLnSpc="1">
                                <a:spAutoFit/>
                              </wps:bodyPr>
                            </wps:wsp>
                            <wps:wsp>
                              <wps:cNvPr id="54" name="文本框 54"/>
                              <wps:cNvSpPr txBox="1"/>
                              <wps:spPr>
                                <a:xfrm>
                                  <a:off x="2759370" y="13420"/>
                                  <a:ext cx="1283335" cy="270510"/>
                                </a:xfrm>
                                <a:prstGeom prst="rect">
                                  <a:avLst/>
                                </a:prstGeom>
                                <a:solidFill>
                                  <a:schemeClr val="lt1"/>
                                </a:solidFill>
                                <a:ln w="6350">
                                  <a:solidFill>
                                    <a:prstClr val="black"/>
                                  </a:solidFill>
                                </a:ln>
                              </wps:spPr>
                              <wps:txbx>
                                <w:txbxContent>
                                  <w:p>
                                    <w:pPr>
                                      <w:jc w:val="center"/>
                                    </w:pPr>
                                    <w:r>
                                      <w:rPr>
                                        <w:rFonts w:hint="eastAsia"/>
                                      </w:rPr>
                                      <w:t>原弃方堆放地</w:t>
                                    </w:r>
                                    <w:r>
                                      <w:t>挖采</w:t>
                                    </w:r>
                                  </w:p>
                                </w:txbxContent>
                              </wps:txbx>
                              <wps:bodyPr rot="0" spcFirstLastPara="0" vertOverflow="overflow" horzOverflow="overflow" vert="horz" wrap="square" lIns="91440" tIns="45720" rIns="91440" bIns="45720" numCol="1" spcCol="0" rtlCol="0" fromWordArt="0" anchor="t" anchorCtr="0" forceAA="0" compatLnSpc="1">
                                <a:spAutoFit/>
                              </wps:bodyPr>
                            </wps:wsp>
                            <wps:wsp>
                              <wps:cNvPr id="55" name="直接箭头连接符 55"/>
                              <wps:cNvCnPr>
                                <a:stCxn id="5" idx="2"/>
                                <a:endCxn id="119" idx="0"/>
                              </wps:cNvCnPr>
                              <wps:spPr>
                                <a:xfrm>
                                  <a:off x="3403136" y="782301"/>
                                  <a:ext cx="971" cy="248997"/>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56" name="文本框 56"/>
                              <wps:cNvSpPr txBox="1"/>
                              <wps:spPr>
                                <a:xfrm>
                                  <a:off x="2909124" y="1556893"/>
                                  <a:ext cx="989965" cy="270510"/>
                                </a:xfrm>
                                <a:prstGeom prst="rect">
                                  <a:avLst/>
                                </a:prstGeom>
                                <a:solidFill>
                                  <a:schemeClr val="lt1"/>
                                </a:solidFill>
                                <a:ln w="6350">
                                  <a:solidFill>
                                    <a:prstClr val="black"/>
                                  </a:solidFill>
                                </a:ln>
                              </wps:spPr>
                              <wps:txbx>
                                <w:txbxContent>
                                  <w:p>
                                    <w:pPr>
                                      <w:jc w:val="center"/>
                                    </w:pPr>
                                    <w:r>
                                      <w:rPr>
                                        <w:rFonts w:hint="eastAsia"/>
                                      </w:rPr>
                                      <w:t>颚式破碎机</w:t>
                                    </w:r>
                                  </w:p>
                                </w:txbxContent>
                              </wps:txbx>
                              <wps:bodyPr rot="0" spcFirstLastPara="0" vertOverflow="overflow" horzOverflow="overflow" vert="horz" wrap="square" lIns="91440" tIns="45720" rIns="91440" bIns="45720" numCol="1" spcCol="0" rtlCol="0" fromWordArt="0" anchor="t" anchorCtr="0" forceAA="0" compatLnSpc="1">
                                <a:spAutoFit/>
                              </wps:bodyPr>
                            </wps:wsp>
                            <wps:wsp>
                              <wps:cNvPr id="57" name="文本框 57"/>
                              <wps:cNvSpPr txBox="1"/>
                              <wps:spPr>
                                <a:xfrm>
                                  <a:off x="2909194" y="2072412"/>
                                  <a:ext cx="990000" cy="270510"/>
                                </a:xfrm>
                                <a:prstGeom prst="rect">
                                  <a:avLst/>
                                </a:prstGeom>
                                <a:solidFill>
                                  <a:schemeClr val="lt1"/>
                                </a:solidFill>
                                <a:ln w="6350">
                                  <a:solidFill>
                                    <a:prstClr val="black"/>
                                  </a:solidFill>
                                </a:ln>
                              </wps:spPr>
                              <wps:txbx>
                                <w:txbxContent>
                                  <w:p>
                                    <w:pPr>
                                      <w:jc w:val="center"/>
                                    </w:pPr>
                                    <w:r>
                                      <w:rPr>
                                        <w:rFonts w:hint="eastAsia"/>
                                      </w:rPr>
                                      <w:t>圆锥</w:t>
                                    </w:r>
                                    <w:r>
                                      <w:t>破碎机</w:t>
                                    </w:r>
                                  </w:p>
                                </w:txbxContent>
                              </wps:txbx>
                              <wps:bodyPr rot="0" spcFirstLastPara="0" vertOverflow="overflow" horzOverflow="overflow" vert="horz" wrap="square" lIns="91440" tIns="45720" rIns="91440" bIns="45720" numCol="1" spcCol="0" rtlCol="0" fromWordArt="0" anchor="t" anchorCtr="0" forceAA="0" compatLnSpc="1">
                                <a:spAutoFit/>
                              </wps:bodyPr>
                            </wps:wsp>
                            <wps:wsp>
                              <wps:cNvPr id="58" name="文本框 58"/>
                              <wps:cNvSpPr txBox="1"/>
                              <wps:spPr>
                                <a:xfrm>
                                  <a:off x="2909124" y="3166926"/>
                                  <a:ext cx="990000" cy="270510"/>
                                </a:xfrm>
                                <a:prstGeom prst="rect">
                                  <a:avLst/>
                                </a:prstGeom>
                                <a:solidFill>
                                  <a:schemeClr val="lt1"/>
                                </a:solidFill>
                                <a:ln w="6350">
                                  <a:solidFill>
                                    <a:prstClr val="black"/>
                                  </a:solidFill>
                                </a:ln>
                              </wps:spPr>
                              <wps:txbx>
                                <w:txbxContent>
                                  <w:p>
                                    <w:pPr>
                                      <w:jc w:val="center"/>
                                    </w:pPr>
                                    <w:r>
                                      <w:rPr>
                                        <w:rFonts w:hint="eastAsia"/>
                                      </w:rPr>
                                      <w:t>制砂机</w:t>
                                    </w:r>
                                  </w:p>
                                </w:txbxContent>
                              </wps:txbx>
                              <wps:bodyPr rot="0" spcFirstLastPara="0" vertOverflow="overflow" horzOverflow="overflow" vert="horz" wrap="square" lIns="91440" tIns="45720" rIns="91440" bIns="45720" numCol="1" spcCol="0" rtlCol="0" fromWordArt="0" anchor="t" anchorCtr="0" forceAA="0" compatLnSpc="1">
                                <a:spAutoFit/>
                              </wps:bodyPr>
                            </wps:wsp>
                            <wps:wsp>
                              <wps:cNvPr id="59" name="文本框 59"/>
                              <wps:cNvSpPr txBox="1"/>
                              <wps:spPr>
                                <a:xfrm>
                                  <a:off x="2909159" y="2601678"/>
                                  <a:ext cx="989965" cy="270510"/>
                                </a:xfrm>
                                <a:prstGeom prst="rect">
                                  <a:avLst/>
                                </a:prstGeom>
                                <a:solidFill>
                                  <a:schemeClr val="lt1"/>
                                </a:solidFill>
                                <a:ln w="6350">
                                  <a:solidFill>
                                    <a:prstClr val="black"/>
                                  </a:solidFill>
                                </a:ln>
                              </wps:spPr>
                              <wps:txbx>
                                <w:txbxContent>
                                  <w:p>
                                    <w:r>
                                      <w:rPr>
                                        <w:rFonts w:hint="eastAsia"/>
                                      </w:rPr>
                                      <w:t>二级</w:t>
                                    </w:r>
                                    <w:r>
                                      <w:t>振动筛分</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108" name="文本框 59"/>
                              <wps:cNvSpPr txBox="1"/>
                              <wps:spPr>
                                <a:xfrm>
                                  <a:off x="2909194" y="3715506"/>
                                  <a:ext cx="989965" cy="270510"/>
                                </a:xfrm>
                                <a:prstGeom prst="rect">
                                  <a:avLst/>
                                </a:prstGeom>
                                <a:solidFill>
                                  <a:schemeClr val="lt1"/>
                                </a:solidFill>
                                <a:ln w="6350">
                                  <a:solidFill>
                                    <a:prstClr val="black"/>
                                  </a:solidFill>
                                </a:ln>
                              </wps:spPr>
                              <wps:txbx>
                                <w:txbxContent>
                                  <w:p>
                                    <w:pPr>
                                      <w:pStyle w:val="12"/>
                                      <w:spacing w:before="0" w:beforeAutospacing="0" w:after="0" w:afterAutospacing="0"/>
                                      <w:jc w:val="both"/>
                                      <w:rPr>
                                        <w:szCs w:val="24"/>
                                      </w:rPr>
                                    </w:pPr>
                                    <w:r>
                                      <w:rPr>
                                        <w:rFonts w:hint="eastAsia" w:ascii="Times New Roman"/>
                                        <w:kern w:val="2"/>
                                        <w:sz w:val="21"/>
                                        <w:szCs w:val="21"/>
                                      </w:rPr>
                                      <w:t>三级振动筛分</w:t>
                                    </w:r>
                                  </w:p>
                                </w:txbxContent>
                              </wps:txbx>
                              <wps:bodyPr rot="0" spcFirstLastPara="0" vert="horz" wrap="none" lIns="91440" tIns="45720" rIns="91440" bIns="45720" numCol="1" spcCol="0" rtlCol="0" fromWordArt="0" anchor="t" anchorCtr="0" forceAA="0" compatLnSpc="1">
                                <a:spAutoFit/>
                              </wps:bodyPr>
                            </wps:wsp>
                            <wps:wsp>
                              <wps:cNvPr id="60" name="直接箭头连接符 60"/>
                              <wps:cNvCnPr>
                                <a:stCxn id="56" idx="2"/>
                                <a:endCxn id="57" idx="0"/>
                              </wps:cNvCnPr>
                              <wps:spPr>
                                <a:xfrm>
                                  <a:off x="3404107" y="1827403"/>
                                  <a:ext cx="87" cy="245009"/>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1" name="直接箭头连接符 61"/>
                              <wps:cNvCnPr>
                                <a:stCxn id="57" idx="2"/>
                                <a:endCxn id="59" idx="0"/>
                              </wps:cNvCnPr>
                              <wps:spPr>
                                <a:xfrm flipH="1">
                                  <a:off x="3404142" y="2342922"/>
                                  <a:ext cx="52" cy="260751"/>
                                </a:xfrm>
                                <a:prstGeom prst="straightConnector1">
                                  <a:avLst/>
                                </a:prstGeom>
                                <a:ln w="9525">
                                  <a:solidFill>
                                    <a:schemeClr val="dk1"/>
                                  </a:solidFill>
                                  <a:tailEnd type="triangle"/>
                                </a:ln>
                              </wps:spPr>
                              <wps:style>
                                <a:lnRef idx="1">
                                  <a:schemeClr val="dk1"/>
                                </a:lnRef>
                                <a:fillRef idx="0">
                                  <a:schemeClr val="dk1"/>
                                </a:fillRef>
                                <a:effectRef idx="0">
                                  <a:schemeClr val="dk1"/>
                                </a:effectRef>
                                <a:fontRef idx="minor">
                                  <a:schemeClr val="tx1"/>
                                </a:fontRef>
                              </wps:style>
                              <wps:bodyPr/>
                            </wps:wsp>
                            <wps:wsp>
                              <wps:cNvPr id="62" name="直接箭头连接符 62"/>
                              <wps:cNvCnPr>
                                <a:stCxn id="59" idx="2"/>
                                <a:endCxn id="58" idx="0"/>
                              </wps:cNvCnPr>
                              <wps:spPr>
                                <a:xfrm flipH="1">
                                  <a:off x="3404124" y="2874183"/>
                                  <a:ext cx="18" cy="292743"/>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3" name="直接箭头连接符 63"/>
                              <wps:cNvCnPr>
                                <a:stCxn id="58" idx="2"/>
                                <a:endCxn id="108" idx="0"/>
                              </wps:cNvCnPr>
                              <wps:spPr>
                                <a:xfrm>
                                  <a:off x="3404124" y="3437436"/>
                                  <a:ext cx="1640" cy="280254"/>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4" name="直接连接符 64"/>
                              <wps:cNvCnPr>
                                <a:stCxn id="108" idx="2"/>
                              </wps:cNvCnPr>
                              <wps:spPr>
                                <a:xfrm>
                                  <a:off x="3405764" y="3987722"/>
                                  <a:ext cx="1622" cy="226243"/>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65" name="直接连接符 65"/>
                              <wps:cNvCnPr/>
                              <wps:spPr>
                                <a:xfrm>
                                  <a:off x="2759346" y="4213535"/>
                                  <a:ext cx="2257281"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66" name="直接箭头连接符 66"/>
                              <wps:cNvCnPr/>
                              <wps:spPr>
                                <a:xfrm>
                                  <a:off x="2759322" y="4213535"/>
                                  <a:ext cx="24" cy="259381"/>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117" name="文本框 58"/>
                              <wps:cNvSpPr txBox="1"/>
                              <wps:spPr>
                                <a:xfrm>
                                  <a:off x="2448345" y="4472515"/>
                                  <a:ext cx="702750" cy="269875"/>
                                </a:xfrm>
                                <a:prstGeom prst="rect">
                                  <a:avLst/>
                                </a:prstGeom>
                                <a:solidFill>
                                  <a:schemeClr val="lt1"/>
                                </a:solidFill>
                                <a:ln w="6350">
                                  <a:solidFill>
                                    <a:prstClr val="black"/>
                                  </a:solidFill>
                                </a:ln>
                              </wps:spPr>
                              <wps:txbx>
                                <w:txbxContent>
                                  <w:p>
                                    <w:pPr>
                                      <w:pStyle w:val="12"/>
                                      <w:spacing w:before="0" w:beforeAutospacing="0" w:after="0" w:afterAutospacing="0"/>
                                      <w:jc w:val="center"/>
                                      <w:rPr>
                                        <w:szCs w:val="24"/>
                                      </w:rPr>
                                    </w:pPr>
                                    <w:r>
                                      <w:rPr>
                                        <w:rFonts w:hint="eastAsia" w:ascii="Times New Roman"/>
                                        <w:kern w:val="2"/>
                                        <w:sz w:val="21"/>
                                        <w:szCs w:val="21"/>
                                      </w:rPr>
                                      <w:t>洗砂机</w:t>
                                    </w:r>
                                  </w:p>
                                </w:txbxContent>
                              </wps:txbx>
                              <wps:bodyPr rot="0" spcFirstLastPara="0" vert="horz" wrap="square" lIns="91440" tIns="45720" rIns="91440" bIns="45720" numCol="1" spcCol="0" rtlCol="0" fromWordArt="0" anchor="t" anchorCtr="0" forceAA="0" compatLnSpc="1">
                                <a:spAutoFit/>
                              </wps:bodyPr>
                            </wps:wsp>
                            <wps:wsp>
                              <wps:cNvPr id="119" name="文本框 56"/>
                              <wps:cNvSpPr txBox="1"/>
                              <wps:spPr>
                                <a:xfrm>
                                  <a:off x="2909124" y="1031429"/>
                                  <a:ext cx="989965" cy="270510"/>
                                </a:xfrm>
                                <a:prstGeom prst="rect">
                                  <a:avLst/>
                                </a:prstGeom>
                                <a:solidFill>
                                  <a:schemeClr val="lt1"/>
                                </a:solidFill>
                                <a:ln w="6350">
                                  <a:solidFill>
                                    <a:prstClr val="black"/>
                                  </a:solidFill>
                                </a:ln>
                              </wps:spPr>
                              <wps:txbx>
                                <w:txbxContent>
                                  <w:p>
                                    <w:pPr>
                                      <w:pStyle w:val="12"/>
                                      <w:spacing w:before="0" w:beforeAutospacing="0" w:after="0" w:afterAutospacing="0"/>
                                      <w:jc w:val="center"/>
                                      <w:rPr>
                                        <w:szCs w:val="24"/>
                                      </w:rPr>
                                    </w:pPr>
                                    <w:r>
                                      <w:rPr>
                                        <w:rFonts w:hint="eastAsia" w:ascii="Times New Roman"/>
                                        <w:kern w:val="2"/>
                                        <w:sz w:val="21"/>
                                        <w:szCs w:val="21"/>
                                      </w:rPr>
                                      <w:t>一级振动筛分</w:t>
                                    </w:r>
                                  </w:p>
                                </w:txbxContent>
                              </wps:txbx>
                              <wps:bodyPr rot="0" spcFirstLastPara="0" vert="horz" wrap="square" lIns="91440" tIns="45720" rIns="91440" bIns="45720" numCol="1" spcCol="0" rtlCol="0" fromWordArt="0" anchor="t" anchorCtr="0" forceAA="0" compatLnSpc="1">
                                <a:spAutoFit/>
                              </wps:bodyPr>
                            </wps:wsp>
                            <wps:wsp>
                              <wps:cNvPr id="69" name="直接箭头连接符 69"/>
                              <wps:cNvCnPr>
                                <a:stCxn id="119" idx="2"/>
                                <a:endCxn id="56" idx="0"/>
                              </wps:cNvCnPr>
                              <wps:spPr>
                                <a:xfrm>
                                  <a:off x="3404107" y="1301939"/>
                                  <a:ext cx="0" cy="254954"/>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70" name="直接箭头连接符 70"/>
                              <wps:cNvCnPr/>
                              <wps:spPr>
                                <a:xfrm>
                                  <a:off x="2761296" y="4742791"/>
                                  <a:ext cx="0" cy="206021"/>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123" name="文本框 71"/>
                              <wps:cNvSpPr txBox="1"/>
                              <wps:spPr>
                                <a:xfrm>
                                  <a:off x="3151095" y="4943720"/>
                                  <a:ext cx="641350" cy="596900"/>
                                </a:xfrm>
                                <a:prstGeom prst="rect">
                                  <a:avLst/>
                                </a:prstGeom>
                                <a:solidFill>
                                  <a:schemeClr val="bg2">
                                    <a:lumMod val="90000"/>
                                  </a:schemeClr>
                                </a:solidFill>
                                <a:ln w="6350">
                                  <a:solidFill>
                                    <a:schemeClr val="tx1"/>
                                  </a:solidFill>
                                </a:ln>
                              </wps:spPr>
                              <wps:txbx>
                                <w:txbxContent>
                                  <w:p>
                                    <w:pPr>
                                      <w:pStyle w:val="12"/>
                                      <w:spacing w:before="0" w:beforeAutospacing="0" w:after="0" w:afterAutospacing="0"/>
                                      <w:jc w:val="center"/>
                                      <w:rPr>
                                        <w:rFonts w:ascii="Times New Roman"/>
                                        <w:kern w:val="2"/>
                                        <w:sz w:val="21"/>
                                        <w:szCs w:val="21"/>
                                      </w:rPr>
                                    </w:pPr>
                                    <w:r>
                                      <w:rPr>
                                        <w:rFonts w:hint="eastAsia" w:ascii="Times New Roman"/>
                                        <w:kern w:val="2"/>
                                        <w:sz w:val="21"/>
                                        <w:szCs w:val="21"/>
                                      </w:rPr>
                                      <w:t>产品3</w:t>
                                    </w:r>
                                  </w:p>
                                  <w:p>
                                    <w:pPr>
                                      <w:pStyle w:val="12"/>
                                      <w:spacing w:before="0" w:beforeAutospacing="0" w:after="0" w:afterAutospacing="0"/>
                                      <w:jc w:val="center"/>
                                      <w:rPr>
                                        <w:rFonts w:ascii="Times New Roman"/>
                                        <w:kern w:val="2"/>
                                        <w:sz w:val="21"/>
                                        <w:szCs w:val="21"/>
                                      </w:rPr>
                                    </w:pPr>
                                    <w:r>
                                      <w:rPr>
                                        <w:rFonts w:hint="eastAsia" w:ascii="Times New Roman"/>
                                        <w:kern w:val="2"/>
                                        <w:sz w:val="21"/>
                                        <w:szCs w:val="21"/>
                                      </w:rPr>
                                      <w:t>5-10</w:t>
                                    </w:r>
                                    <w:r>
                                      <w:rPr>
                                        <w:rFonts w:ascii="Times New Roman"/>
                                        <w:kern w:val="2"/>
                                        <w:sz w:val="21"/>
                                        <w:szCs w:val="21"/>
                                      </w:rPr>
                                      <w:t>mm</w:t>
                                    </w:r>
                                  </w:p>
                                  <w:p>
                                    <w:pPr>
                                      <w:pStyle w:val="12"/>
                                      <w:spacing w:before="0" w:beforeAutospacing="0" w:after="0" w:afterAutospacing="0"/>
                                      <w:jc w:val="center"/>
                                      <w:rPr>
                                        <w:szCs w:val="24"/>
                                      </w:rPr>
                                    </w:pPr>
                                    <w:r>
                                      <w:rPr>
                                        <w:rFonts w:hint="eastAsia" w:ascii="Times New Roman"/>
                                        <w:kern w:val="2"/>
                                        <w:sz w:val="21"/>
                                        <w:szCs w:val="21"/>
                                      </w:rPr>
                                      <w:t>碎石</w:t>
                                    </w:r>
                                  </w:p>
                                </w:txbxContent>
                              </wps:txbx>
                              <wps:bodyPr rot="0" spcFirstLastPara="0" vert="horz" wrap="none" lIns="91440" tIns="45720" rIns="91440" bIns="45720" numCol="1" spcCol="0" rtlCol="0" fromWordArt="0" anchor="t" anchorCtr="0" forceAA="0" compatLnSpc="1">
                                <a:spAutoFit/>
                              </wps:bodyPr>
                            </wps:wsp>
                            <wps:wsp>
                              <wps:cNvPr id="72" name="直接连接符 72"/>
                              <wps:cNvCnPr>
                                <a:stCxn id="108" idx="1"/>
                              </wps:cNvCnPr>
                              <wps:spPr>
                                <a:xfrm flipH="1">
                                  <a:off x="2712384" y="3850366"/>
                                  <a:ext cx="19681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74" name="直接连接符 74"/>
                              <wps:cNvCnPr/>
                              <wps:spPr>
                                <a:xfrm flipV="1">
                                  <a:off x="2712384" y="3302505"/>
                                  <a:ext cx="0" cy="547466"/>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75" name="直接箭头连接符 75"/>
                              <wps:cNvCnPr>
                                <a:endCxn id="58" idx="1"/>
                              </wps:cNvCnPr>
                              <wps:spPr>
                                <a:xfrm>
                                  <a:off x="2712384" y="3301191"/>
                                  <a:ext cx="196740" cy="66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77" name="直接连接符 77"/>
                              <wps:cNvCnPr/>
                              <wps:spPr>
                                <a:xfrm flipH="1">
                                  <a:off x="2027973" y="1166691"/>
                                  <a:ext cx="881152"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78" name="直接箭头连接符 78"/>
                              <wps:cNvCnPr>
                                <a:endCxn id="136" idx="0"/>
                              </wps:cNvCnPr>
                              <wps:spPr>
                                <a:xfrm>
                                  <a:off x="2027973" y="1166579"/>
                                  <a:ext cx="0" cy="477052"/>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136" name="文本框 58"/>
                              <wps:cNvSpPr txBox="1"/>
                              <wps:spPr>
                                <a:xfrm>
                                  <a:off x="1704440" y="1643778"/>
                                  <a:ext cx="647065" cy="270510"/>
                                </a:xfrm>
                                <a:prstGeom prst="rect">
                                  <a:avLst/>
                                </a:prstGeom>
                                <a:solidFill>
                                  <a:schemeClr val="lt1"/>
                                </a:solidFill>
                                <a:ln w="6350">
                                  <a:solidFill>
                                    <a:prstClr val="black"/>
                                  </a:solidFill>
                                </a:ln>
                              </wps:spPr>
                              <wps:txbx>
                                <w:txbxContent>
                                  <w:p>
                                    <w:pPr>
                                      <w:pStyle w:val="12"/>
                                      <w:spacing w:before="0" w:beforeAutospacing="0" w:after="0" w:afterAutospacing="0"/>
                                      <w:jc w:val="center"/>
                                      <w:rPr>
                                        <w:szCs w:val="24"/>
                                      </w:rPr>
                                    </w:pPr>
                                    <w:r>
                                      <w:rPr>
                                        <w:rFonts w:hint="eastAsia" w:ascii="Times New Roman"/>
                                        <w:kern w:val="2"/>
                                        <w:sz w:val="21"/>
                                        <w:szCs w:val="21"/>
                                      </w:rPr>
                                      <w:t>洗砂机</w:t>
                                    </w:r>
                                  </w:p>
                                </w:txbxContent>
                              </wps:txbx>
                              <wps:bodyPr rot="0" spcFirstLastPara="0" vert="horz" wrap="square" lIns="91440" tIns="45720" rIns="91440" bIns="45720" numCol="1" spcCol="0" rtlCol="0" fromWordArt="0" anchor="t" anchorCtr="0" forceAA="0" compatLnSpc="1">
                                <a:spAutoFit/>
                              </wps:bodyPr>
                            </wps:wsp>
                            <wps:wsp>
                              <wps:cNvPr id="137" name="直接箭头连接符 137"/>
                              <wps:cNvCnPr>
                                <a:stCxn id="136" idx="2"/>
                              </wps:cNvCnPr>
                              <wps:spPr>
                                <a:xfrm>
                                  <a:off x="2027973" y="1914269"/>
                                  <a:ext cx="0" cy="1926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8" name="文本框 71"/>
                              <wps:cNvSpPr txBox="1"/>
                              <wps:spPr>
                                <a:xfrm>
                                  <a:off x="1718375" y="2106963"/>
                                  <a:ext cx="589915" cy="443865"/>
                                </a:xfrm>
                                <a:prstGeom prst="rect">
                                  <a:avLst/>
                                </a:prstGeom>
                                <a:solidFill>
                                  <a:schemeClr val="bg2">
                                    <a:lumMod val="90000"/>
                                  </a:schemeClr>
                                </a:solidFill>
                                <a:ln w="6350">
                                  <a:solidFill>
                                    <a:schemeClr val="tx1"/>
                                  </a:solidFill>
                                </a:ln>
                              </wps:spPr>
                              <wps:txbx>
                                <w:txbxContent>
                                  <w:p>
                                    <w:pPr>
                                      <w:pStyle w:val="12"/>
                                      <w:spacing w:before="0" w:beforeAutospacing="0" w:after="0" w:afterAutospacing="0"/>
                                      <w:jc w:val="both"/>
                                      <w:rPr>
                                        <w:rFonts w:ascii="Times New Roman"/>
                                        <w:kern w:val="2"/>
                                        <w:sz w:val="21"/>
                                        <w:szCs w:val="21"/>
                                      </w:rPr>
                                    </w:pPr>
                                    <w:r>
                                      <w:rPr>
                                        <w:rFonts w:hint="eastAsia" w:ascii="Times New Roman"/>
                                        <w:kern w:val="2"/>
                                        <w:sz w:val="21"/>
                                        <w:szCs w:val="21"/>
                                      </w:rPr>
                                      <w:t>产品1</w:t>
                                    </w:r>
                                  </w:p>
                                  <w:p>
                                    <w:pPr>
                                      <w:pStyle w:val="12"/>
                                      <w:spacing w:before="0" w:beforeAutospacing="0" w:after="0" w:afterAutospacing="0"/>
                                      <w:jc w:val="both"/>
                                      <w:rPr>
                                        <w:rFonts w:ascii="Times New Roman"/>
                                        <w:kern w:val="2"/>
                                        <w:sz w:val="21"/>
                                        <w:szCs w:val="21"/>
                                      </w:rPr>
                                    </w:pPr>
                                    <w:r>
                                      <w:rPr>
                                        <w:rFonts w:hint="eastAsia" w:ascii="Times New Roman"/>
                                        <w:kern w:val="2"/>
                                        <w:sz w:val="21"/>
                                        <w:szCs w:val="21"/>
                                      </w:rPr>
                                      <w:t>自然砂</w:t>
                                    </w:r>
                                  </w:p>
                                </w:txbxContent>
                              </wps:txbx>
                              <wps:bodyPr rot="0" spcFirstLastPara="0" vert="horz" wrap="none" lIns="91440" tIns="45720" rIns="91440" bIns="45720" numCol="1" spcCol="0" rtlCol="0" fromWordArt="0" anchor="t" anchorCtr="0" forceAA="0" compatLnSpc="1">
                                <a:spAutoFit/>
                              </wps:bodyPr>
                            </wps:wsp>
                            <wps:wsp>
                              <wps:cNvPr id="142" name="文本框 82"/>
                              <wps:cNvSpPr txBox="1"/>
                              <wps:spPr>
                                <a:xfrm>
                                  <a:off x="4000090" y="1301887"/>
                                  <a:ext cx="468630" cy="245745"/>
                                </a:xfrm>
                                <a:prstGeom prst="rect">
                                  <a:avLst/>
                                </a:prstGeom>
                                <a:solidFill>
                                  <a:schemeClr val="lt1"/>
                                </a:solidFill>
                                <a:ln w="6350">
                                  <a:noFill/>
                                </a:ln>
                              </wps:spPr>
                              <wps:txbx>
                                <w:txbxContent>
                                  <w:p>
                                    <w:pPr>
                                      <w:pStyle w:val="12"/>
                                      <w:spacing w:before="0" w:beforeAutospacing="0" w:after="0" w:afterAutospacing="0"/>
                                      <w:jc w:val="both"/>
                                      <w:rPr>
                                        <w:sz w:val="22"/>
                                        <w:szCs w:val="24"/>
                                      </w:rPr>
                                    </w:pPr>
                                    <w:r>
                                      <w:rPr>
                                        <w:rFonts w:hint="eastAsia" w:ascii="Times New Roman"/>
                                        <w:kern w:val="2"/>
                                        <w:sz w:val="18"/>
                                      </w:rPr>
                                      <w:t>N</w:t>
                                    </w:r>
                                    <w:r>
                                      <w:rPr>
                                        <w:rFonts w:ascii="Times New Roman"/>
                                        <w:kern w:val="2"/>
                                        <w:sz w:val="18"/>
                                      </w:rPr>
                                      <w:t>、G</w:t>
                                    </w:r>
                                  </w:p>
                                </w:txbxContent>
                              </wps:txbx>
                              <wps:bodyPr rot="0" spcFirstLastPara="0" vert="horz" wrap="none" lIns="91440" tIns="45720" rIns="91440" bIns="45720" numCol="1" spcCol="0" rtlCol="0" fromWordArt="0" anchor="t" anchorCtr="0" forceAA="0" compatLnSpc="1">
                                <a:spAutoFit/>
                              </wps:bodyPr>
                            </wps:wsp>
                            <wps:wsp>
                              <wps:cNvPr id="143" name="直接箭头连接符 143"/>
                              <wps:cNvCnPr/>
                              <wps:spPr>
                                <a:xfrm flipV="1">
                                  <a:off x="3792515" y="1422889"/>
                                  <a:ext cx="250190" cy="13462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145" name="直接箭头连接符 145"/>
                              <wps:cNvCnPr/>
                              <wps:spPr>
                                <a:xfrm flipV="1">
                                  <a:off x="3792515" y="1937793"/>
                                  <a:ext cx="250190" cy="13462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153" name="直接箭头连接符 153"/>
                              <wps:cNvCnPr/>
                              <wps:spPr>
                                <a:xfrm flipV="1">
                                  <a:off x="2935864" y="4335506"/>
                                  <a:ext cx="184092" cy="13741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158" name="Text Box 751"/>
                              <wps:cNvSpPr txBox="1">
                                <a:spLocks noChangeArrowheads="1"/>
                              </wps:cNvSpPr>
                              <wps:spPr bwMode="auto">
                                <a:xfrm>
                                  <a:off x="1308829" y="5884545"/>
                                  <a:ext cx="2590165" cy="248285"/>
                                </a:xfrm>
                                <a:prstGeom prst="rect">
                                  <a:avLst/>
                                </a:prstGeom>
                                <a:noFill/>
                                <a:ln>
                                  <a:noFill/>
                                </a:ln>
                              </wps:spPr>
                              <wps:txbx>
                                <w:txbxContent>
                                  <w:p>
                                    <w:pPr>
                                      <w:pStyle w:val="12"/>
                                      <w:spacing w:before="0" w:beforeAutospacing="0" w:after="0" w:afterAutospacing="0"/>
                                      <w:jc w:val="center"/>
                                      <w:rPr>
                                        <w:szCs w:val="24"/>
                                      </w:rPr>
                                    </w:pPr>
                                    <w:r>
                                      <w:rPr>
                                        <w:rFonts w:hint="eastAsia" w:ascii="Times New Roman"/>
                                        <w:b/>
                                        <w:bCs/>
                                        <w:kern w:val="2"/>
                                        <w:sz w:val="21"/>
                                        <w:szCs w:val="21"/>
                                      </w:rPr>
                                      <w:t>图</w:t>
                                    </w:r>
                                    <w:r>
                                      <w:rPr>
                                        <w:rFonts w:ascii="Times New Roman" w:hAnsi="Times New Roman"/>
                                        <w:b/>
                                        <w:bCs/>
                                        <w:kern w:val="2"/>
                                        <w:sz w:val="21"/>
                                        <w:szCs w:val="21"/>
                                      </w:rPr>
                                      <w:t xml:space="preserve">2-3 </w:t>
                                    </w:r>
                                    <w:r>
                                      <w:rPr>
                                        <w:rFonts w:hint="eastAsia" w:ascii="Times New Roman"/>
                                        <w:b/>
                                        <w:bCs/>
                                        <w:kern w:val="2"/>
                                        <w:sz w:val="21"/>
                                        <w:szCs w:val="21"/>
                                      </w:rPr>
                                      <w:t>本项目主要工艺流程</w:t>
                                    </w:r>
                                  </w:p>
                                </w:txbxContent>
                              </wps:txbx>
                              <wps:bodyPr rot="0" vert="horz" wrap="square" lIns="91440" tIns="45720" rIns="91440" bIns="45720" anchor="t" anchorCtr="0" upright="1">
                                <a:noAutofit/>
                              </wps:bodyPr>
                            </wps:wsp>
                            <wps:wsp>
                              <wps:cNvPr id="467" name="文本框 467"/>
                              <wps:cNvSpPr txBox="1"/>
                              <wps:spPr>
                                <a:xfrm>
                                  <a:off x="390328" y="2874183"/>
                                  <a:ext cx="589915" cy="270510"/>
                                </a:xfrm>
                                <a:prstGeom prst="rect">
                                  <a:avLst/>
                                </a:prstGeom>
                                <a:solidFill>
                                  <a:schemeClr val="lt1"/>
                                </a:solidFill>
                                <a:ln w="6350">
                                  <a:solidFill>
                                    <a:schemeClr val="tx1"/>
                                  </a:solidFill>
                                </a:ln>
                              </wps:spPr>
                              <wps:txbx>
                                <w:txbxContent>
                                  <w:p>
                                    <w:r>
                                      <w:rPr>
                                        <w:rFonts w:hint="eastAsia"/>
                                      </w:rPr>
                                      <w:t>清水池</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468" name="直接连接符 468"/>
                              <wps:cNvCnPr>
                                <a:stCxn id="467" idx="3"/>
                              </wps:cNvCnPr>
                              <wps:spPr>
                                <a:xfrm>
                                  <a:off x="980243" y="3009438"/>
                                  <a:ext cx="264099" cy="0"/>
                                </a:xfrm>
                                <a:prstGeom prst="line">
                                  <a:avLst/>
                                </a:prstGeom>
                                <a:ln w="9525">
                                  <a:solidFill>
                                    <a:srgbClr val="00B0F0"/>
                                  </a:solidFill>
                                </a:ln>
                              </wps:spPr>
                              <wps:style>
                                <a:lnRef idx="1">
                                  <a:schemeClr val="accent1"/>
                                </a:lnRef>
                                <a:fillRef idx="0">
                                  <a:schemeClr val="accent1"/>
                                </a:fillRef>
                                <a:effectRef idx="0">
                                  <a:schemeClr val="accent1"/>
                                </a:effectRef>
                                <a:fontRef idx="minor">
                                  <a:schemeClr val="tx1"/>
                                </a:fontRef>
                              </wps:style>
                              <wps:bodyPr/>
                            </wps:wsp>
                            <wps:wsp>
                              <wps:cNvPr id="469" name="直接连接符 469"/>
                              <wps:cNvCnPr/>
                              <wps:spPr>
                                <a:xfrm>
                                  <a:off x="1242284" y="1098058"/>
                                  <a:ext cx="0" cy="2820864"/>
                                </a:xfrm>
                                <a:prstGeom prst="line">
                                  <a:avLst/>
                                </a:prstGeom>
                                <a:ln w="9525">
                                  <a:solidFill>
                                    <a:srgbClr val="00B0F0"/>
                                  </a:solidFill>
                                </a:ln>
                              </wps:spPr>
                              <wps:style>
                                <a:lnRef idx="1">
                                  <a:schemeClr val="accent1"/>
                                </a:lnRef>
                                <a:fillRef idx="0">
                                  <a:schemeClr val="accent1"/>
                                </a:fillRef>
                                <a:effectRef idx="0">
                                  <a:schemeClr val="accent1"/>
                                </a:effectRef>
                                <a:fontRef idx="minor">
                                  <a:schemeClr val="tx1"/>
                                </a:fontRef>
                              </wps:style>
                              <wps:bodyPr/>
                            </wps:wsp>
                            <wps:wsp>
                              <wps:cNvPr id="470" name="直接箭头连接符 470"/>
                              <wps:cNvCnPr/>
                              <wps:spPr>
                                <a:xfrm flipV="1">
                                  <a:off x="1242284" y="1097972"/>
                                  <a:ext cx="1666910" cy="184"/>
                                </a:xfrm>
                                <a:prstGeom prst="straightConnector1">
                                  <a:avLst/>
                                </a:prstGeom>
                                <a:ln w="952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2" name="直接连接符 472"/>
                              <wps:cNvCnPr/>
                              <wps:spPr>
                                <a:xfrm flipH="1">
                                  <a:off x="2553525" y="2795786"/>
                                  <a:ext cx="355669"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473" name="直接箭头连接符 473"/>
                              <wps:cNvCnPr/>
                              <wps:spPr>
                                <a:xfrm>
                                  <a:off x="2553525" y="2795786"/>
                                  <a:ext cx="0" cy="1663456"/>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474" name="直接连接符 474"/>
                              <wps:cNvCnPr/>
                              <wps:spPr>
                                <a:xfrm flipH="1">
                                  <a:off x="2227527" y="1230044"/>
                                  <a:ext cx="679752" cy="0"/>
                                </a:xfrm>
                                <a:prstGeom prst="line">
                                  <a:avLst/>
                                </a:prstGeom>
                                <a:ln w="952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480" name="直接箭头连接符 480"/>
                              <wps:cNvCnPr/>
                              <wps:spPr>
                                <a:xfrm>
                                  <a:off x="1242284" y="2649363"/>
                                  <a:ext cx="1666910" cy="0"/>
                                </a:xfrm>
                                <a:prstGeom prst="straightConnector1">
                                  <a:avLst/>
                                </a:prstGeom>
                                <a:ln w="952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 name="直接箭头连接符 174"/>
                              <wps:cNvCnPr/>
                              <wps:spPr>
                                <a:xfrm>
                                  <a:off x="1242284" y="3919273"/>
                                  <a:ext cx="1666598" cy="0"/>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8" name="文本框 8"/>
                              <wps:cNvSpPr txBox="1"/>
                              <wps:spPr>
                                <a:xfrm>
                                  <a:off x="390328" y="2365103"/>
                                  <a:ext cx="589915" cy="270510"/>
                                </a:xfrm>
                                <a:prstGeom prst="rect">
                                  <a:avLst/>
                                </a:prstGeom>
                                <a:solidFill>
                                  <a:schemeClr val="lt1"/>
                                </a:solidFill>
                                <a:ln w="6350">
                                  <a:solidFill>
                                    <a:schemeClr val="tx1"/>
                                  </a:solidFill>
                                </a:ln>
                              </wps:spPr>
                              <wps:txbx>
                                <w:txbxContent>
                                  <w:p>
                                    <w:r>
                                      <w:rPr>
                                        <w:rFonts w:hint="eastAsia"/>
                                      </w:rPr>
                                      <w:t>浓密罐</w:t>
                                    </w:r>
                                  </w:p>
                                </w:txbxContent>
                              </wps:txbx>
                              <wps:bodyPr rot="0" spcFirstLastPara="0" vertOverflow="overflow" horzOverflow="overflow" vert="horz" wrap="square" lIns="91440" tIns="45720" rIns="91440" bIns="45720" numCol="1" spcCol="0" rtlCol="0" fromWordArt="0" anchor="t" anchorCtr="0" forceAA="0" compatLnSpc="1">
                                <a:spAutoFit/>
                              </wps:bodyPr>
                            </wps:wsp>
                            <wps:wsp>
                              <wps:cNvPr id="17" name="直接连接符 17"/>
                              <wps:cNvCnPr/>
                              <wps:spPr>
                                <a:xfrm>
                                  <a:off x="823309" y="1776755"/>
                                  <a:ext cx="881131" cy="1"/>
                                </a:xfrm>
                                <a:prstGeom prst="line">
                                  <a:avLst/>
                                </a:prstGeom>
                                <a:ln w="952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8" name="直接箭头连接符 18"/>
                              <wps:cNvCnPr/>
                              <wps:spPr>
                                <a:xfrm>
                                  <a:off x="823309" y="1776597"/>
                                  <a:ext cx="0" cy="588082"/>
                                </a:xfrm>
                                <a:prstGeom prst="straightConnector1">
                                  <a:avLst/>
                                </a:prstGeom>
                                <a:ln w="9525">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9" name="直接连接符 19"/>
                              <wps:cNvCnPr/>
                              <wps:spPr>
                                <a:xfrm>
                                  <a:off x="2640456" y="3777798"/>
                                  <a:ext cx="266822" cy="1"/>
                                </a:xfrm>
                                <a:prstGeom prst="line">
                                  <a:avLst/>
                                </a:prstGeom>
                                <a:ln w="952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20" name="直接连接符 20"/>
                              <wps:cNvCnPr/>
                              <wps:spPr>
                                <a:xfrm>
                                  <a:off x="1639463" y="4519469"/>
                                  <a:ext cx="808903" cy="451"/>
                                </a:xfrm>
                                <a:prstGeom prst="line">
                                  <a:avLst/>
                                </a:prstGeom>
                                <a:ln w="952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21" name="直接连接符 21"/>
                              <wps:cNvCnPr/>
                              <wps:spPr>
                                <a:xfrm flipV="1">
                                  <a:off x="1639463" y="2500358"/>
                                  <a:ext cx="0" cy="2019606"/>
                                </a:xfrm>
                                <a:prstGeom prst="line">
                                  <a:avLst/>
                                </a:prstGeom>
                                <a:ln w="952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22" name="直接箭头连接符 22"/>
                              <wps:cNvCnPr>
                                <a:endCxn id="8" idx="3"/>
                              </wps:cNvCnPr>
                              <wps:spPr>
                                <a:xfrm flipH="1">
                                  <a:off x="980243" y="2500092"/>
                                  <a:ext cx="659220" cy="1"/>
                                </a:xfrm>
                                <a:prstGeom prst="straightConnector1">
                                  <a:avLst/>
                                </a:prstGeom>
                                <a:ln w="9525">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3" name="直接箭头连接符 23"/>
                              <wps:cNvCnPr>
                                <a:stCxn id="8" idx="2"/>
                                <a:endCxn id="467" idx="0"/>
                              </wps:cNvCnPr>
                              <wps:spPr>
                                <a:xfrm>
                                  <a:off x="685286" y="2635613"/>
                                  <a:ext cx="0" cy="238570"/>
                                </a:xfrm>
                                <a:prstGeom prst="straightConnector1">
                                  <a:avLst/>
                                </a:prstGeom>
                                <a:ln w="952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文本框 46"/>
                              <wps:cNvSpPr txBox="1"/>
                              <wps:spPr>
                                <a:xfrm>
                                  <a:off x="390328" y="3406132"/>
                                  <a:ext cx="690245" cy="270510"/>
                                </a:xfrm>
                                <a:prstGeom prst="rect">
                                  <a:avLst/>
                                </a:prstGeom>
                                <a:solidFill>
                                  <a:schemeClr val="lt1"/>
                                </a:solidFill>
                                <a:ln w="6350">
                                  <a:noFill/>
                                </a:ln>
                              </wps:spPr>
                              <wps:txbx>
                                <w:txbxContent>
                                  <w:p>
                                    <w:r>
                                      <w:rPr>
                                        <w:rFonts w:hint="eastAsia"/>
                                      </w:rPr>
                                      <w:t>新鲜水</w:t>
                                    </w:r>
                                  </w:p>
                                </w:txbxContent>
                              </wps:txbx>
                              <wps:bodyPr rot="0" spcFirstLastPara="0" vertOverflow="overflow" horzOverflow="overflow" vert="horz" wrap="square" lIns="91440" tIns="45720" rIns="91440" bIns="45720" numCol="1" spcCol="0" rtlCol="0" fromWordArt="0" anchor="t" anchorCtr="0" forceAA="0" compatLnSpc="1">
                                <a:spAutoFit/>
                              </wps:bodyPr>
                            </wps:wsp>
                            <wps:wsp>
                              <wps:cNvPr id="456" name="直接箭头连接符 456"/>
                              <wps:cNvCnPr>
                                <a:endCxn id="467" idx="2"/>
                              </wps:cNvCnPr>
                              <wps:spPr>
                                <a:xfrm flipV="1">
                                  <a:off x="685286" y="3144693"/>
                                  <a:ext cx="0" cy="259189"/>
                                </a:xfrm>
                                <a:prstGeom prst="straightConnector1">
                                  <a:avLst/>
                                </a:prstGeom>
                                <a:ln w="952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0" name="文本框 460"/>
                              <wps:cNvSpPr txBox="1"/>
                              <wps:spPr>
                                <a:xfrm>
                                  <a:off x="368" y="1836474"/>
                                  <a:ext cx="589915" cy="270510"/>
                                </a:xfrm>
                                <a:prstGeom prst="rect">
                                  <a:avLst/>
                                </a:prstGeom>
                                <a:solidFill>
                                  <a:schemeClr val="lt1"/>
                                </a:solidFill>
                                <a:ln w="6350">
                                  <a:solidFill>
                                    <a:prstClr val="black"/>
                                  </a:solidFill>
                                </a:ln>
                              </wps:spPr>
                              <wps:txbx>
                                <w:txbxContent>
                                  <w:p>
                                    <w:r>
                                      <w:rPr>
                                        <w:rFonts w:hint="eastAsia"/>
                                      </w:rPr>
                                      <w:t>压滤机</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193" name="文本框 71"/>
                              <wps:cNvSpPr txBox="1"/>
                              <wps:spPr>
                                <a:xfrm>
                                  <a:off x="3846229" y="4944633"/>
                                  <a:ext cx="708025" cy="596900"/>
                                </a:xfrm>
                                <a:prstGeom prst="rect">
                                  <a:avLst/>
                                </a:prstGeom>
                                <a:solidFill>
                                  <a:schemeClr val="bg2">
                                    <a:lumMod val="90000"/>
                                  </a:schemeClr>
                                </a:solidFill>
                                <a:ln w="6350">
                                  <a:solidFill>
                                    <a:schemeClr val="tx1"/>
                                  </a:solidFill>
                                </a:ln>
                              </wps:spPr>
                              <wps:txbx>
                                <w:txbxContent>
                                  <w:p>
                                    <w:pPr>
                                      <w:pStyle w:val="12"/>
                                      <w:spacing w:before="0" w:beforeAutospacing="0" w:after="0" w:afterAutospacing="0"/>
                                      <w:jc w:val="center"/>
                                      <w:rPr>
                                        <w:rFonts w:ascii="Times New Roman" w:hAnsi="Times New Roman" w:eastAsiaTheme="minorEastAsia"/>
                                        <w:kern w:val="2"/>
                                        <w:sz w:val="21"/>
                                        <w:szCs w:val="21"/>
                                      </w:rPr>
                                    </w:pPr>
                                    <w:r>
                                      <w:rPr>
                                        <w:rFonts w:hint="eastAsia"/>
                                        <w:kern w:val="2"/>
                                        <w:sz w:val="21"/>
                                        <w:szCs w:val="21"/>
                                      </w:rPr>
                                      <w:t>产品</w:t>
                                    </w:r>
                                    <w:r>
                                      <w:rPr>
                                        <w:rFonts w:hint="eastAsia" w:ascii="Times New Roman" w:hAnsi="Times New Roman" w:eastAsiaTheme="minorEastAsia"/>
                                        <w:kern w:val="2"/>
                                        <w:sz w:val="21"/>
                                        <w:szCs w:val="21"/>
                                      </w:rPr>
                                      <w:t>4</w:t>
                                    </w:r>
                                  </w:p>
                                  <w:p>
                                    <w:pPr>
                                      <w:pStyle w:val="12"/>
                                      <w:spacing w:before="0" w:beforeAutospacing="0" w:after="0" w:afterAutospacing="0"/>
                                      <w:jc w:val="center"/>
                                      <w:rPr>
                                        <w:rFonts w:ascii="Times New Roman" w:hAnsi="Times New Roman"/>
                                        <w:szCs w:val="24"/>
                                      </w:rPr>
                                    </w:pPr>
                                    <w:r>
                                      <w:rPr>
                                        <w:rFonts w:ascii="Times New Roman" w:hAnsi="Times New Roman" w:eastAsiaTheme="minorEastAsia"/>
                                        <w:kern w:val="2"/>
                                        <w:sz w:val="21"/>
                                        <w:szCs w:val="21"/>
                                      </w:rPr>
                                      <w:t>10</w:t>
                                    </w:r>
                                    <w:r>
                                      <w:rPr>
                                        <w:rFonts w:ascii="Times New Roman" w:hAnsi="Times New Roman" w:eastAsia="Times New Roman"/>
                                        <w:kern w:val="2"/>
                                        <w:sz w:val="21"/>
                                        <w:szCs w:val="21"/>
                                      </w:rPr>
                                      <w:t>-</w:t>
                                    </w:r>
                                    <w:r>
                                      <w:rPr>
                                        <w:rFonts w:ascii="Times New Roman" w:hAnsi="Times New Roman" w:eastAsiaTheme="minorEastAsia"/>
                                        <w:kern w:val="2"/>
                                        <w:sz w:val="21"/>
                                        <w:szCs w:val="21"/>
                                      </w:rPr>
                                      <w:t>20</w:t>
                                    </w:r>
                                    <w:r>
                                      <w:rPr>
                                        <w:rFonts w:ascii="Times New Roman" w:hAnsi="Times New Roman" w:eastAsia="Times New Roman"/>
                                        <w:kern w:val="2"/>
                                        <w:sz w:val="21"/>
                                        <w:szCs w:val="21"/>
                                      </w:rPr>
                                      <w:t>mm</w:t>
                                    </w:r>
                                  </w:p>
                                  <w:p>
                                    <w:pPr>
                                      <w:pStyle w:val="12"/>
                                      <w:spacing w:before="0" w:beforeAutospacing="0" w:after="0" w:afterAutospacing="0"/>
                                      <w:jc w:val="center"/>
                                    </w:pPr>
                                    <w:r>
                                      <w:rPr>
                                        <w:rFonts w:hint="eastAsia" w:ascii="Times New Roman"/>
                                        <w:kern w:val="2"/>
                                        <w:sz w:val="21"/>
                                        <w:szCs w:val="21"/>
                                      </w:rPr>
                                      <w:t>碎石</w:t>
                                    </w:r>
                                  </w:p>
                                </w:txbxContent>
                              </wps:txbx>
                              <wps:bodyPr rot="0" spcFirstLastPara="0" vert="horz" wrap="none" lIns="91440" tIns="45720" rIns="91440" bIns="45720" numCol="1" spcCol="0" rtlCol="0" fromWordArt="0" anchor="t" anchorCtr="0" forceAA="0" compatLnSpc="1">
                                <a:noAutofit/>
                              </wps:bodyPr>
                            </wps:wsp>
                            <wps:wsp>
                              <wps:cNvPr id="194" name="文本框 71"/>
                              <wps:cNvSpPr txBox="1"/>
                              <wps:spPr>
                                <a:xfrm>
                                  <a:off x="4628516" y="4943720"/>
                                  <a:ext cx="808355" cy="596900"/>
                                </a:xfrm>
                                <a:prstGeom prst="rect">
                                  <a:avLst/>
                                </a:prstGeom>
                                <a:solidFill>
                                  <a:schemeClr val="bg2">
                                    <a:lumMod val="90000"/>
                                  </a:schemeClr>
                                </a:solidFill>
                                <a:ln w="6350">
                                  <a:solidFill>
                                    <a:schemeClr val="tx1"/>
                                  </a:solidFill>
                                </a:ln>
                              </wps:spPr>
                              <wps:txbx>
                                <w:txbxContent>
                                  <w:p>
                                    <w:pPr>
                                      <w:pStyle w:val="12"/>
                                      <w:spacing w:before="0" w:beforeAutospacing="0" w:after="0" w:afterAutospacing="0"/>
                                      <w:jc w:val="center"/>
                                      <w:rPr>
                                        <w:rFonts w:ascii="Times New Roman" w:hAnsi="Times New Roman" w:eastAsiaTheme="minorEastAsia"/>
                                        <w:kern w:val="2"/>
                                        <w:sz w:val="21"/>
                                        <w:szCs w:val="21"/>
                                      </w:rPr>
                                    </w:pPr>
                                    <w:r>
                                      <w:rPr>
                                        <w:rFonts w:hint="eastAsia"/>
                                        <w:kern w:val="2"/>
                                        <w:sz w:val="21"/>
                                        <w:szCs w:val="21"/>
                                      </w:rPr>
                                      <w:t>产品</w:t>
                                    </w:r>
                                    <w:r>
                                      <w:rPr>
                                        <w:rFonts w:hint="eastAsia" w:ascii="Times New Roman" w:hAnsi="Times New Roman" w:eastAsiaTheme="minorEastAsia"/>
                                        <w:kern w:val="2"/>
                                        <w:sz w:val="21"/>
                                        <w:szCs w:val="21"/>
                                      </w:rPr>
                                      <w:t>5</w:t>
                                    </w:r>
                                  </w:p>
                                  <w:p>
                                    <w:pPr>
                                      <w:pStyle w:val="12"/>
                                      <w:spacing w:before="0" w:beforeAutospacing="0" w:after="0" w:afterAutospacing="0"/>
                                      <w:jc w:val="center"/>
                                      <w:rPr>
                                        <w:rFonts w:ascii="Times New Roman" w:hAnsi="Times New Roman"/>
                                        <w:szCs w:val="24"/>
                                      </w:rPr>
                                    </w:pPr>
                                    <w:r>
                                      <w:rPr>
                                        <w:rFonts w:ascii="Times New Roman" w:hAnsi="Times New Roman" w:eastAsiaTheme="minorEastAsia"/>
                                        <w:kern w:val="2"/>
                                        <w:sz w:val="21"/>
                                        <w:szCs w:val="21"/>
                                      </w:rPr>
                                      <w:t>20</w:t>
                                    </w:r>
                                    <w:r>
                                      <w:rPr>
                                        <w:rFonts w:ascii="Times New Roman" w:hAnsi="Times New Roman" w:eastAsia="Times New Roman"/>
                                        <w:kern w:val="2"/>
                                        <w:sz w:val="21"/>
                                        <w:szCs w:val="21"/>
                                      </w:rPr>
                                      <w:t>-</w:t>
                                    </w:r>
                                    <w:r>
                                      <w:rPr>
                                        <w:rFonts w:ascii="Times New Roman" w:hAnsi="Times New Roman" w:eastAsiaTheme="minorEastAsia"/>
                                        <w:kern w:val="2"/>
                                        <w:sz w:val="21"/>
                                        <w:szCs w:val="21"/>
                                      </w:rPr>
                                      <w:t>31.5</w:t>
                                    </w:r>
                                    <w:r>
                                      <w:rPr>
                                        <w:rFonts w:ascii="Times New Roman" w:hAnsi="Times New Roman" w:eastAsia="Times New Roman"/>
                                        <w:kern w:val="2"/>
                                        <w:sz w:val="21"/>
                                        <w:szCs w:val="21"/>
                                      </w:rPr>
                                      <w:t>mm</w:t>
                                    </w:r>
                                  </w:p>
                                  <w:p>
                                    <w:pPr>
                                      <w:pStyle w:val="12"/>
                                      <w:spacing w:before="0" w:beforeAutospacing="0" w:after="0" w:afterAutospacing="0"/>
                                      <w:jc w:val="center"/>
                                    </w:pPr>
                                    <w:r>
                                      <w:rPr>
                                        <w:rFonts w:hint="eastAsia" w:ascii="Times New Roman"/>
                                        <w:kern w:val="2"/>
                                        <w:sz w:val="21"/>
                                        <w:szCs w:val="21"/>
                                      </w:rPr>
                                      <w:t>碎石</w:t>
                                    </w:r>
                                  </w:p>
                                </w:txbxContent>
                              </wps:txbx>
                              <wps:bodyPr rot="0" spcFirstLastPara="0" vert="horz" wrap="none" lIns="91440" tIns="45720" rIns="91440" bIns="45720" numCol="1" spcCol="0" rtlCol="0" fromWordArt="0" anchor="t" anchorCtr="0" forceAA="0" compatLnSpc="1">
                                <a:spAutoFit/>
                              </wps:bodyPr>
                            </wps:wsp>
                            <wps:wsp>
                              <wps:cNvPr id="478" name="直接箭头连接符 478"/>
                              <wps:cNvCnPr/>
                              <wps:spPr>
                                <a:xfrm>
                                  <a:off x="3495149" y="4213587"/>
                                  <a:ext cx="0" cy="730646"/>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479" name="直接箭头连接符 479"/>
                              <wps:cNvCnPr/>
                              <wps:spPr>
                                <a:xfrm>
                                  <a:off x="5016584" y="4213157"/>
                                  <a:ext cx="129" cy="731016"/>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481" name="直接箭头连接符 481"/>
                              <wps:cNvCnPr/>
                              <wps:spPr>
                                <a:xfrm flipV="1">
                                  <a:off x="452575" y="2106984"/>
                                  <a:ext cx="0" cy="258121"/>
                                </a:xfrm>
                                <a:prstGeom prst="straightConnector1">
                                  <a:avLst/>
                                </a:prstGeom>
                                <a:ln w="9525">
                                  <a:solidFill>
                                    <a:srgbClr val="FF0000"/>
                                  </a:solidFill>
                                  <a:prstDash val="dash"/>
                                  <a:tailEnd type="triangle"/>
                                </a:ln>
                              </wps:spPr>
                              <wps:style>
                                <a:lnRef idx="1">
                                  <a:schemeClr val="dk1"/>
                                </a:lnRef>
                                <a:fillRef idx="0">
                                  <a:schemeClr val="dk1"/>
                                </a:fillRef>
                                <a:effectRef idx="0">
                                  <a:schemeClr val="dk1"/>
                                </a:effectRef>
                                <a:fontRef idx="minor">
                                  <a:schemeClr val="tx1"/>
                                </a:fontRef>
                              </wps:style>
                              <wps:bodyPr/>
                            </wps:wsp>
                            <wps:wsp>
                              <wps:cNvPr id="482" name="直接连接符 482"/>
                              <wps:cNvCnPr/>
                              <wps:spPr>
                                <a:xfrm>
                                  <a:off x="195398" y="2106984"/>
                                  <a:ext cx="0" cy="393374"/>
                                </a:xfrm>
                                <a:prstGeom prst="line">
                                  <a:avLst/>
                                </a:prstGeom>
                                <a:ln w="952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483" name="直接箭头连接符 483"/>
                              <wps:cNvCnPr>
                                <a:endCxn id="8" idx="1"/>
                              </wps:cNvCnPr>
                              <wps:spPr>
                                <a:xfrm>
                                  <a:off x="195398" y="2500358"/>
                                  <a:ext cx="194930" cy="0"/>
                                </a:xfrm>
                                <a:prstGeom prst="straightConnector1">
                                  <a:avLst/>
                                </a:prstGeom>
                                <a:ln w="9525">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485" name="直接箭头连接符 485"/>
                              <wps:cNvCnPr>
                                <a:stCxn id="460" idx="0"/>
                              </wps:cNvCnPr>
                              <wps:spPr>
                                <a:xfrm flipV="1">
                                  <a:off x="295326" y="1527841"/>
                                  <a:ext cx="1049" cy="308633"/>
                                </a:xfrm>
                                <a:prstGeom prst="straightConnector1">
                                  <a:avLst/>
                                </a:prstGeom>
                                <a:ln w="9525">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486" name="文本框 486"/>
                              <wps:cNvSpPr txBox="1"/>
                              <wps:spPr>
                                <a:xfrm>
                                  <a:off x="94421" y="1282096"/>
                                  <a:ext cx="418465" cy="245745"/>
                                </a:xfrm>
                                <a:prstGeom prst="rect">
                                  <a:avLst/>
                                </a:prstGeom>
                                <a:solidFill>
                                  <a:schemeClr val="lt1"/>
                                </a:solidFill>
                                <a:ln w="6350">
                                  <a:noFill/>
                                </a:ln>
                              </wps:spPr>
                              <wps:txbx>
                                <w:txbxContent>
                                  <w:p>
                                    <w:pPr>
                                      <w:rPr>
                                        <w:sz w:val="18"/>
                                      </w:rPr>
                                    </w:pPr>
                                    <w:r>
                                      <w:rPr>
                                        <w:rFonts w:hint="eastAsia"/>
                                        <w:sz w:val="18"/>
                                      </w:rPr>
                                      <w:t>泥饼</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5" name="文本框 5"/>
                              <wps:cNvSpPr txBox="1"/>
                              <wps:spPr>
                                <a:xfrm>
                                  <a:off x="2907278" y="511900"/>
                                  <a:ext cx="991716" cy="270510"/>
                                </a:xfrm>
                                <a:prstGeom prst="rect">
                                  <a:avLst/>
                                </a:prstGeom>
                                <a:solidFill>
                                  <a:schemeClr val="lt1"/>
                                </a:solidFill>
                                <a:ln w="6350">
                                  <a:solidFill>
                                    <a:prstClr val="black"/>
                                  </a:solidFill>
                                </a:ln>
                              </wps:spPr>
                              <wps:txbx>
                                <w:txbxContent>
                                  <w:p>
                                    <w:pPr>
                                      <w:jc w:val="center"/>
                                    </w:pPr>
                                    <w:r>
                                      <w:rPr>
                                        <w:rFonts w:hint="eastAsia"/>
                                      </w:rPr>
                                      <w:t>给料机</w:t>
                                    </w:r>
                                  </w:p>
                                </w:txbxContent>
                              </wps:txbx>
                              <wps:bodyPr rot="0" spcFirstLastPara="0" vertOverflow="overflow" horzOverflow="overflow" vert="horz" wrap="square" lIns="91440" tIns="45720" rIns="91440" bIns="45720" numCol="1" spcCol="0" rtlCol="0" fromWordArt="0" anchor="t" anchorCtr="0" forceAA="0" compatLnSpc="1">
                                <a:spAutoFit/>
                              </wps:bodyPr>
                            </wps:wsp>
                            <wps:wsp>
                              <wps:cNvPr id="30" name="直接箭头连接符 30"/>
                              <wps:cNvCnPr>
                                <a:stCxn id="54" idx="2"/>
                                <a:endCxn id="5" idx="0"/>
                              </wps:cNvCnPr>
                              <wps:spPr>
                                <a:xfrm>
                                  <a:off x="3401038" y="283867"/>
                                  <a:ext cx="2098" cy="227949"/>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232" name="文本框 477"/>
                              <wps:cNvSpPr txBox="1"/>
                              <wps:spPr>
                                <a:xfrm>
                                  <a:off x="3441376" y="3465759"/>
                                  <a:ext cx="532765" cy="245110"/>
                                </a:xfrm>
                                <a:prstGeom prst="rect">
                                  <a:avLst/>
                                </a:prstGeom>
                                <a:solidFill>
                                  <a:schemeClr val="lt1"/>
                                </a:solidFill>
                                <a:ln w="6350">
                                  <a:noFill/>
                                </a:ln>
                              </wps:spPr>
                              <wps:txbx>
                                <w:txbxContent>
                                  <w:p>
                                    <w:pPr>
                                      <w:pStyle w:val="12"/>
                                      <w:spacing w:before="0" w:beforeAutospacing="0" w:after="0" w:afterAutospacing="0"/>
                                      <w:jc w:val="both"/>
                                      <w:rPr>
                                        <w:szCs w:val="24"/>
                                      </w:rPr>
                                    </w:pPr>
                                    <w:r>
                                      <w:rPr>
                                        <w:rFonts w:hint="eastAsia" w:ascii="Times New Roman"/>
                                        <w:kern w:val="2"/>
                                        <w:sz w:val="18"/>
                                        <w:szCs w:val="18"/>
                                      </w:rPr>
                                      <w:t>输送带</w:t>
                                    </w:r>
                                  </w:p>
                                </w:txbxContent>
                              </wps:txbx>
                              <wps:bodyPr rot="0" spcFirstLastPara="0" vert="horz" wrap="none" lIns="91440" tIns="45720" rIns="91440" bIns="45720" numCol="1" spcCol="0" rtlCol="0" fromWordArt="0" anchor="t" anchorCtr="0" forceAA="0" compatLnSpc="1">
                                <a:spAutoFit/>
                              </wps:bodyPr>
                            </wps:wsp>
                            <wps:wsp>
                              <wps:cNvPr id="234" name="文本框 82"/>
                              <wps:cNvSpPr txBox="1"/>
                              <wps:spPr>
                                <a:xfrm>
                                  <a:off x="4038282" y="2799992"/>
                                  <a:ext cx="271780" cy="22923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N</w:t>
                                    </w:r>
                                  </w:p>
                                </w:txbxContent>
                              </wps:txbx>
                              <wps:bodyPr rot="0" spcFirstLastPara="0" vert="horz" wrap="none" lIns="91440" tIns="45720" rIns="91440" bIns="45720" numCol="1" spcCol="0" rtlCol="0" fromWordArt="0" anchor="t" anchorCtr="0" forceAA="0" compatLnSpc="1">
                                <a:spAutoFit/>
                              </wps:bodyPr>
                            </wps:wsp>
                            <wps:wsp>
                              <wps:cNvPr id="235" name="直接箭头连接符 235"/>
                              <wps:cNvCnPr/>
                              <wps:spPr>
                                <a:xfrm flipV="1">
                                  <a:off x="3830987" y="3013381"/>
                                  <a:ext cx="250190" cy="133985"/>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236" name="文本框 82"/>
                              <wps:cNvSpPr txBox="1"/>
                              <wps:spPr>
                                <a:xfrm>
                                  <a:off x="4017549" y="2240939"/>
                                  <a:ext cx="468630" cy="24574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N</w:t>
                                    </w:r>
                                    <w:r>
                                      <w:rPr>
                                        <w:rFonts w:ascii="Times New Roman" w:hAnsi="Times New Roman"/>
                                        <w:kern w:val="2"/>
                                        <w:sz w:val="18"/>
                                        <w:szCs w:val="18"/>
                                      </w:rPr>
                                      <w:t>、</w:t>
                                    </w:r>
                                    <w:r>
                                      <w:rPr>
                                        <w:rFonts w:ascii="Times New Roman" w:hAnsi="Times New Roman" w:eastAsia="Times New Roman"/>
                                        <w:kern w:val="2"/>
                                        <w:sz w:val="18"/>
                                        <w:szCs w:val="18"/>
                                      </w:rPr>
                                      <w:t>G</w:t>
                                    </w:r>
                                  </w:p>
                                </w:txbxContent>
                              </wps:txbx>
                              <wps:bodyPr rot="0" spcFirstLastPara="0" vert="horz" wrap="none" lIns="91440" tIns="45720" rIns="91440" bIns="45720" numCol="1" spcCol="0" rtlCol="0" fromWordArt="0" anchor="t" anchorCtr="0" forceAA="0" compatLnSpc="1">
                                <a:spAutoFit/>
                              </wps:bodyPr>
                            </wps:wsp>
                            <wps:wsp>
                              <wps:cNvPr id="237" name="直接箭头连接符 237"/>
                              <wps:cNvCnPr/>
                              <wps:spPr>
                                <a:xfrm flipV="1">
                                  <a:off x="3809904" y="2454323"/>
                                  <a:ext cx="250190" cy="133985"/>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240" name="文本框 82"/>
                              <wps:cNvSpPr txBox="1"/>
                              <wps:spPr>
                                <a:xfrm>
                                  <a:off x="4042705" y="3358696"/>
                                  <a:ext cx="468630" cy="245745"/>
                                </a:xfrm>
                                <a:prstGeom prst="rect">
                                  <a:avLst/>
                                </a:prstGeom>
                                <a:solidFill>
                                  <a:schemeClr val="lt1"/>
                                </a:solidFill>
                                <a:ln w="6350">
                                  <a:noFill/>
                                </a:ln>
                              </wps:spPr>
                              <wps:txbx>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N</w:t>
                                    </w:r>
                                    <w:r>
                                      <w:rPr>
                                        <w:rFonts w:ascii="Times New Roman" w:hAnsi="Times New Roman"/>
                                        <w:kern w:val="2"/>
                                        <w:sz w:val="18"/>
                                        <w:szCs w:val="18"/>
                                      </w:rPr>
                                      <w:t>、</w:t>
                                    </w:r>
                                    <w:r>
                                      <w:rPr>
                                        <w:rFonts w:ascii="Times New Roman" w:hAnsi="Times New Roman" w:eastAsia="Times New Roman"/>
                                        <w:kern w:val="2"/>
                                        <w:sz w:val="18"/>
                                        <w:szCs w:val="18"/>
                                      </w:rPr>
                                      <w:t>G</w:t>
                                    </w:r>
                                  </w:p>
                                </w:txbxContent>
                              </wps:txbx>
                              <wps:bodyPr rot="0" spcFirstLastPara="0" vert="horz" wrap="none" lIns="91440" tIns="45720" rIns="91440" bIns="45720" numCol="1" spcCol="0" rtlCol="0" fromWordArt="0" anchor="t" anchorCtr="0" forceAA="0" compatLnSpc="1">
                                <a:spAutoFit/>
                              </wps:bodyPr>
                            </wps:wsp>
                            <wps:wsp>
                              <wps:cNvPr id="241" name="直接箭头连接符 241"/>
                              <wps:cNvCnPr/>
                              <wps:spPr>
                                <a:xfrm flipV="1">
                                  <a:off x="3835060" y="3572091"/>
                                  <a:ext cx="250190" cy="133985"/>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511" name="直接连接符 511"/>
                              <wps:cNvCnPr/>
                              <wps:spPr>
                                <a:xfrm flipH="1">
                                  <a:off x="2640456" y="2871902"/>
                                  <a:ext cx="268739" cy="0"/>
                                </a:xfrm>
                                <a:prstGeom prst="line">
                                  <a:avLst/>
                                </a:prstGeom>
                                <a:ln w="9525">
                                  <a:solidFill>
                                    <a:srgbClr val="FF0000"/>
                                  </a:solidFill>
                                  <a:prstDash val="dash"/>
                                </a:ln>
                              </wps:spPr>
                              <wps:style>
                                <a:lnRef idx="1">
                                  <a:schemeClr val="accent2"/>
                                </a:lnRef>
                                <a:fillRef idx="0">
                                  <a:schemeClr val="accent2"/>
                                </a:fillRef>
                                <a:effectRef idx="0">
                                  <a:schemeClr val="accent2"/>
                                </a:effectRef>
                                <a:fontRef idx="minor">
                                  <a:schemeClr val="tx1"/>
                                </a:fontRef>
                              </wps:style>
                              <wps:bodyPr/>
                            </wps:wsp>
                            <wps:wsp>
                              <wps:cNvPr id="76" name="直接箭头连接符 76"/>
                              <wps:cNvCnPr>
                                <a:endCxn id="193" idx="0"/>
                              </wps:cNvCnPr>
                              <wps:spPr>
                                <a:xfrm>
                                  <a:off x="4200242" y="4213587"/>
                                  <a:ext cx="0" cy="730603"/>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83" name="文本框 83"/>
                              <wps:cNvSpPr txBox="1"/>
                              <wps:spPr>
                                <a:xfrm>
                                  <a:off x="169671" y="5579692"/>
                                  <a:ext cx="2005330" cy="245745"/>
                                </a:xfrm>
                                <a:prstGeom prst="rect">
                                  <a:avLst/>
                                </a:prstGeom>
                                <a:solidFill>
                                  <a:schemeClr val="lt1"/>
                                </a:solidFill>
                                <a:ln w="6350">
                                  <a:noFill/>
                                </a:ln>
                              </wps:spPr>
                              <wps:txbx>
                                <w:txbxContent>
                                  <w:p>
                                    <w:pPr>
                                      <w:rPr>
                                        <w:sz w:val="18"/>
                                      </w:rPr>
                                    </w:pPr>
                                    <w:r>
                                      <w:rPr>
                                        <w:rFonts w:hint="eastAsia"/>
                                        <w:sz w:val="18"/>
                                      </w:rPr>
                                      <w:t>图例</w:t>
                                    </w:r>
                                    <w:r>
                                      <w:rPr>
                                        <w:sz w:val="18"/>
                                      </w:rPr>
                                      <w:t>：</w:t>
                                    </w:r>
                                    <w:r>
                                      <w:rPr>
                                        <w:rFonts w:hint="eastAsia"/>
                                        <w:sz w:val="18"/>
                                      </w:rPr>
                                      <w:t xml:space="preserve"> </w:t>
                                    </w:r>
                                    <w:r>
                                      <w:rPr>
                                        <w:sz w:val="18"/>
                                      </w:rPr>
                                      <w:t>N</w:t>
                                    </w:r>
                                    <w:r>
                                      <w:rPr>
                                        <w:rFonts w:hint="eastAsia"/>
                                        <w:sz w:val="18"/>
                                      </w:rPr>
                                      <w:t xml:space="preserve">：噪声 </w:t>
                                    </w:r>
                                    <w:r>
                                      <w:rPr>
                                        <w:sz w:val="18"/>
                                      </w:rPr>
                                      <w:t>G</w:t>
                                    </w:r>
                                    <w:r>
                                      <w:rPr>
                                        <w:rFonts w:hint="eastAsia"/>
                                        <w:sz w:val="18"/>
                                      </w:rPr>
                                      <w:t>：</w:t>
                                    </w:r>
                                    <w:r>
                                      <w:rPr>
                                        <w:sz w:val="18"/>
                                      </w:rPr>
                                      <w:t>废气</w:t>
                                    </w:r>
                                    <w:r>
                                      <w:rPr>
                                        <w:rFonts w:hint="eastAsia"/>
                                        <w:sz w:val="18"/>
                                      </w:rPr>
                                      <w:t xml:space="preserve"> </w:t>
                                    </w:r>
                                    <w:r>
                                      <w:rPr>
                                        <w:sz w:val="18"/>
                                      </w:rPr>
                                      <w:t>W</w:t>
                                    </w:r>
                                    <w:r>
                                      <w:rPr>
                                        <w:rFonts w:hint="eastAsia"/>
                                        <w:sz w:val="18"/>
                                      </w:rPr>
                                      <w:t>：</w:t>
                                    </w:r>
                                    <w:r>
                                      <w:rPr>
                                        <w:sz w:val="18"/>
                                      </w:rPr>
                                      <w:t>废水</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67" name="直接箭头连接符 67"/>
                              <wps:cNvCnPr/>
                              <wps:spPr>
                                <a:xfrm>
                                  <a:off x="2640456" y="2880842"/>
                                  <a:ext cx="0" cy="1578000"/>
                                </a:xfrm>
                                <a:prstGeom prst="straightConnector1">
                                  <a:avLst/>
                                </a:prstGeom>
                                <a:ln w="9525">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79" name="直接箭头连接符 79"/>
                              <wps:cNvCnPr/>
                              <wps:spPr>
                                <a:xfrm>
                                  <a:off x="2227527" y="1229934"/>
                                  <a:ext cx="0" cy="413549"/>
                                </a:xfrm>
                                <a:prstGeom prst="straightConnector1">
                                  <a:avLst/>
                                </a:prstGeom>
                                <a:ln w="9525">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482.9pt;width:430.9pt;" coordsize="5472430,6132830" editas="canvas" o:gfxdata="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">
                      <o:lock v:ext="edit" aspectratio="f"/>
                      <v:shape id="_x0000_s1026" o:spid="_x0000_s1026" style="position:absolute;left:0;top:0;height:6132830;width:5472430;" filled="f" stroked="f" coordsize="21600,21600" o:gfxdata="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">
                        <v:fill on="f" focussize="0,0"/>
                        <v:stroke on="f"/>
                        <v:imagedata o:title=""/>
                        <o:lock v:ext="edit" aspectratio="t"/>
                      </v:shape>
                      <v:shape id="文本框 39" o:spid="_x0000_s1026" o:spt="202" type="#_x0000_t202" style="position:absolute;left:923814;top:2795786;height:245745;width:417830;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o+FjjWAAAABQEAAA8AAAAAAAAAAQAgAAAA&#10;IgAAAGRycy9kb3ducmV2LnhtbFBLAQIUABQAAAAIAIdO4kCI9BQSRgIAAGoEAAAOAAAAAAAAAAEA&#10;IAAAACUBAABkcnMvZTJvRG9jLnhtbFBLBQYAAAAABgAGAFkBAADdBQ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hint="eastAsia" w:ascii="Times New Roman"/>
                                  <w:kern w:val="2"/>
                                  <w:sz w:val="18"/>
                                  <w:szCs w:val="18"/>
                                </w:rPr>
                                <w:t>清水</w:t>
                              </w:r>
                            </w:p>
                          </w:txbxContent>
                        </v:textbox>
                      </v:shape>
                      <v:shape id="文本框 82" o:spid="_x0000_s1026" o:spt="202" type="#_x0000_t202" style="position:absolute;left:2553525;top:3962105;height:229235;width:647065;" fillcolor="#FFFFFF [3201]" filled="t" stroked="f" coordsize="21600,21600" o:gfxdata="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L7htznVAAAABQEAAA8AAAAAAAAA&#10;AQAgAAAAIgAAAGRycy9kb3ducmV2LnhtbFBLAQIUABQAAAAIAIdO4kBx2e9/TQIAAG0EAAAOAAAA&#10;AAAAAAEAIAAAACQBAABkcnMvZTJvRG9jLnhtbFBLBQYAAAAABgAGAFkBAADjBQ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W</w:t>
                              </w:r>
                            </w:p>
                          </w:txbxContent>
                        </v:textbox>
                      </v:shape>
                      <v:shape id="_x0000_s1026" o:spid="_x0000_s1026" o:spt="202" type="#_x0000_t202" style="position:absolute;left:3405075;top:283922;height:245745;width:41846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PhY41gAA&#10;AAUBAAAPAAAAAAAAAAEAIAAAACIAAABkcnMvZG93bnJldi54bWxQSwECFAAUAAAACACHTuJA1ZJ0&#10;olkCAACbBAAADgAAAAAAAAABACAAAAAlAQAAZHJzL2Uyb0RvYy54bWxQSwUGAAAAAAYABgBZAQAA&#10;8AUAAAAA&#10;">
                        <v:fill on="t" focussize="0,0"/>
                        <v:stroke on="f" weight="0.5pt"/>
                        <v:imagedata o:title=""/>
                        <o:lock v:ext="edit" aspectratio="f"/>
                        <v:textbox style="mso-fit-shape-to-text:t;">
                          <w:txbxContent>
                            <w:p>
                              <w:pPr>
                                <w:rPr>
                                  <w:sz w:val="18"/>
                                </w:rPr>
                              </w:pPr>
                              <w:r>
                                <w:rPr>
                                  <w:rFonts w:hint="eastAsia"/>
                                  <w:sz w:val="18"/>
                                </w:rPr>
                                <w:t>投料</w:t>
                              </w:r>
                            </w:p>
                          </w:txbxContent>
                        </v:textbox>
                      </v:shape>
                      <v:shape id="文本框 82" o:spid="_x0000_s1026" o:spt="202" type="#_x0000_t202" style="position:absolute;left:4000090;top:168787;height:245745;width:468630;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aPhY41gAAAAUBAAAPAAAAAAAAAAEAIAAAACIA&#10;AABkcnMvZG93bnJldi54bWxQSwECFAAUAAAACACHTuJAw7GGmkQCAABqBAAADgAAAAAAAAABACAA&#10;AAAlAQAAZHJzL2Uyb0RvYy54bWxQSwUGAAAAAAYABgBZAQAA2wU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N</w:t>
                              </w:r>
                              <w:r>
                                <w:rPr>
                                  <w:rFonts w:ascii="Times New Roman" w:hAnsi="Times New Roman"/>
                                  <w:kern w:val="2"/>
                                  <w:sz w:val="18"/>
                                  <w:szCs w:val="18"/>
                                </w:rPr>
                                <w:t>、</w:t>
                              </w:r>
                              <w:r>
                                <w:rPr>
                                  <w:rFonts w:ascii="Times New Roman" w:hAnsi="Times New Roman" w:eastAsia="Times New Roman"/>
                                  <w:kern w:val="2"/>
                                  <w:sz w:val="18"/>
                                  <w:szCs w:val="18"/>
                                </w:rPr>
                                <w:t>G</w:t>
                              </w:r>
                            </w:p>
                          </w:txbxContent>
                        </v:textbox>
                      </v:shape>
                      <v:shape id="_x0000_s1026" o:spid="_x0000_s1026" o:spt="32" type="#_x0000_t32" style="position:absolute;left:3792445;top:382151;flip:y;height:133985;width:250190;" filled="f" stroked="t" coordsize="21600,21600" o:gfxdata="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TBFAvWAAAA&#10;BQEAAA8AAAAAAAAAAQAgAAAAIgAAAGRycy9kb3ducmV2LnhtbFBLAQIUABQAAAAIAIdO4kCZ8X40&#10;HwIAAP0DAAAOAAAAAAAAAAEAIAAAACUBAABkcnMvZTJvRG9jLnhtbFBLBQYAAAAABgAGAFkBAAC2&#10;BQAAAAA=&#10;">
                        <v:fill on="f" focussize="0,0"/>
                        <v:stroke weight="0.5pt" color="#000000 [3200]" miterlimit="8" joinstyle="miter" dashstyle="dash" endarrow="block"/>
                        <v:imagedata o:title=""/>
                        <o:lock v:ext="edit" aspectratio="f"/>
                      </v:shape>
                      <v:shape id="_x0000_s1026" o:spid="_x0000_s1026" o:spt="202" type="#_x0000_t202" style="position:absolute;left:2476999;top:4948525;height:592095;width:589915;mso-wrap-style:none;v-text-anchor:middle;" fillcolor="#D0CECE [2894]" filled="t" stroked="t" coordsize="21600,21600" o:gfxdata="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9aHprVAAAABQEAAA8AAAAAAAAAAQAgAAAAIgAAAGRycy9k&#10;b3ducmV2LnhtbFBLAQIUABQAAAAIAIdO4kBk2kmCdwIAAOcEAAAOAAAAAAAAAAEAIAAAACQBAABk&#10;cnMvZTJvRG9jLnhtbFBLBQYAAAAABgAGAFkBAAANBgAAAAA=&#10;">
                        <v:fill on="t" focussize="0,0"/>
                        <v:stroke weight="0.5pt" color="#000000 [3213]" joinstyle="round"/>
                        <v:imagedata o:title=""/>
                        <o:lock v:ext="edit" aspectratio="f"/>
                        <v:textbox>
                          <w:txbxContent>
                            <w:p>
                              <w:pPr>
                                <w:jc w:val="center"/>
                              </w:pPr>
                              <w:r>
                                <w:rPr>
                                  <w:rFonts w:hint="eastAsia"/>
                                </w:rPr>
                                <w:t>产品2</w:t>
                              </w:r>
                            </w:p>
                            <w:p>
                              <w:pPr>
                                <w:jc w:val="center"/>
                              </w:pPr>
                              <w:r>
                                <w:rPr>
                                  <w:rFonts w:hint="eastAsia"/>
                                </w:rPr>
                                <w:t>机制砂</w:t>
                              </w:r>
                            </w:p>
                          </w:txbxContent>
                        </v:textbox>
                      </v:shape>
                      <v:shape id="文本框 477" o:spid="_x0000_s1026" o:spt="202" type="#_x0000_t202" style="position:absolute;left:3441376;top:2899296;height:245110;width:53276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o+FjjWAAAABQEAAA8AAAAAAAAA&#10;AQAgAAAAIgAAAGRycy9kb3ducmV2LnhtbFBLAQIUABQAAAAIAIdO4kBY0ardTAIAAGwEAAAOAAAA&#10;AAAAAAEAIAAAACUBAABkcnMvZTJvRG9jLnhtbFBLBQYAAAAABgAGAFkBAADjBQ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hint="eastAsia" w:ascii="Times New Roman"/>
                                  <w:kern w:val="2"/>
                                  <w:sz w:val="18"/>
                                  <w:szCs w:val="18"/>
                                </w:rPr>
                                <w:t>输送带</w:t>
                              </w:r>
                            </w:p>
                          </w:txbxContent>
                        </v:textbox>
                      </v:shape>
                      <v:shape id="文本框 477" o:spid="_x0000_s1026" o:spt="202" type="#_x0000_t202" style="position:absolute;left:3431525;top:2339876;height:245110;width:53276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j4WONYAAAAFAQAADwAAAAAAAAAB&#10;ACAAAAAiAAAAZHJzL2Rvd25yZXYueG1sUEsBAhQAFAAAAAgAh07iQK2buSRLAgAAbAQAAA4AAAAA&#10;AAAAAQAgAAAAJQEAAGRycy9lMm9Eb2MueG1sUEsFBgAAAAAGAAYAWQEAAOIFA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hint="eastAsia" w:ascii="Times New Roman"/>
                                  <w:kern w:val="2"/>
                                  <w:sz w:val="18"/>
                                  <w:szCs w:val="18"/>
                                </w:rPr>
                                <w:t>输送带</w:t>
                              </w:r>
                            </w:p>
                          </w:txbxContent>
                        </v:textbox>
                      </v:shape>
                      <v:shape id="文本框 477" o:spid="_x0000_s1026" o:spt="202" type="#_x0000_t202" style="position:absolute;left:3419697;top:1835556;height:245110;width:53276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aPhY41gAAAAUBAAAPAAAAAAAA&#10;AAEAIAAAACIAAABkcnMvZG93bnJldi54bWxQSwECFAAUAAAACACHTuJAPDpsgU0CAABsBAAADgAA&#10;AAAAAAABACAAAAAlAQAAZHJzL2Uyb0RvYy54bWxQSwUGAAAAAAYABgBZAQAA5AU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hint="eastAsia" w:ascii="Times New Roman"/>
                                  <w:kern w:val="2"/>
                                  <w:sz w:val="18"/>
                                  <w:szCs w:val="18"/>
                                </w:rPr>
                                <w:t>输送带</w:t>
                              </w:r>
                            </w:p>
                          </w:txbxContent>
                        </v:textbox>
                      </v:shape>
                      <v:shape id="文本框 477" o:spid="_x0000_s1026" o:spt="202" type="#_x0000_t202" style="position:absolute;left:3407730;top:1312398;height:245110;width:53276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aPhY41gAAAAUBAAAPAAAAAAAA&#10;AAEAIAAAACIAAABkcnMvZG93bnJldi54bWxQSwECFAAUAAAACACHTuJAIRb2hE0CAABsBAAADgAA&#10;AAAAAAABACAAAAAlAQAAZHJzL2Uyb0RvYy54bWxQSwUGAAAAAAYABgBZAQAA5AU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hint="eastAsia" w:ascii="Times New Roman"/>
                                  <w:kern w:val="2"/>
                                  <w:sz w:val="18"/>
                                  <w:szCs w:val="18"/>
                                </w:rPr>
                                <w:t>输送带</w:t>
                              </w:r>
                            </w:p>
                          </w:txbxContent>
                        </v:textbox>
                      </v:shape>
                      <v:shape id="_x0000_s1026" o:spid="_x0000_s1026" o:spt="202" type="#_x0000_t202" style="position:absolute;left:3400088;top:813387;height:245745;width:53276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2j4WONYA&#10;AAAFAQAADwAAAAAAAAABACAAAAAiAAAAZHJzL2Rvd25yZXYueG1sUEsBAhQAFAAAAAgAh07iQNkl&#10;cJdaAgAAmwQAAA4AAAAAAAAAAQAgAAAAJQEAAGRycy9lMm9Eb2MueG1sUEsFBgAAAAAGAAYAWQEA&#10;APEFAAAAAA==&#10;">
                        <v:fill on="t" focussize="0,0"/>
                        <v:stroke on="f" weight="0.5pt"/>
                        <v:imagedata o:title=""/>
                        <o:lock v:ext="edit" aspectratio="f"/>
                        <v:textbox style="mso-fit-shape-to-text:t;">
                          <w:txbxContent>
                            <w:p>
                              <w:pPr>
                                <w:rPr>
                                  <w:sz w:val="18"/>
                                </w:rPr>
                              </w:pPr>
                              <w:r>
                                <w:rPr>
                                  <w:sz w:val="18"/>
                                </w:rPr>
                                <w:t>输送带</w:t>
                              </w:r>
                            </w:p>
                          </w:txbxContent>
                        </v:textbox>
                      </v:shape>
                      <v:shape id="文本框 82" o:spid="_x0000_s1026" o:spt="202" type="#_x0000_t202" style="position:absolute;left:125125;top:2200114;height:229235;width:284658;" fillcolor="#FFFFFF [3201]" filled="t" stroked="f" coordsize="21600,21600" o:gfxdata="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7htznVAAAABQEAAA8AAAAAAAAAAQAgAAAA&#10;IgAAAGRycy9kb3ducmV2LnhtbFBLAQIUABQAAAAIAIdO4kBQctYSRwIAAGwEAAAOAAAAAAAAAAEA&#10;IAAAACQBAABkcnMvZTJvRG9jLnhtbFBLBQYAAAAABgAGAFkBAADdBQ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W</w:t>
                              </w:r>
                            </w:p>
                          </w:txbxContent>
                        </v:textbox>
                      </v:shape>
                      <v:shape id="_x0000_s1026" o:spid="_x0000_s1026" o:spt="202" type="#_x0000_t202" style="position:absolute;left:390056;top:2119360;height:245745;width:41846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PhY41gAA&#10;AAUBAAAPAAAAAAAAAAEAIAAAACIAAABkcnMvZG93bnJldi54bWxQSwECFAAUAAAACACHTuJAmkqA&#10;p1kCAACbBAAADgAAAAAAAAABACAAAAAlAQAAZHJzL2Uyb0RvYy54bWxQSwUGAAAAAAYABgBZAQAA&#10;8AUAAAAA&#10;">
                        <v:fill on="t" focussize="0,0"/>
                        <v:stroke on="f" weight="0.5pt"/>
                        <v:imagedata o:title=""/>
                        <o:lock v:ext="edit" aspectratio="f"/>
                        <v:textbox style="mso-fit-shape-to-text:t;">
                          <w:txbxContent>
                            <w:p>
                              <w:pPr>
                                <w:rPr>
                                  <w:sz w:val="18"/>
                                </w:rPr>
                              </w:pPr>
                              <w:r>
                                <w:rPr>
                                  <w:rFonts w:hint="eastAsia"/>
                                  <w:sz w:val="18"/>
                                </w:rPr>
                                <w:t>泥水</w:t>
                              </w:r>
                            </w:p>
                          </w:txbxContent>
                        </v:textbox>
                      </v:shape>
                      <v:shape id="_x0000_s1026" o:spid="_x0000_s1026" o:spt="202" type="#_x0000_t202" style="position:absolute;left:333262;top:2635613;height:245745;width:41846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2j4WONYAAAAF&#10;AQAADwAAAAAAAAABACAAAAAiAAAAZHJzL2Rvd25yZXYueG1sUEsBAhQAFAAAAAgAh07iQGCdwgJX&#10;AgAAmQQAAA4AAAAAAAAAAQAgAAAAJQEAAGRycy9lMm9Eb2MueG1sUEsFBgAAAAAGAAYAWQEAAO4F&#10;AAAAAA==&#10;">
                        <v:fill on="t" focussize="0,0"/>
                        <v:stroke on="f" weight="0.5pt"/>
                        <v:imagedata o:title=""/>
                        <o:lock v:ext="edit" aspectratio="f"/>
                        <v:textbox style="mso-fit-shape-to-text:t;">
                          <w:txbxContent>
                            <w:p>
                              <w:pPr>
                                <w:rPr>
                                  <w:sz w:val="18"/>
                                  <w:szCs w:val="18"/>
                                </w:rPr>
                              </w:pPr>
                              <w:r>
                                <w:rPr>
                                  <w:rFonts w:hint="eastAsia"/>
                                  <w:sz w:val="18"/>
                                  <w:szCs w:val="18"/>
                                </w:rPr>
                                <w:t>清水</w:t>
                              </w:r>
                            </w:p>
                          </w:txbxContent>
                        </v:textbox>
                      </v:shape>
                      <v:shape id="文本框 82" o:spid="_x0000_s1026" o:spt="202" type="#_x0000_t202" style="position:absolute;left:1661225;top:4287688;height:229235;width:647065;" fillcolor="#FFFFFF [3201]" filled="t" stroked="f" coordsize="21600,21600" o:gfxdata="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4bc51QAAAAUBAAAPAAAAAAAAAAEAIAAA&#10;ACIAAABkcnMvZG93bnJldi54bWxQSwECFAAUAAAACACHTuJAC0d62UgCAABtBAAADgAAAAAAAAAB&#10;ACAAAAAkAQAAZHJzL2Uyb0RvYy54bWxQSwUGAAAAAAYABgBZAQAA3gU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W</w:t>
                              </w:r>
                            </w:p>
                          </w:txbxContent>
                        </v:textbox>
                      </v:shape>
                      <v:shape id="文本框 82" o:spid="_x0000_s1026" o:spt="202" type="#_x0000_t202" style="position:absolute;left:801975;top:1597276;height:229235;width:465455;" fillcolor="#FFFFFF [3201]" filled="t" stroked="f" coordsize="21600,21600" o:gfxdata="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7htznVAAAABQEAAA8AAAAAAAAAAQAg&#10;AAAAIgAAAGRycy9kb3ducmV2LnhtbFBLAQIUABQAAAAIAIdO4kBlN8L8SgIAAGwEAAAOAAAAAAAA&#10;AAEAIAAAACQBAABkcnMvZTJvRG9jLnhtbFBLBQYAAAAABgAGAFkBAADgBQ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W</w:t>
                              </w:r>
                            </w:p>
                          </w:txbxContent>
                        </v:textbox>
                      </v:shape>
                      <v:shape id="文本框 82" o:spid="_x0000_s1026" o:spt="202" type="#_x0000_t202" style="position:absolute;left:2175001;top:1202081;height:229235;width:465455;" fillcolor="#FFFFFF [3201]" filled="t" stroked="f" coordsize="21600,21600" o:gfxdata="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4bc51QAAAAUBAAAPAAAAAAAAAAEA&#10;IAAAACIAAABkcnMvZG93bnJldi54bWxQSwECFAAUAAAACACHTuJAKW3/wUsCAABtBAAADgAAAAAA&#10;AAABACAAAAAkAQAAZHJzL2Uyb0RvYy54bWxQSwUGAAAAAAYABgBZAQAA4QU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W</w:t>
                              </w:r>
                            </w:p>
                          </w:txbxContent>
                        </v:textbox>
                      </v:shape>
                      <v:shape id="文本框 71" o:spid="_x0000_s1026" o:spt="202" type="#_x0000_t202" style="position:absolute;left:2485811;top:2599911;height:229235;width:48704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o+FjjWAAAABQEAAA8AAAAAAAAAAQAgAAAA&#10;IgAAAGRycy9kb3ducmV2LnhtbFBLAQIUABQAAAAIAIdO4kBan3L0RgIAAGsEAAAOAAAAAAAAAAEA&#10;IAAAACUBAABkcnMvZTJvRG9jLnhtbFBLBQYAAAAABgAGAFkBAADdBQ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szCs w:val="24"/>
                                </w:rPr>
                              </w:pPr>
                              <w:r>
                                <w:rPr>
                                  <w:rFonts w:ascii="Times New Roman" w:hAnsi="Times New Roman"/>
                                  <w:kern w:val="2"/>
                                  <w:sz w:val="18"/>
                                  <w:szCs w:val="18"/>
                                </w:rPr>
                                <w:t>≤</w:t>
                              </w:r>
                              <w:r>
                                <w:rPr>
                                  <w:rFonts w:ascii="Times New Roman" w:hAnsi="Times New Roman" w:eastAsiaTheme="minorEastAsia"/>
                                  <w:kern w:val="2"/>
                                  <w:sz w:val="18"/>
                                  <w:szCs w:val="18"/>
                                </w:rPr>
                                <w:t>5</w:t>
                              </w:r>
                              <w:r>
                                <w:rPr>
                                  <w:rFonts w:ascii="Times New Roman" w:hAnsi="Times New Roman" w:eastAsia="Times New Roman"/>
                                  <w:kern w:val="2"/>
                                  <w:sz w:val="18"/>
                                  <w:szCs w:val="18"/>
                                </w:rPr>
                                <w:t>mm</w:t>
                              </w:r>
                            </w:p>
                          </w:txbxContent>
                        </v:textbox>
                      </v:shape>
                      <v:shape id="文本框 82" o:spid="_x0000_s1026" o:spt="202" type="#_x0000_t202" style="position:absolute;left:3067570;top:4229893;height:229235;width:443865;" fillcolor="#FFFFFF [3201]" filled="t" stroked="f" coordsize="21600,21600" o:gfxdata="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7htznVAAAABQEAAA8AAAAAAAAAAQAg&#10;AAAAIgAAAGRycy9kb3ducmV2LnhtbFBLAQIUABQAAAAIAIdO4kAO+0okSgIAAG0EAAAOAAAAAAAA&#10;AAEAIAAAACQBAABkcnMvZTJvRG9jLnhtbFBLBQYAAAAABgAGAFkBAADgBQAAAAA=&#10;">
                        <v:fill on="t" focussize="0,0"/>
                        <v:stroke on="f" weight="0.5pt"/>
                        <v:imagedata o:title=""/>
                        <o:lock v:ext="edit" aspectratio="f"/>
                        <v:textbox style="mso-fit-shape-to-text:t;">
                          <w:txbxContent>
                            <w:p>
                              <w:pPr>
                                <w:pStyle w:val="12"/>
                                <w:spacing w:before="0" w:beforeAutospacing="0" w:after="0" w:afterAutospacing="0"/>
                                <w:jc w:val="both"/>
                                <w:rPr>
                                  <w:sz w:val="22"/>
                                  <w:szCs w:val="24"/>
                                </w:rPr>
                              </w:pPr>
                              <w:r>
                                <w:rPr>
                                  <w:rFonts w:hint="eastAsia" w:ascii="Times New Roman"/>
                                  <w:kern w:val="2"/>
                                  <w:sz w:val="18"/>
                                </w:rPr>
                                <w:t>N</w:t>
                              </w:r>
                            </w:p>
                          </w:txbxContent>
                        </v:textbox>
                      </v:shape>
                      <v:shape id="文本框 71" o:spid="_x0000_s1026" o:spt="202" type="#_x0000_t202" style="position:absolute;left:1495846;top:1290549;height:245745;width:53911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j4WONYAAAAFAQAADwAAAAAAAAABACAA&#10;AAAiAAAAZHJzL2Rvd25yZXYueG1sUEsBAhQAFAAAAAgAh07iQL53FXZIAgAAawQAAA4AAAAAAAAA&#10;AQAgAAAAJQEAAGRycy9lMm9Eb2MueG1sUEsFBgAAAAAGAAYAWQEAAN8FAAAAAA==&#10;">
                        <v:fill on="t" focussize="0,0"/>
                        <v:stroke on="f" weight="0.5pt"/>
                        <v:imagedata o:title=""/>
                        <o:lock v:ext="edit" aspectratio="f"/>
                        <v:textbox style="mso-fit-shape-to-text:t;">
                          <w:txbxContent>
                            <w:p>
                              <w:pPr>
                                <w:pStyle w:val="12"/>
                                <w:spacing w:before="0" w:beforeAutospacing="0" w:after="0" w:afterAutospacing="0"/>
                                <w:jc w:val="both"/>
                                <w:rPr>
                                  <w:sz w:val="22"/>
                                  <w:szCs w:val="24"/>
                                </w:rPr>
                              </w:pPr>
                              <w:r>
                                <w:rPr>
                                  <w:rFonts w:hint="eastAsia"/>
                                  <w:kern w:val="2"/>
                                  <w:sz w:val="18"/>
                                </w:rPr>
                                <w:t>≤</w:t>
                              </w:r>
                              <w:r>
                                <w:rPr>
                                  <w:rFonts w:ascii="Times New Roman" w:hAnsi="Times New Roman"/>
                                  <w:kern w:val="2"/>
                                  <w:sz w:val="18"/>
                                </w:rPr>
                                <w:t>5mm</w:t>
                              </w:r>
                            </w:p>
                          </w:txbxContent>
                        </v:textbox>
                      </v:shape>
                      <v:shape id="文本框 82" o:spid="_x0000_s1026" o:spt="202" type="#_x0000_t202" style="position:absolute;left:2501460;top:1351540;height:229235;width:465455;" fillcolor="#FFFFFF [3201]" filled="t" stroked="f" coordsize="21600,21600" o:gfxdata="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vuG3OdUAAAAFAQAADwAAAAAAAAABACAA&#10;AAAiAAAAZHJzL2Rvd25yZXYueG1sUEsBAhQAFAAAAAgAh07iQBCnwJ5JAgAAbQQAAA4AAAAAAAAA&#10;AQAgAAAAJAEAAGRycy9lMm9Eb2MueG1sUEsFBgAAAAAGAAYAWQEAAN8FAAAAAA==&#10;">
                        <v:fill on="t" focussize="0,0"/>
                        <v:stroke on="f" weight="0.5pt"/>
                        <v:imagedata o:title=""/>
                        <o:lock v:ext="edit" aspectratio="f"/>
                        <v:textbox style="mso-fit-shape-to-text:t;">
                          <w:txbxContent>
                            <w:p>
                              <w:pPr>
                                <w:pStyle w:val="12"/>
                                <w:spacing w:before="0" w:beforeAutospacing="0" w:after="0" w:afterAutospacing="0"/>
                                <w:jc w:val="both"/>
                                <w:rPr>
                                  <w:sz w:val="18"/>
                                  <w:szCs w:val="18"/>
                                </w:rPr>
                              </w:pPr>
                              <w:r>
                                <w:rPr>
                                  <w:rFonts w:hint="eastAsia" w:ascii="Times New Roman"/>
                                  <w:kern w:val="2"/>
                                  <w:sz w:val="18"/>
                                  <w:szCs w:val="18"/>
                                </w:rPr>
                                <w:t>N</w:t>
                              </w:r>
                            </w:p>
                          </w:txbxContent>
                        </v:textbox>
                      </v:shape>
                      <v:shape id="_x0000_s1026" o:spid="_x0000_s1026" o:spt="32" type="#_x0000_t32" style="position:absolute;left:2351506;top:1515582;flip:y;height:144146;width:202019;" filled="f" stroked="t" coordsize="21600,21600" o:gfxdata="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UwRQL1gAAAAUB&#10;AAAPAAAAAAAAAAEAIAAAACIAAABkcnMvZG93bnJldi54bWxQSwECFAAUAAAACACHTuJAseFO7R0C&#10;AAD+AwAADgAAAAAAAAABACAAAAAlAQAAZHJzL2Uyb0RvYy54bWxQSwUGAAAAAAYABgBZAQAAtAUA&#10;AAAA&#10;">
                        <v:fill on="f" focussize="0,0"/>
                        <v:stroke weight="0.5pt" color="#000000 [3200]" miterlimit="8" joinstyle="miter" dashstyle="dash" endarrow="block"/>
                        <v:imagedata o:title=""/>
                        <o:lock v:ext="edit" aspectratio="f"/>
                      </v:shape>
                      <v:shape id="文本框 82" o:spid="_x0000_s1026" o:spt="202" type="#_x0000_t202" style="position:absolute;left:3999398;top:1724233;height:229235;width:271780;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j4WONYAAAAFAQAADwAAAAAAAAABACAA&#10;AAAiAAAAZHJzL2Rvd25yZXYueG1sUEsBAhQAFAAAAAgAh07iQBa79fJIAgAAawQAAA4AAAAAAAAA&#10;AQAgAAAAJQEAAGRycy9lMm9Eb2MueG1sUEsFBgAAAAAGAAYAWQEAAN8FAAAAAA==&#10;">
                        <v:fill on="t" focussize="0,0"/>
                        <v:stroke on="f" weight="0.5pt"/>
                        <v:imagedata o:title=""/>
                        <o:lock v:ext="edit" aspectratio="f"/>
                        <v:textbox style="mso-fit-shape-to-text:t;">
                          <w:txbxContent>
                            <w:p>
                              <w:pPr>
                                <w:pStyle w:val="12"/>
                                <w:spacing w:before="0" w:beforeAutospacing="0" w:after="0" w:afterAutospacing="0"/>
                                <w:jc w:val="both"/>
                                <w:rPr>
                                  <w:sz w:val="22"/>
                                  <w:szCs w:val="24"/>
                                </w:rPr>
                              </w:pPr>
                              <w:r>
                                <w:rPr>
                                  <w:rFonts w:hint="eastAsia" w:ascii="Times New Roman"/>
                                  <w:kern w:val="2"/>
                                  <w:sz w:val="18"/>
                                </w:rPr>
                                <w:t>N</w:t>
                              </w:r>
                            </w:p>
                          </w:txbxContent>
                        </v:textbox>
                      </v:shape>
                      <v:shape id="文本框 82" o:spid="_x0000_s1026" o:spt="202" type="#_x0000_t202" style="position:absolute;left:4000090;top:689427;height:245745;width:468630;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2j4WONYAAAAFAQAADwAAAAAAAAABACAAAAAi&#10;AAAAZHJzL2Rvd25yZXYueG1sUEsBAhQAFAAAAAgAh07iQCWo55JFAgAAagQAAA4AAAAAAAAAAQAg&#10;AAAAJQEAAGRycy9lMm9Eb2MueG1sUEsFBgAAAAAGAAYAWQEAANwFAAAAAA==&#10;">
                        <v:fill on="t" focussize="0,0"/>
                        <v:stroke on="f" weight="0.5pt"/>
                        <v:imagedata o:title=""/>
                        <o:lock v:ext="edit" aspectratio="f"/>
                        <v:textbox style="mso-fit-shape-to-text:t;">
                          <w:txbxContent>
                            <w:p>
                              <w:pPr>
                                <w:pStyle w:val="12"/>
                                <w:spacing w:before="0" w:beforeAutospacing="0" w:after="0" w:afterAutospacing="0"/>
                                <w:jc w:val="both"/>
                                <w:rPr>
                                  <w:sz w:val="22"/>
                                  <w:szCs w:val="24"/>
                                </w:rPr>
                              </w:pPr>
                              <w:r>
                                <w:rPr>
                                  <w:rFonts w:hint="eastAsia" w:ascii="Times New Roman"/>
                                  <w:kern w:val="2"/>
                                  <w:sz w:val="18"/>
                                </w:rPr>
                                <w:t>N、</w:t>
                              </w:r>
                              <w:r>
                                <w:rPr>
                                  <w:rFonts w:ascii="Times New Roman"/>
                                  <w:kern w:val="2"/>
                                  <w:sz w:val="18"/>
                                </w:rPr>
                                <w:t>G</w:t>
                              </w:r>
                            </w:p>
                          </w:txbxContent>
                        </v:textbox>
                      </v:shape>
                      <v:shape id="_x0000_s1026" o:spid="_x0000_s1026" o:spt="32" type="#_x0000_t32" style="position:absolute;left:3792515;top:897259;flip:y;height:134620;width:250190;" filled="f" stroked="t" coordsize="21600,21600" o:gfxdata="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1MEUC9YA&#10;AAAFAQAADwAAAAAAAAABACAAAAAiAAAAZHJzL2Rvd25yZXYueG1sUEsBAhQAFAAAAAgAh07iQNYZ&#10;/ZohAgAA/QMAAA4AAAAAAAAAAQAgAAAAJQEAAGRycy9lMm9Eb2MueG1sUEsFBgAAAAAGAAYAWQEA&#10;ALgFAAAAAA==&#10;">
                        <v:fill on="f" focussize="0,0"/>
                        <v:stroke weight="0.5pt" color="#000000 [3200]" miterlimit="8" joinstyle="miter" dashstyle="dash" endarrow="block"/>
                        <v:imagedata o:title=""/>
                        <o:lock v:ext="edit" aspectratio="f"/>
                      </v:shape>
                      <v:shape id="文本框 71" o:spid="_x0000_s1026" o:spt="202" type="#_x0000_t202" style="position:absolute;left:2640456;top:3437436;height:245745;width:681990;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j4WONYAAAAFAQAADwAAAAAAAAABACAA&#10;AAAiAAAAZHJzL2Rvd25yZXYueG1sUEsBAhQAFAAAAAgAh07iQOmFM+xIAgAAawQAAA4AAAAAAAAA&#10;AQAgAAAAJQEAAGRycy9lMm9Eb2MueG1sUEsFBgAAAAAGAAYAWQEAAN8FAAAAAA==&#10;">
                        <v:fill on="t" focussize="0,0"/>
                        <v:stroke on="f" weight="0.5pt"/>
                        <v:imagedata o:title=""/>
                        <o:lock v:ext="edit" aspectratio="f"/>
                        <v:textbox style="mso-fit-shape-to-text:t;">
                          <w:txbxContent>
                            <w:p>
                              <w:pPr>
                                <w:pStyle w:val="12"/>
                                <w:spacing w:before="0" w:beforeAutospacing="0" w:after="0" w:afterAutospacing="0"/>
                                <w:jc w:val="both"/>
                                <w:rPr>
                                  <w:sz w:val="22"/>
                                  <w:szCs w:val="24"/>
                                </w:rPr>
                              </w:pPr>
                              <w:r>
                                <w:rPr>
                                  <w:rFonts w:hint="eastAsia"/>
                                  <w:kern w:val="2"/>
                                  <w:sz w:val="18"/>
                                </w:rPr>
                                <w:t>≥</w:t>
                              </w:r>
                              <w:r>
                                <w:rPr>
                                  <w:rFonts w:ascii="Times New Roman" w:hAnsi="Times New Roman"/>
                                  <w:kern w:val="2"/>
                                  <w:sz w:val="18"/>
                                </w:rPr>
                                <w:t>31.5mm</w:t>
                              </w:r>
                            </w:p>
                          </w:txbxContent>
                        </v:textbox>
                      </v:shape>
                      <v:shape id="文本框 71" o:spid="_x0000_s1026" o:spt="202" type="#_x0000_t202" style="position:absolute;left:3542687;top:4003207;height:245745;width:71056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o+FjjWAAAABQEAAA8AAAAAAAAAAQAg&#10;AAAAIgAAAGRycy9kb3ducmV2LnhtbFBLAQIUABQAAAAIAIdO4kBSuzBwSQIAAGsEAAAOAAAAAAAA&#10;AAEAIAAAACUBAABkcnMvZTJvRG9jLnhtbFBLBQYAAAAABgAGAFkBAADgBQAAAAA=&#10;">
                        <v:fill on="t" focussize="0,0"/>
                        <v:stroke on="f" weight="0.5pt"/>
                        <v:imagedata o:title=""/>
                        <o:lock v:ext="edit" aspectratio="f"/>
                        <v:textbox style="mso-fit-shape-to-text:t;">
                          <w:txbxContent>
                            <w:p>
                              <w:pPr>
                                <w:pStyle w:val="12"/>
                                <w:spacing w:before="0" w:beforeAutospacing="0" w:after="0" w:afterAutospacing="0"/>
                                <w:jc w:val="both"/>
                                <w:rPr>
                                  <w:sz w:val="22"/>
                                  <w:szCs w:val="24"/>
                                </w:rPr>
                              </w:pPr>
                              <w:r>
                                <w:rPr>
                                  <w:kern w:val="2"/>
                                  <w:sz w:val="18"/>
                                </w:rPr>
                                <w:t>5-31.5</w:t>
                              </w:r>
                              <w:r>
                                <w:rPr>
                                  <w:rFonts w:ascii="Times New Roman" w:hAnsi="Times New Roman"/>
                                  <w:kern w:val="2"/>
                                  <w:sz w:val="18"/>
                                </w:rPr>
                                <w:t>mm</w:t>
                              </w:r>
                            </w:p>
                          </w:txbxContent>
                        </v:textbox>
                      </v:shape>
                      <v:shape id="文本框 71" o:spid="_x0000_s1026" o:spt="202" type="#_x0000_t202" style="position:absolute;left:2860971;top:4028474;height:245745;width:53911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aPhY41gAAAAUBAAAPAAAAAAAAAAEAIAAA&#10;ACIAAABkcnMvZG93bnJldi54bWxQSwECFAAUAAAACACHTuJABc63WEcCAABrBAAADgAAAAAAAAAB&#10;ACAAAAAlAQAAZHJzL2Uyb0RvYy54bWxQSwUGAAAAAAYABgBZAQAA3gUAAAAA&#10;">
                        <v:fill on="t" focussize="0,0"/>
                        <v:stroke on="f" weight="0.5pt"/>
                        <v:imagedata o:title=""/>
                        <o:lock v:ext="edit" aspectratio="f"/>
                        <v:textbox style="mso-fit-shape-to-text:t;">
                          <w:txbxContent>
                            <w:p>
                              <w:pPr>
                                <w:pStyle w:val="12"/>
                                <w:spacing w:before="0" w:beforeAutospacing="0" w:after="0" w:afterAutospacing="0"/>
                                <w:jc w:val="both"/>
                                <w:rPr>
                                  <w:sz w:val="21"/>
                                  <w:szCs w:val="24"/>
                                </w:rPr>
                              </w:pPr>
                              <w:r>
                                <w:rPr>
                                  <w:rFonts w:hint="eastAsia"/>
                                  <w:kern w:val="2"/>
                                  <w:sz w:val="18"/>
                                  <w:szCs w:val="21"/>
                                </w:rPr>
                                <w:t>≤</w:t>
                              </w:r>
                              <w:r>
                                <w:rPr>
                                  <w:rFonts w:ascii="Times New Roman"/>
                                  <w:kern w:val="2"/>
                                  <w:sz w:val="18"/>
                                  <w:szCs w:val="21"/>
                                </w:rPr>
                                <w:t>5mm</w:t>
                              </w:r>
                            </w:p>
                          </w:txbxContent>
                        </v:textbox>
                      </v:shape>
                      <v:shape id="_x0000_s1026" o:spid="_x0000_s1026" o:spt="202" type="#_x0000_t202" style="position:absolute;left:2759370;top:13420;height:270510;width:1283335;" fillcolor="#FFFFFF [3201]" filled="t" stroked="t" coordsize="21600,21600" o:gfxdata="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C8p/nWAAAABQEAAA8AAAAAAAAAAQAgAAAAIgAAAGRycy9kb3ducmV2LnhtbFBLAQIUABQA&#10;AAAIAIdO4kA+fQwKZAIAAMMEAAAOAAAAAAAAAAEAIAAAACUBAABkcnMvZTJvRG9jLnhtbFBLBQYA&#10;AAAABgAGAFkBAAD7BQAAAAA=&#10;">
                        <v:fill on="t" focussize="0,0"/>
                        <v:stroke weight="0.5pt" color="#000000" joinstyle="round"/>
                        <v:imagedata o:title=""/>
                        <o:lock v:ext="edit" aspectratio="f"/>
                        <v:textbox style="mso-fit-shape-to-text:t;">
                          <w:txbxContent>
                            <w:p>
                              <w:pPr>
                                <w:jc w:val="center"/>
                              </w:pPr>
                              <w:r>
                                <w:rPr>
                                  <w:rFonts w:hint="eastAsia"/>
                                </w:rPr>
                                <w:t>原弃方堆放地</w:t>
                              </w:r>
                              <w:r>
                                <w:t>挖采</w:t>
                              </w:r>
                            </w:p>
                          </w:txbxContent>
                        </v:textbox>
                      </v:shape>
                      <v:shape id="_x0000_s1026" o:spid="_x0000_s1026" o:spt="32" type="#_x0000_t32" style="position:absolute;left:3403136;top:782301;height:248997;width:971;"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3hKANIAAAAFAQAADwAAAAAAAAABACAAAAAiAAAAZHJzL2Rvd25yZXYueG1sUEsBAhQAFAAA&#10;AAgAh07iQPsQ570uAgAAMQQAAA4AAAAAAAAAAQAgAAAAIQEAAGRycy9lMm9Eb2MueG1sUEsFBgAA&#10;AAAGAAYAWQEAAMEFAAAAAA==&#10;">
                        <v:fill on="f" focussize="0,0"/>
                        <v:stroke color="#000000 [3200]" miterlimit="8" joinstyle="miter" endarrow="block"/>
                        <v:imagedata o:title=""/>
                        <o:lock v:ext="edit" aspectratio="f"/>
                      </v:shape>
                      <v:shape id="_x0000_s1026" o:spid="_x0000_s1026" o:spt="202" type="#_x0000_t202" style="position:absolute;left:2909124;top:1556893;height:270510;width:989965;" fillcolor="#FFFFFF [3201]" filled="t" stroked="t" coordsize="21600,21600" o:gfxdata="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QvKf51gAAAAUBAAAPAAAAAAAAAAEAIAAAACIAAABkcnMvZG93bnJldi54bWxQSwEC&#10;FAAUAAAACACHTuJA5gqq8GgCAADEBAAADgAAAAAAAAABACAAAAAlAQAAZHJzL2Uyb0RvYy54bWxQ&#10;SwUGAAAAAAYABgBZAQAA/wUAAAAA&#10;">
                        <v:fill on="t" focussize="0,0"/>
                        <v:stroke weight="0.5pt" color="#000000" joinstyle="round"/>
                        <v:imagedata o:title=""/>
                        <o:lock v:ext="edit" aspectratio="f"/>
                        <v:textbox style="mso-fit-shape-to-text:t;">
                          <w:txbxContent>
                            <w:p>
                              <w:pPr>
                                <w:jc w:val="center"/>
                              </w:pPr>
                              <w:r>
                                <w:rPr>
                                  <w:rFonts w:hint="eastAsia"/>
                                </w:rPr>
                                <w:t>颚式破碎机</w:t>
                              </w:r>
                            </w:p>
                          </w:txbxContent>
                        </v:textbox>
                      </v:shape>
                      <v:shape id="_x0000_s1026" o:spid="_x0000_s1026" o:spt="202" type="#_x0000_t202" style="position:absolute;left:2909194;top:2072412;height:270510;width:990000;" fillcolor="#FFFFFF [3201]" filled="t" stroked="t" coordsize="21600,21600" o:gfxdata="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QvKf51gAAAAUBAAAPAAAAAAAAAAEAIAAAACIAAABkcnMvZG93bnJldi54bWxQSwECFAAU&#10;AAAACACHTuJAijyOZmUCAADEBAAADgAAAAAAAAABACAAAAAlAQAAZHJzL2Uyb0RvYy54bWxQSwUG&#10;AAAAAAYABgBZAQAA/AUAAAAA&#10;">
                        <v:fill on="t" focussize="0,0"/>
                        <v:stroke weight="0.5pt" color="#000000" joinstyle="round"/>
                        <v:imagedata o:title=""/>
                        <o:lock v:ext="edit" aspectratio="f"/>
                        <v:textbox style="mso-fit-shape-to-text:t;">
                          <w:txbxContent>
                            <w:p>
                              <w:pPr>
                                <w:jc w:val="center"/>
                              </w:pPr>
                              <w:r>
                                <w:rPr>
                                  <w:rFonts w:hint="eastAsia"/>
                                </w:rPr>
                                <w:t>圆锥</w:t>
                              </w:r>
                              <w:r>
                                <w:t>破碎机</w:t>
                              </w:r>
                            </w:p>
                          </w:txbxContent>
                        </v:textbox>
                      </v:shape>
                      <v:shape id="_x0000_s1026" o:spid="_x0000_s1026" o:spt="202" type="#_x0000_t202" style="position:absolute;left:2909124;top:3166926;height:270510;width:990000;" fillcolor="#FFFFFF [3201]" filled="t" stroked="t" coordsize="21600,21600" o:gfxdata="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Lyn+dYAAAAFAQAADwAAAAAAAAABACAAAAAiAAAAZHJzL2Rvd25yZXYueG1sUEsBAhQA&#10;FAAAAAgAh07iQMhYpbRmAgAAxAQAAA4AAAAAAAAAAQAgAAAAJQEAAGRycy9lMm9Eb2MueG1sUEsF&#10;BgAAAAAGAAYAWQEAAP0FAAAAAA==&#10;">
                        <v:fill on="t" focussize="0,0"/>
                        <v:stroke weight="0.5pt" color="#000000" joinstyle="round"/>
                        <v:imagedata o:title=""/>
                        <o:lock v:ext="edit" aspectratio="f"/>
                        <v:textbox style="mso-fit-shape-to-text:t;">
                          <w:txbxContent>
                            <w:p>
                              <w:pPr>
                                <w:jc w:val="center"/>
                              </w:pPr>
                              <w:r>
                                <w:rPr>
                                  <w:rFonts w:hint="eastAsia"/>
                                </w:rPr>
                                <w:t>制砂机</w:t>
                              </w:r>
                            </w:p>
                          </w:txbxContent>
                        </v:textbox>
                      </v:shape>
                      <v:shape id="_x0000_s1026" o:spid="_x0000_s1026" o:spt="202" type="#_x0000_t202" style="position:absolute;left:2909159;top:2601678;height:270510;width:989965;mso-wrap-style:none;" fillcolor="#FFFFFF [3201]" filled="t" stroked="t" coordsize="21600,21600" o:gfxdata="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aB80rTAAAABQEAAA8AAAAAAAAAAQAgAAAAIgAAAGRycy9kb3ducmV2LnhtbFBLAQIUABQAAAAI&#10;AIdO4kAKDLXQZAIAAMIEAAAOAAAAAAAAAAEAIAAAACIBAABkcnMvZTJvRG9jLnhtbFBLBQYAAAAA&#10;BgAGAFkBAAD4BQAAAAA=&#10;">
                        <v:fill on="t" focussize="0,0"/>
                        <v:stroke weight="0.5pt" color="#000000" joinstyle="round"/>
                        <v:imagedata o:title=""/>
                        <o:lock v:ext="edit" aspectratio="f"/>
                        <v:textbox style="mso-fit-shape-to-text:t;">
                          <w:txbxContent>
                            <w:p>
                              <w:r>
                                <w:rPr>
                                  <w:rFonts w:hint="eastAsia"/>
                                </w:rPr>
                                <w:t>二级</w:t>
                              </w:r>
                              <w:r>
                                <w:t>振动筛分</w:t>
                              </w:r>
                            </w:p>
                          </w:txbxContent>
                        </v:textbox>
                      </v:shape>
                      <v:shape id="文本框 59" o:spid="_x0000_s1026" o:spt="202" type="#_x0000_t202" style="position:absolute;left:2909194;top:3715506;height:270510;width:989965;mso-wrap-style:none;" fillcolor="#FFFFFF [3201]" filled="t" stroked="t" coordsize="21600,21600" o:gfxdata="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2gfNK0wAAAAUBAAAP&#10;AAAAAAAAAAEAIAAAACIAAABkcnMvZG93bnJldi54bWxQSwECFAAUAAAACACHTuJApOe7plYCAACT&#10;BAAADgAAAAAAAAABACAAAAAiAQAAZHJzL2Uyb0RvYy54bWxQSwUGAAAAAAYABgBZAQAA6gUAAAAA&#10;">
                        <v:fill on="t" focussize="0,0"/>
                        <v:stroke weight="0.5pt" color="#000000" joinstyle="round"/>
                        <v:imagedata o:title=""/>
                        <o:lock v:ext="edit" aspectratio="f"/>
                        <v:textbox style="mso-fit-shape-to-text:t;">
                          <w:txbxContent>
                            <w:p>
                              <w:pPr>
                                <w:pStyle w:val="12"/>
                                <w:spacing w:before="0" w:beforeAutospacing="0" w:after="0" w:afterAutospacing="0"/>
                                <w:jc w:val="both"/>
                                <w:rPr>
                                  <w:szCs w:val="24"/>
                                </w:rPr>
                              </w:pPr>
                              <w:r>
                                <w:rPr>
                                  <w:rFonts w:hint="eastAsia" w:ascii="Times New Roman"/>
                                  <w:kern w:val="2"/>
                                  <w:sz w:val="21"/>
                                  <w:szCs w:val="21"/>
                                </w:rPr>
                                <w:t>三级振动筛分</w:t>
                              </w:r>
                            </w:p>
                          </w:txbxContent>
                        </v:textbox>
                      </v:shape>
                      <v:shape id="_x0000_s1026" o:spid="_x0000_s1026" o:spt="32" type="#_x0000_t32" style="position:absolute;left:3404107;top:1827403;height:245009;width:87;"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t4SgDSAAAABQEAAA8AAAAAAAAAAQAgAAAAIgAAAGRycy9kb3ducmV2LnhtbFBLAQIUABQAAAAI&#10;AIdO4kATztVPLAIAADEEAAAOAAAAAAAAAAEAIAAAACEBAABkcnMvZTJvRG9jLnhtbFBLBQYAAAAA&#10;BgAGAFkBAAC/BQAAAAA=&#10;">
                        <v:fill on="f" focussize="0,0"/>
                        <v:stroke color="#000000 [3200]" miterlimit="8" joinstyle="miter" endarrow="block"/>
                        <v:imagedata o:title=""/>
                        <o:lock v:ext="edit" aspectratio="f"/>
                      </v:shape>
                      <v:shape id="_x0000_s1026" o:spid="_x0000_s1026" o:spt="32" type="#_x0000_t32" style="position:absolute;left:3404142;top:2342922;flip:x;height:260751;width:52;" filled="f" stroked="t" coordsize="21600,21600" o:gfxdata="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XsVtbUAAAABQEAAA8AAAAAAAAAAQAgAAAAIgAAAGRycy9kb3ducmV2Lnht&#10;bFBLAQIUABQAAAAIAIdO4kBKUChjNgIAADsEAAAOAAAAAAAAAAEAIAAAACMBAABkcnMvZTJvRG9j&#10;LnhtbFBLBQYAAAAABgAGAFkBAADLBQAAAAA=&#10;">
                        <v:fill on="f" focussize="0,0"/>
                        <v:stroke color="#000000 [3200]" miterlimit="8" joinstyle="miter" endarrow="block"/>
                        <v:imagedata o:title=""/>
                        <o:lock v:ext="edit" aspectratio="f"/>
                      </v:shape>
                      <v:shape id="_x0000_s1026" o:spid="_x0000_s1026" o:spt="32" type="#_x0000_t32" style="position:absolute;left:3404124;top:2874183;flip:x;height:292743;width:18;" filled="f" stroked="t" coordsize="21600,21600" o:gfxdata="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FexW1tQAAAAFAQAADwAAAAAAAAABACAAAAAiAAAAZHJzL2Rvd25yZXYu&#10;eG1sUEsBAhQAFAAAAAgAh07iQBPPBSw4AgAAOwQAAA4AAAAAAAAAAQAgAAAAIwEAAGRycy9lMm9E&#10;b2MueG1sUEsFBgAAAAAGAAYAWQEAAM0FAAAAAA==&#10;">
                        <v:fill on="f" focussize="0,0"/>
                        <v:stroke color="#000000 [3200]" miterlimit="8" joinstyle="miter" endarrow="block"/>
                        <v:imagedata o:title=""/>
                        <o:lock v:ext="edit" aspectratio="f"/>
                      </v:shape>
                      <v:shape id="_x0000_s1026" o:spid="_x0000_s1026" o:spt="32" type="#_x0000_t32" style="position:absolute;left:3404124;top:3437436;height:280254;width:1640;"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t4SgDSAAAABQEAAA8AAAAAAAAAAQAgAAAAIgAAAGRycy9kb3ducmV2LnhtbFBLAQIUABQA&#10;AAAIAIdO4kAkId0yLwIAADQEAAAOAAAAAAAAAAEAIAAAACEBAABkcnMvZTJvRG9jLnhtbFBLBQYA&#10;AAAABgAGAFkBAADCBQAAAAA=&#10;">
                        <v:fill on="f" focussize="0,0"/>
                        <v:stroke color="#000000 [3200]" miterlimit="8" joinstyle="miter" endarrow="block"/>
                        <v:imagedata o:title=""/>
                        <o:lock v:ext="edit" aspectratio="f"/>
                      </v:shape>
                      <v:line id="_x0000_s1026" o:spid="_x0000_s1026" o:spt="20" style="position:absolute;left:3405764;top:3987722;height:226243;width:1622;" filled="f" stroked="t" coordsize="21600,21600" o:gfxdata="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1DS+PWAAAABQEAAA8AAAAAAAAAAQAgAAAAIgAAAGRycy9k&#10;b3ducmV2LnhtbFBLAQIUABQAAAAIAIdO4kCalGReBAIAAOkDAAAOAAAAAAAAAAEAIAAAACUBAABk&#10;cnMvZTJvRG9jLnhtbFBLBQYAAAAABgAGAFkBAACbBQAAAAA=&#10;">
                        <v:fill on="f" focussize="0,0"/>
                        <v:stroke color="#000000 [3200]" miterlimit="8" joinstyle="miter"/>
                        <v:imagedata o:title=""/>
                        <o:lock v:ext="edit" aspectratio="f"/>
                      </v:line>
                      <v:line id="_x0000_s1026" o:spid="_x0000_s1026" o:spt="20" style="position:absolute;left:2759346;top:4213535;height:0;width:2257281;" filled="f" stroked="t" coordsize="21600,21600" o:gfxdata="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1DS+PWAAAABQEAAA8AAAAAAAAAAQAgAAAAIgAAAGRycy9kb3ducmV2LnhtbFBLAQIU&#10;ABQAAAAIAIdO4kClvGex9QEAAL8DAAAOAAAAAAAAAAEAIAAAACUBAABkcnMvZTJvRG9jLnhtbFBL&#10;BQYAAAAABgAGAFkBAACMBQAAAAA=&#10;">
                        <v:fill on="f" focussize="0,0"/>
                        <v:stroke color="#000000 [3200]" miterlimit="8" joinstyle="miter"/>
                        <v:imagedata o:title=""/>
                        <o:lock v:ext="edit" aspectratio="f"/>
                      </v:line>
                      <v:shape id="_x0000_s1026" o:spid="_x0000_s1026" o:spt="32" type="#_x0000_t32" style="position:absolute;left:2759322;top:4213535;height:259381;width:24;"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t4SgDSAAAABQEAAA8AAAAAAAAAAQAg&#10;AAAAIgAAAGRycy9kb3ducmV2LnhtbFBLAQIUABQAAAAIAIdO4kAbOxo0FAIAAO8DAAAOAAAAAAAA&#10;AAEAIAAAACEBAABkcnMvZTJvRG9jLnhtbFBLBQYAAAAABgAGAFkBAACnBQAAAAA=&#10;">
                        <v:fill on="f" focussize="0,0"/>
                        <v:stroke color="#000000 [3200]" miterlimit="8" joinstyle="miter" endarrow="block"/>
                        <v:imagedata o:title=""/>
                        <o:lock v:ext="edit" aspectratio="f"/>
                      </v:shape>
                      <v:shape id="文本框 58" o:spid="_x0000_s1026" o:spt="202" type="#_x0000_t202" style="position:absolute;left:2448345;top:4472515;height:269875;width:702750;" fillcolor="#FFFFFF [3201]" filled="t" stroked="t" coordsize="21600,21600" o:gfxdata="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C8p/nWAAAABQEA&#10;AA8AAAAAAAAAAQAgAAAAIgAAAGRycy9kb3ducmV2LnhtbFBLAQIUABQAAAAIAIdO4kBDr18LVQIA&#10;AJUEAAAOAAAAAAAAAAEAIAAAACUBAABkcnMvZTJvRG9jLnhtbFBLBQYAAAAABgAGAFkBAADsBQAA&#10;AAA=&#10;">
                        <v:fill on="t" focussize="0,0"/>
                        <v:stroke weight="0.5pt" color="#000000" joinstyle="round"/>
                        <v:imagedata o:title=""/>
                        <o:lock v:ext="edit" aspectratio="f"/>
                        <v:textbox style="mso-fit-shape-to-text:t;">
                          <w:txbxContent>
                            <w:p>
                              <w:pPr>
                                <w:pStyle w:val="12"/>
                                <w:spacing w:before="0" w:beforeAutospacing="0" w:after="0" w:afterAutospacing="0"/>
                                <w:jc w:val="center"/>
                                <w:rPr>
                                  <w:szCs w:val="24"/>
                                </w:rPr>
                              </w:pPr>
                              <w:r>
                                <w:rPr>
                                  <w:rFonts w:hint="eastAsia" w:ascii="Times New Roman"/>
                                  <w:kern w:val="2"/>
                                  <w:sz w:val="21"/>
                                  <w:szCs w:val="21"/>
                                </w:rPr>
                                <w:t>洗砂机</w:t>
                              </w:r>
                            </w:p>
                          </w:txbxContent>
                        </v:textbox>
                      </v:shape>
                      <v:shape id="文本框 56" o:spid="_x0000_s1026" o:spt="202" type="#_x0000_t202" style="position:absolute;left:2909124;top:1031429;height:270510;width:989965;" fillcolor="#FFFFFF [3201]" filled="t" stroked="t" coordsize="21600,21600" o:gfxdata="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Lyn+dYAAAAF&#10;AQAADwAAAAAAAAABACAAAAAiAAAAZHJzL2Rvd25yZXYueG1sUEsBAhQAFAAAAAgAh07iQPySzPRX&#10;AgAAlQQAAA4AAAAAAAAAAQAgAAAAJQEAAGRycy9lMm9Eb2MueG1sUEsFBgAAAAAGAAYAWQEAAO4F&#10;AAAAAA==&#10;">
                        <v:fill on="t" focussize="0,0"/>
                        <v:stroke weight="0.5pt" color="#000000" joinstyle="round"/>
                        <v:imagedata o:title=""/>
                        <o:lock v:ext="edit" aspectratio="f"/>
                        <v:textbox style="mso-fit-shape-to-text:t;">
                          <w:txbxContent>
                            <w:p>
                              <w:pPr>
                                <w:pStyle w:val="12"/>
                                <w:spacing w:before="0" w:beforeAutospacing="0" w:after="0" w:afterAutospacing="0"/>
                                <w:jc w:val="center"/>
                                <w:rPr>
                                  <w:szCs w:val="24"/>
                                </w:rPr>
                              </w:pPr>
                              <w:r>
                                <w:rPr>
                                  <w:rFonts w:hint="eastAsia" w:ascii="Times New Roman"/>
                                  <w:kern w:val="2"/>
                                  <w:sz w:val="21"/>
                                  <w:szCs w:val="21"/>
                                </w:rPr>
                                <w:t>一级振动筛分</w:t>
                              </w:r>
                            </w:p>
                          </w:txbxContent>
                        </v:textbox>
                      </v:shape>
                      <v:shape id="_x0000_s1026" o:spid="_x0000_s1026" o:spt="32" type="#_x0000_t32" style="position:absolute;left:3404107;top:1301939;height:254954;width:0;"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reEoA0gAAAAUBAAAPAAAAAAAAAAEAIAAAACIAAABkcnMvZG93bnJldi54bWxQSwECFAAU&#10;AAAACACHTuJAJ05UgzACAAAxBAAADgAAAAAAAAABACAAAAAhAQAAZHJzL2Uyb0RvYy54bWxQSwUG&#10;AAAAAAYABgBZAQAAwwUAAAAA&#10;">
                        <v:fill on="f" focussize="0,0"/>
                        <v:stroke color="#000000 [3200]" miterlimit="8" joinstyle="miter" endarrow="block"/>
                        <v:imagedata o:title=""/>
                        <o:lock v:ext="edit" aspectratio="f"/>
                      </v:shape>
                      <v:shape id="_x0000_s1026" o:spid="_x0000_s1026" o:spt="32" type="#_x0000_t32" style="position:absolute;left:2761296;top:4742791;height:206021;width:0;"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reEoA0gAAAAUBAAAPAAAAAAAAAAEA&#10;IAAAACIAAABkcnMvZG93bnJldi54bWxQSwECFAAUAAAACACHTuJAJnO1+BUCAADuAwAADgAAAAAA&#10;AAABACAAAAAhAQAAZHJzL2Uyb0RvYy54bWxQSwUGAAAAAAYABgBZAQAAqAUAAAAA&#10;">
                        <v:fill on="f" focussize="0,0"/>
                        <v:stroke color="#000000 [3200]" miterlimit="8" joinstyle="miter" endarrow="block"/>
                        <v:imagedata o:title=""/>
                        <o:lock v:ext="edit" aspectratio="f"/>
                      </v:shape>
                      <v:shape id="文本框 71" o:spid="_x0000_s1026" o:spt="202" type="#_x0000_t202" style="position:absolute;left:3151095;top:4943720;height:596900;width:641350;mso-wrap-style:none;" fillcolor="#D0CECE [2894]" filled="t" stroked="t" coordsize="21600,21600" o:gfxdata="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0j8sHV&#10;AAAABQEAAA8AAAAAAAAAAQAgAAAAIgAAAGRycy9kb3ducmV2LnhtbFBLAQIUABQAAAAIAIdO4kBx&#10;7kAVXAIAALYEAAAOAAAAAAAAAAEAIAAAACQBAABkcnMvZTJvRG9jLnhtbFBLBQYAAAAABgAGAFkB&#10;AADyBQAAAAA=&#10;">
                        <v:fill on="t" focussize="0,0"/>
                        <v:stroke weight="0.5pt" color="#000000 [3213]" joinstyle="round"/>
                        <v:imagedata o:title=""/>
                        <o:lock v:ext="edit" aspectratio="f"/>
                        <v:textbox style="mso-fit-shape-to-text:t;">
                          <w:txbxContent>
                            <w:p>
                              <w:pPr>
                                <w:pStyle w:val="12"/>
                                <w:spacing w:before="0" w:beforeAutospacing="0" w:after="0" w:afterAutospacing="0"/>
                                <w:jc w:val="center"/>
                                <w:rPr>
                                  <w:rFonts w:ascii="Times New Roman"/>
                                  <w:kern w:val="2"/>
                                  <w:sz w:val="21"/>
                                  <w:szCs w:val="21"/>
                                </w:rPr>
                              </w:pPr>
                              <w:r>
                                <w:rPr>
                                  <w:rFonts w:hint="eastAsia" w:ascii="Times New Roman"/>
                                  <w:kern w:val="2"/>
                                  <w:sz w:val="21"/>
                                  <w:szCs w:val="21"/>
                                </w:rPr>
                                <w:t>产品3</w:t>
                              </w:r>
                            </w:p>
                            <w:p>
                              <w:pPr>
                                <w:pStyle w:val="12"/>
                                <w:spacing w:before="0" w:beforeAutospacing="0" w:after="0" w:afterAutospacing="0"/>
                                <w:jc w:val="center"/>
                                <w:rPr>
                                  <w:rFonts w:ascii="Times New Roman"/>
                                  <w:kern w:val="2"/>
                                  <w:sz w:val="21"/>
                                  <w:szCs w:val="21"/>
                                </w:rPr>
                              </w:pPr>
                              <w:r>
                                <w:rPr>
                                  <w:rFonts w:hint="eastAsia" w:ascii="Times New Roman"/>
                                  <w:kern w:val="2"/>
                                  <w:sz w:val="21"/>
                                  <w:szCs w:val="21"/>
                                </w:rPr>
                                <w:t>5-10</w:t>
                              </w:r>
                              <w:r>
                                <w:rPr>
                                  <w:rFonts w:ascii="Times New Roman"/>
                                  <w:kern w:val="2"/>
                                  <w:sz w:val="21"/>
                                  <w:szCs w:val="21"/>
                                </w:rPr>
                                <w:t>mm</w:t>
                              </w:r>
                            </w:p>
                            <w:p>
                              <w:pPr>
                                <w:pStyle w:val="12"/>
                                <w:spacing w:before="0" w:beforeAutospacing="0" w:after="0" w:afterAutospacing="0"/>
                                <w:jc w:val="center"/>
                                <w:rPr>
                                  <w:szCs w:val="24"/>
                                </w:rPr>
                              </w:pPr>
                              <w:r>
                                <w:rPr>
                                  <w:rFonts w:hint="eastAsia" w:ascii="Times New Roman"/>
                                  <w:kern w:val="2"/>
                                  <w:sz w:val="21"/>
                                  <w:szCs w:val="21"/>
                                </w:rPr>
                                <w:t>碎石</w:t>
                              </w:r>
                            </w:p>
                          </w:txbxContent>
                        </v:textbox>
                      </v:shape>
                      <v:line id="_x0000_s1026" o:spid="_x0000_s1026" o:spt="20" style="position:absolute;left:2712384;top:3850366;flip:x;height:0;width:196810;" filled="f" stroked="t" coordsize="21600,21600" o:gfxdata="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c02HM1gAAAAUBAAAPAAAAAAAAAAEAIAAAACIA&#10;AABkcnMvZG93bnJldi54bWxQSwECFAAUAAAACACHTuJAehBSVgsCAADwAwAADgAAAAAAAAABACAA&#10;AAAlAQAAZHJzL2Uyb0RvYy54bWxQSwUGAAAAAAYABgBZAQAAogUAAAAA&#10;">
                        <v:fill on="f" focussize="0,0"/>
                        <v:stroke color="#000000 [3200]" miterlimit="8" joinstyle="miter"/>
                        <v:imagedata o:title=""/>
                        <o:lock v:ext="edit" aspectratio="f"/>
                      </v:line>
                      <v:line id="_x0000_s1026" o:spid="_x0000_s1026" o:spt="20" style="position:absolute;left:2712384;top:3302505;flip:y;height:547466;width:0;" filled="f" stroked="t" coordsize="21600,21600" o:gfxdata="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zTYczWAAAABQEAAA8AAAAAAAAAAQAgAAAAIgAAAGRycy9kb3ducmV2LnhtbFBL&#10;AQIUABQAAAAIAIdO4kAuyr9s+AEAAMgDAAAOAAAAAAAAAAEAIAAAACUBAABkcnMvZTJvRG9jLnht&#10;bFBLBQYAAAAABgAGAFkBAACPBQAAAAA=&#10;">
                        <v:fill on="f" focussize="0,0"/>
                        <v:stroke color="#000000 [3200]" miterlimit="8" joinstyle="miter"/>
                        <v:imagedata o:title=""/>
                        <o:lock v:ext="edit" aspectratio="f"/>
                      </v:line>
                      <v:shape id="_x0000_s1026" o:spid="_x0000_s1026" o:spt="32" type="#_x0000_t32" style="position:absolute;left:2712384;top:3301191;height:660;width:196740;"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K3hK&#10;ANIAAAAFAQAADwAAAAAAAAABACAAAAAiAAAAZHJzL2Rvd25yZXYueG1sUEsBAhQAFAAAAAgAh07i&#10;QCEUKC8oAgAAGAQAAA4AAAAAAAAAAQAgAAAAIQEAAGRycy9lMm9Eb2MueG1sUEsFBgAAAAAGAAYA&#10;WQEAALsFAAAAAA==&#10;">
                        <v:fill on="f" focussize="0,0"/>
                        <v:stroke color="#000000 [3200]" miterlimit="8" joinstyle="miter" endarrow="block"/>
                        <v:imagedata o:title=""/>
                        <o:lock v:ext="edit" aspectratio="f"/>
                      </v:shape>
                      <v:line id="_x0000_s1026" o:spid="_x0000_s1026" o:spt="20" style="position:absolute;left:2027973;top:1166691;flip:x;height:0;width:881152;" filled="f" stroked="t" coordsize="21600,21600" o:gfxdata="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c02HM1gAAAAUBAAAPAAAAAAAAAAEAIAAAACIAAABkcnMvZG93bnJldi54bWxQ&#10;SwECFAAUAAAACACHTuJAgMf4RfkBAADIAwAADgAAAAAAAAABACAAAAAlAQAAZHJzL2Uyb0RvYy54&#10;bWxQSwUGAAAAAAYABgBZAQAAkAUAAAAA&#10;">
                        <v:fill on="f" focussize="0,0"/>
                        <v:stroke color="#000000 [3200]" miterlimit="8" joinstyle="miter"/>
                        <v:imagedata o:title=""/>
                        <o:lock v:ext="edit" aspectratio="f"/>
                      </v:line>
                      <v:shape id="_x0000_s1026" o:spid="_x0000_s1026" o:spt="32" type="#_x0000_t32" style="position:absolute;left:2027973;top:1166579;height:477052;width:0;"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reEoA0gAA&#10;AAUBAAAPAAAAAAAAAAEAIAAAACIAAABkcnMvZG93bnJldi54bWxQSwECFAAUAAAACACHTuJAdP1x&#10;JSQCAAAXBAAADgAAAAAAAAABACAAAAAhAQAAZHJzL2Uyb0RvYy54bWxQSwUGAAAAAAYABgBZAQAA&#10;twUAAAAA&#10;">
                        <v:fill on="f" focussize="0,0"/>
                        <v:stroke color="#000000 [3200]" miterlimit="8" joinstyle="miter" endarrow="block"/>
                        <v:imagedata o:title=""/>
                        <o:lock v:ext="edit" aspectratio="f"/>
                      </v:shape>
                      <v:shape id="文本框 58" o:spid="_x0000_s1026" o:spt="202" type="#_x0000_t202" style="position:absolute;left:1704440;top:1643778;height:270510;width:647065;" fillcolor="#FFFFFF [3201]" filled="t" stroked="t" coordsize="21600,21600" o:gfxdata="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QvKf51gAAAAUBAAAP&#10;AAAAAAAAAAEAIAAAACIAAABkcnMvZG93bnJldi54bWxQSwECFAAUAAAACACHTuJAnKE+FFMCAACV&#10;BAAADgAAAAAAAAABACAAAAAlAQAAZHJzL2Uyb0RvYy54bWxQSwUGAAAAAAYABgBZAQAA6gUAAAAA&#10;">
                        <v:fill on="t" focussize="0,0"/>
                        <v:stroke weight="0.5pt" color="#000000" joinstyle="round"/>
                        <v:imagedata o:title=""/>
                        <o:lock v:ext="edit" aspectratio="f"/>
                        <v:textbox style="mso-fit-shape-to-text:t;">
                          <w:txbxContent>
                            <w:p>
                              <w:pPr>
                                <w:pStyle w:val="12"/>
                                <w:spacing w:before="0" w:beforeAutospacing="0" w:after="0" w:afterAutospacing="0"/>
                                <w:jc w:val="center"/>
                                <w:rPr>
                                  <w:szCs w:val="24"/>
                                </w:rPr>
                              </w:pPr>
                              <w:r>
                                <w:rPr>
                                  <w:rFonts w:hint="eastAsia" w:ascii="Times New Roman"/>
                                  <w:kern w:val="2"/>
                                  <w:sz w:val="21"/>
                                  <w:szCs w:val="21"/>
                                </w:rPr>
                                <w:t>洗砂机</w:t>
                              </w:r>
                            </w:p>
                          </w:txbxContent>
                        </v:textbox>
                      </v:shape>
                      <v:shape id="_x0000_s1026" o:spid="_x0000_s1026" o:spt="32" type="#_x0000_t32" style="position:absolute;left:2027973;top:1914269;height:192694;width:0;" filled="f" stroked="t" coordsize="21600,21600" o:gfxdata="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5UWAHUAAAA&#10;BQEAAA8AAAAAAAAAAQAgAAAAIgAAAGRycy9kb3ducmV2LnhtbFBLAQIUABQAAAAIAIdO4kAcMkLH&#10;IQIAABgEAAAOAAAAAAAAAAEAIAAAACMBAABkcnMvZTJvRG9jLnhtbFBLBQYAAAAABgAGAFkBAAC2&#10;BQAAAAA=&#10;">
                        <v:fill on="f" focussize="0,0"/>
                        <v:stroke weight="0.5pt" color="#000000 [3200]" miterlimit="8" joinstyle="miter" endarrow="block"/>
                        <v:imagedata o:title=""/>
                        <o:lock v:ext="edit" aspectratio="f"/>
                      </v:shape>
                      <v:shape id="文本框 71" o:spid="_x0000_s1026" o:spt="202" type="#_x0000_t202" style="position:absolute;left:1718375;top:2106963;height:443865;width:589915;mso-wrap-style:none;" fillcolor="#D0CECE [2894]" filled="t" stroked="t" coordsize="21600,21600" o:gfxdata="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PywdUAAAAFAQAADwAAAAAAAAABACAAAAAiAAAAZHJzL2Rvd25yZXYueG1sUEsBAhQAFAAA&#10;AAgAh07iQMXaXYZkAgAAtgQAAA4AAAAAAAAAAQAgAAAAJAEAAGRycy9lMm9Eb2MueG1sUEsFBgAA&#10;AAAGAAYAWQEAAPoFAAAAAA==&#10;">
                        <v:fill on="t" focussize="0,0"/>
                        <v:stroke weight="0.5pt" color="#000000 [3213]" joinstyle="round"/>
                        <v:imagedata o:title=""/>
                        <o:lock v:ext="edit" aspectratio="f"/>
                        <v:textbox style="mso-fit-shape-to-text:t;">
                          <w:txbxContent>
                            <w:p>
                              <w:pPr>
                                <w:pStyle w:val="12"/>
                                <w:spacing w:before="0" w:beforeAutospacing="0" w:after="0" w:afterAutospacing="0"/>
                                <w:jc w:val="both"/>
                                <w:rPr>
                                  <w:rFonts w:ascii="Times New Roman"/>
                                  <w:kern w:val="2"/>
                                  <w:sz w:val="21"/>
                                  <w:szCs w:val="21"/>
                                </w:rPr>
                              </w:pPr>
                              <w:r>
                                <w:rPr>
                                  <w:rFonts w:hint="eastAsia" w:ascii="Times New Roman"/>
                                  <w:kern w:val="2"/>
                                  <w:sz w:val="21"/>
                                  <w:szCs w:val="21"/>
                                </w:rPr>
                                <w:t>产品1</w:t>
                              </w:r>
                            </w:p>
                            <w:p>
                              <w:pPr>
                                <w:pStyle w:val="12"/>
                                <w:spacing w:before="0" w:beforeAutospacing="0" w:after="0" w:afterAutospacing="0"/>
                                <w:jc w:val="both"/>
                                <w:rPr>
                                  <w:rFonts w:ascii="Times New Roman"/>
                                  <w:kern w:val="2"/>
                                  <w:sz w:val="21"/>
                                  <w:szCs w:val="21"/>
                                </w:rPr>
                              </w:pPr>
                              <w:r>
                                <w:rPr>
                                  <w:rFonts w:hint="eastAsia" w:ascii="Times New Roman"/>
                                  <w:kern w:val="2"/>
                                  <w:sz w:val="21"/>
                                  <w:szCs w:val="21"/>
                                </w:rPr>
                                <w:t>自然砂</w:t>
                              </w:r>
                            </w:p>
                          </w:txbxContent>
                        </v:textbox>
                      </v:shape>
                      <v:shape id="文本框 82" o:spid="_x0000_s1026" o:spt="202" type="#_x0000_t202" style="position:absolute;left:4000090;top:1301887;height:245745;width:468630;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2j4WONYAAAAFAQAADwAAAAAAAAABACAAAAAi&#10;AAAAZHJzL2Rvd25yZXYueG1sUEsBAhQAFAAAAAgAh07iQNZ4q4VFAgAAawQAAA4AAAAAAAAAAQAg&#10;AAAAJQEAAGRycy9lMm9Eb2MueG1sUEsFBgAAAAAGAAYAWQEAANwFAAAAAA==&#10;">
                        <v:fill on="t" focussize="0,0"/>
                        <v:stroke on="f" weight="0.5pt"/>
                        <v:imagedata o:title=""/>
                        <o:lock v:ext="edit" aspectratio="f"/>
                        <v:textbox style="mso-fit-shape-to-text:t;">
                          <w:txbxContent>
                            <w:p>
                              <w:pPr>
                                <w:pStyle w:val="12"/>
                                <w:spacing w:before="0" w:beforeAutospacing="0" w:after="0" w:afterAutospacing="0"/>
                                <w:jc w:val="both"/>
                                <w:rPr>
                                  <w:sz w:val="22"/>
                                  <w:szCs w:val="24"/>
                                </w:rPr>
                              </w:pPr>
                              <w:r>
                                <w:rPr>
                                  <w:rFonts w:hint="eastAsia" w:ascii="Times New Roman"/>
                                  <w:kern w:val="2"/>
                                  <w:sz w:val="18"/>
                                </w:rPr>
                                <w:t>N</w:t>
                              </w:r>
                              <w:r>
                                <w:rPr>
                                  <w:rFonts w:ascii="Times New Roman"/>
                                  <w:kern w:val="2"/>
                                  <w:sz w:val="18"/>
                                </w:rPr>
                                <w:t>、G</w:t>
                              </w:r>
                            </w:p>
                          </w:txbxContent>
                        </v:textbox>
                      </v:shape>
                      <v:shape id="_x0000_s1026" o:spid="_x0000_s1026" o:spt="32" type="#_x0000_t32" style="position:absolute;left:3792515;top:1422889;flip:y;height:134620;width:250190;" filled="f" stroked="t" coordsize="21600,21600" o:gfxdata="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UwRQL1gAA&#10;AAUBAAAPAAAAAAAAAAEAIAAAACIAAABkcnMvZG93bnJldi54bWxQSwECFAAUAAAACACHTuJApDiW&#10;zCACAAD+AwAADgAAAAAAAAABACAAAAAlAQAAZHJzL2Uyb0RvYy54bWxQSwUGAAAAAAYABgBZAQAA&#10;twUAAAAA&#10;">
                        <v:fill on="f" focussize="0,0"/>
                        <v:stroke weight="0.5pt" color="#000000 [3200]" miterlimit="8" joinstyle="miter" dashstyle="dash" endarrow="block"/>
                        <v:imagedata o:title=""/>
                        <o:lock v:ext="edit" aspectratio="f"/>
                      </v:shape>
                      <v:shape id="_x0000_s1026" o:spid="_x0000_s1026" o:spt="32" type="#_x0000_t32" style="position:absolute;left:3792515;top:1937793;flip:y;height:134620;width:250190;" filled="f" stroked="t" coordsize="21600,21600" o:gfxdata="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TBFAvWAAAA&#10;BQEAAA8AAAAAAAAAAQAgAAAAIgAAAGRycy9kb3ducmV2LnhtbFBLAQIUABQAAAAIAIdO4kCwnR3N&#10;HwIAAP4DAAAOAAAAAAAAAAEAIAAAACUBAABkcnMvZTJvRG9jLnhtbFBLBQYAAAAABgAGAFkBAAC2&#10;BQAAAAA=&#10;">
                        <v:fill on="f" focussize="0,0"/>
                        <v:stroke weight="0.5pt" color="#000000 [3200]" miterlimit="8" joinstyle="miter" dashstyle="dash" endarrow="block"/>
                        <v:imagedata o:title=""/>
                        <o:lock v:ext="edit" aspectratio="f"/>
                      </v:shape>
                      <v:shape id="_x0000_s1026" o:spid="_x0000_s1026" o:spt="32" type="#_x0000_t32" style="position:absolute;left:2935864;top:4335506;flip:y;height:137410;width:184092;" filled="f" stroked="t" coordsize="21600,21600" o:gfxdata="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UwRQL&#10;1gAAAAUBAAAPAAAAAAAAAAEAIAAAACIAAABkcnMvZG93bnJldi54bWxQSwECFAAUAAAACACHTuJA&#10;3H1v6yMCAAD+AwAADgAAAAAAAAABACAAAAAlAQAAZHJzL2Uyb0RvYy54bWxQSwUGAAAAAAYABgBZ&#10;AQAAugUAAAAA&#10;">
                        <v:fill on="f" focussize="0,0"/>
                        <v:stroke weight="0.5pt" color="#000000 [3200]" miterlimit="8" joinstyle="miter" dashstyle="dash" endarrow="block"/>
                        <v:imagedata o:title=""/>
                        <o:lock v:ext="edit" aspectratio="f"/>
                      </v:shape>
                      <v:shape id="Text Box 751" o:spid="_x0000_s1026" o:spt="202" type="#_x0000_t202" style="position:absolute;left:1308829;top:5884545;height:248285;width:2590165;" filled="f" stroked="f" coordsize="21600,21600" o:gfxdata="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mbICMdMAAAAFAQAADwAAAAAAAAAB&#10;ACAAAAAiAAAAZHJzL2Rvd25yZXYueG1sUEsBAhQAFAAAAAgAh07iQBGcoikVAgAAJAQAAA4AAAAA&#10;AAAAAQAgAAAAIgEAAGRycy9lMm9Eb2MueG1sUEsFBgAAAAAGAAYAWQEAAKkFAAAAAA==&#10;">
                        <v:fill on="f" focussize="0,0"/>
                        <v:stroke on="f"/>
                        <v:imagedata o:title=""/>
                        <o:lock v:ext="edit" aspectratio="f"/>
                        <v:textbox>
                          <w:txbxContent>
                            <w:p>
                              <w:pPr>
                                <w:pStyle w:val="12"/>
                                <w:spacing w:before="0" w:beforeAutospacing="0" w:after="0" w:afterAutospacing="0"/>
                                <w:jc w:val="center"/>
                                <w:rPr>
                                  <w:szCs w:val="24"/>
                                </w:rPr>
                              </w:pPr>
                              <w:r>
                                <w:rPr>
                                  <w:rFonts w:hint="eastAsia" w:ascii="Times New Roman"/>
                                  <w:b/>
                                  <w:bCs/>
                                  <w:kern w:val="2"/>
                                  <w:sz w:val="21"/>
                                  <w:szCs w:val="21"/>
                                </w:rPr>
                                <w:t>图</w:t>
                              </w:r>
                              <w:r>
                                <w:rPr>
                                  <w:rFonts w:ascii="Times New Roman" w:hAnsi="Times New Roman"/>
                                  <w:b/>
                                  <w:bCs/>
                                  <w:kern w:val="2"/>
                                  <w:sz w:val="21"/>
                                  <w:szCs w:val="21"/>
                                </w:rPr>
                                <w:t xml:space="preserve">2-3 </w:t>
                              </w:r>
                              <w:r>
                                <w:rPr>
                                  <w:rFonts w:hint="eastAsia" w:ascii="Times New Roman"/>
                                  <w:b/>
                                  <w:bCs/>
                                  <w:kern w:val="2"/>
                                  <w:sz w:val="21"/>
                                  <w:szCs w:val="21"/>
                                </w:rPr>
                                <w:t>本项目主要工艺流程</w:t>
                              </w:r>
                            </w:p>
                          </w:txbxContent>
                        </v:textbox>
                      </v:shape>
                      <v:shape id="_x0000_s1026" o:spid="_x0000_s1026" o:spt="202" type="#_x0000_t202" style="position:absolute;left:390328;top:2874183;height:270510;width:589915;mso-wrap-style:none;" fillcolor="#FFFFFF [3201]" filled="t" stroked="t" coordsize="21600,21600" o:gfxdata="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aB80rTAAAABQEAAA8AAAAAAAAAAQAgAAAAIgAAAGRycy9kb3ducmV2LnhtbFBLAQIUABQAAAAI&#10;AIdO4kBeNUy3ZAIAAMQEAAAOAAAAAAAAAAEAIAAAACIBAABkcnMvZTJvRG9jLnhtbFBLBQYAAAAA&#10;BgAGAFkBAAD4BQAAAAA=&#10;">
                        <v:fill on="t" focussize="0,0"/>
                        <v:stroke weight="0.5pt" color="#000000 [3213]" joinstyle="round"/>
                        <v:imagedata o:title=""/>
                        <o:lock v:ext="edit" aspectratio="f"/>
                        <v:textbox style="mso-fit-shape-to-text:t;">
                          <w:txbxContent>
                            <w:p>
                              <w:r>
                                <w:rPr>
                                  <w:rFonts w:hint="eastAsia"/>
                                </w:rPr>
                                <w:t>清水池</w:t>
                              </w:r>
                            </w:p>
                          </w:txbxContent>
                        </v:textbox>
                      </v:shape>
                      <v:line id="_x0000_s1026" o:spid="_x0000_s1026" o:spt="20" style="position:absolute;left:980243;top:3009438;height:0;width:264099;" filled="f" stroked="t" coordsize="21600,21600" o:gfxdata="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rxHKfWAAAABQEAAA8AAAAAAAAAAQAgAAAAIgAAAGRy&#10;cy9kb3ducmV2LnhtbFBLAQIUABQAAAAIAIdO4kDE54AWBwIAAOcDAAAOAAAAAAAAAAEAIAAAACUB&#10;AABkcnMvZTJvRG9jLnhtbFBLBQYAAAAABgAGAFkBAACeBQAAAAA=&#10;">
                        <v:fill on="f" focussize="0,0"/>
                        <v:stroke color="#00B0F0 [3204]" miterlimit="8" joinstyle="miter"/>
                        <v:imagedata o:title=""/>
                        <o:lock v:ext="edit" aspectratio="f"/>
                      </v:line>
                      <v:line id="_x0000_s1026" o:spid="_x0000_s1026" o:spt="20" style="position:absolute;left:1242284;top:1098058;height:2820864;width:0;" filled="f" stroked="t" coordsize="21600,21600" o:gfxdata="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rxHKfWAAAABQEAAA8AAAAAAAAAAQAgAAAAIgAAAGRycy9kb3ducmV2LnhtbFBL&#10;AQIUABQAAAAIAIdO4kBhKx6Y+AEAAMEDAAAOAAAAAAAAAAEAIAAAACUBAABkcnMvZTJvRG9jLnht&#10;bFBLBQYAAAAABgAGAFkBAACPBQAAAAA=&#10;">
                        <v:fill on="f" focussize="0,0"/>
                        <v:stroke color="#00B0F0 [3204]" miterlimit="8" joinstyle="miter"/>
                        <v:imagedata o:title=""/>
                        <o:lock v:ext="edit" aspectratio="f"/>
                      </v:line>
                      <v:shape id="_x0000_s1026" o:spid="_x0000_s1026" o:spt="32" type="#_x0000_t32" style="position:absolute;left:1242284;top:1097972;flip:y;height:184;width:1666910;" filled="f" stroked="t" coordsize="21600,21600" o:gfxdata="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m9owI1gAA&#10;AAUBAAAPAAAAAAAAAAEAIAAAACIAAABkcnMvZG93bnJldi54bWxQSwECFAAUAAAACACHTuJAYjlM&#10;TCACAAD9AwAADgAAAAAAAAABACAAAAAlAQAAZHJzL2Uyb0RvYy54bWxQSwUGAAAAAAYABgBZAQAA&#10;twUAAAAA&#10;">
                        <v:fill on="f" focussize="0,0"/>
                        <v:stroke color="#00B0F0 [3204]" miterlimit="8" joinstyle="miter" endarrow="block"/>
                        <v:imagedata o:title=""/>
                        <o:lock v:ext="edit" aspectratio="f"/>
                      </v:shape>
                      <v:line id="_x0000_s1026" o:spid="_x0000_s1026" o:spt="20" style="position:absolute;left:2553525;top:2795786;flip:x;height:0;width:355669;" filled="f" stroked="t" coordsize="21600,21600" o:gfxdata="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zTYczWAAAABQEAAA8AAAAAAAAAAQAgAAAAIgAAAGRycy9kb3ducmV2Lnht&#10;bFBLAQIUABQAAAAIAIdO4kDPHP7++wEAAMoDAAAOAAAAAAAAAAEAIAAAACUBAABkcnMvZTJvRG9j&#10;LnhtbFBLBQYAAAAABgAGAFkBAACSBQAAAAA=&#10;">
                        <v:fill on="f" focussize="0,0"/>
                        <v:stroke color="#000000 [3200]" miterlimit="8" joinstyle="miter"/>
                        <v:imagedata o:title=""/>
                        <o:lock v:ext="edit" aspectratio="f"/>
                      </v:line>
                      <v:shape id="_x0000_s1026" o:spid="_x0000_s1026" o:spt="32" type="#_x0000_t32" style="position:absolute;left:2553525;top:2795786;height:1663456;width:0;"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3hKANIAAAAFAQAADwAAAAAAAAAB&#10;ACAAAAAiAAAAZHJzL2Rvd25yZXYueG1sUEsBAhQAFAAAAAgAh07iQNUqEJIWAgAA8QMAAA4AAAAA&#10;AAAAAQAgAAAAIQEAAGRycy9lMm9Eb2MueG1sUEsFBgAAAAAGAAYAWQEAAKkFAAAAAA==&#10;">
                        <v:fill on="f" focussize="0,0"/>
                        <v:stroke color="#000000 [3200]" miterlimit="8" joinstyle="miter" endarrow="block"/>
                        <v:imagedata o:title=""/>
                        <o:lock v:ext="edit" aspectratio="f"/>
                      </v:shape>
                      <v:line id="_x0000_s1026" o:spid="_x0000_s1026" o:spt="20" style="position:absolute;left:2227527;top:1230044;flip:x;height:0;width:679752;" filled="f" stroked="t" coordsize="21600,21600" o:gfxdata="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col2fWAAAABQEAAA8AAAAAAAAAAQAgAAAAIgAAAGRycy9kb3du&#10;cmV2LnhtbFBLAQIUABQAAAAIAIdO4kDs04izAQIAAMkDAAAOAAAAAAAAAAEAIAAAACUBAABkcnMv&#10;ZTJvRG9jLnhtbFBLBQYAAAAABgAGAFkBAACYBQAAAAA=&#10;">
                        <v:fill on="f" focussize="0,0"/>
                        <v:stroke color="#FF0000 [3204]" miterlimit="8" joinstyle="miter" dashstyle="dash"/>
                        <v:imagedata o:title=""/>
                        <o:lock v:ext="edit" aspectratio="f"/>
                      </v:line>
                      <v:shape id="_x0000_s1026" o:spid="_x0000_s1026" o:spt="32" type="#_x0000_t32" style="position:absolute;left:1242284;top:2649363;height:0;width:1666910;" filled="f" stroked="t" coordsize="21600,21600" o:gfxdata="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j9mVL1AAAAAUBAAAPAAAA&#10;AAAAAAEAIAAAACIAAABkcnMvZG93bnJldi54bWxQSwECFAAUAAAACACHTuJAPn5eqRkCAADxAwAA&#10;DgAAAAAAAAABACAAAAAjAQAAZHJzL2Uyb0RvYy54bWxQSwUGAAAAAAYABgBZAQAArgUAAAAA&#10;">
                        <v:fill on="f" focussize="0,0"/>
                        <v:stroke color="#00B0F0 [3204]" miterlimit="8" joinstyle="miter" endarrow="block"/>
                        <v:imagedata o:title=""/>
                        <o:lock v:ext="edit" aspectratio="f"/>
                      </v:shape>
                      <v:shape id="_x0000_s1026" o:spid="_x0000_s1026" o:spt="32" type="#_x0000_t32" style="position:absolute;left:1242284;top:3919273;height:0;width:1666598;" filled="f" stroked="t" coordsize="21600,21600" o:gfxdata="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TuVYtMAAAAFAQAADwAA&#10;AAAAAAABACAAAAAiAAAAZHJzL2Rvd25yZXYueG1sUEsBAhQAFAAAAAgAh07iQKPs31MbAgAA8QMA&#10;AA4AAAAAAAAAAQAgAAAAIgEAAGRycy9lMm9Eb2MueG1sUEsFBgAAAAAGAAYAWQEAAK8FAAAAAA==&#10;">
                        <v:fill on="f" focussize="0,0"/>
                        <v:stroke color="#5B9BD5 [3204]" miterlimit="8" joinstyle="miter" endarrow="block"/>
                        <v:imagedata o:title=""/>
                        <o:lock v:ext="edit" aspectratio="f"/>
                      </v:shape>
                      <v:shape id="_x0000_s1026" o:spid="_x0000_s1026" o:spt="202" type="#_x0000_t202" style="position:absolute;left:390328;top:2365103;height:270510;width:589915;" fillcolor="#FFFFFF [3201]" filled="t" stroked="t" coordsize="21600,21600" o:gfxdata="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Q&#10;vKf51gAAAAUBAAAPAAAAAAAAAAEAIAAAACIAAABkcnMvZG93bnJldi54bWxQSwECFAAUAAAACACH&#10;TuJAa8b8T18CAADCBAAADgAAAAAAAAABACAAAAAlAQAAZHJzL2Uyb0RvYy54bWxQSwUGAAAAAAYA&#10;BgBZAQAA9gUAAAAA&#10;">
                        <v:fill on="t" focussize="0,0"/>
                        <v:stroke weight="0.5pt" color="#000000 [3213]" joinstyle="round"/>
                        <v:imagedata o:title=""/>
                        <o:lock v:ext="edit" aspectratio="f"/>
                        <v:textbox style="mso-fit-shape-to-text:t;">
                          <w:txbxContent>
                            <w:p>
                              <w:r>
                                <w:rPr>
                                  <w:rFonts w:hint="eastAsia"/>
                                </w:rPr>
                                <w:t>浓密罐</w:t>
                              </w:r>
                            </w:p>
                          </w:txbxContent>
                        </v:textbox>
                      </v:shape>
                      <v:line id="_x0000_s1026" o:spid="_x0000_s1026" o:spt="20" style="position:absolute;left:823309;top:1776755;height:1;width:881131;" filled="f" stroked="t" coordsize="21600,21600" o:gfxdata="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PTfZDXAAAABQEAAA8AAAAAAAAAAQAgAAAAIgAAAGRycy9kb3ducmV2LnhtbFBLAQIUABQA&#10;AAAIAIdO4kAIdrgn8QEAALwDAAAOAAAAAAAAAAEAIAAAACYBAABkcnMvZTJvRG9jLnhtbFBLBQYA&#10;AAAABgAGAFkBAACJBQAAAAA=&#10;">
                        <v:fill on="f" focussize="0,0"/>
                        <v:stroke color="#FF0000 [3204]" miterlimit="8" joinstyle="miter" dashstyle="dash"/>
                        <v:imagedata o:title=""/>
                        <o:lock v:ext="edit" aspectratio="f"/>
                      </v:line>
                      <v:shape id="_x0000_s1026" o:spid="_x0000_s1026" o:spt="32" type="#_x0000_t32" style="position:absolute;left:823309;top:1776597;height:588082;width:0;" filled="f" stroked="t" coordsize="21600,21600" o:gfxdata="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ehuGB1QAAAAUBAAAPAAAAAAAA&#10;AAEAIAAAACIAAABkcnMvZG93bnJldi54bWxQSwECFAAUAAAACACHTuJAV8JjYBUCAADsAwAADgAA&#10;AAAAAAABACAAAAAkAQAAZHJzL2Uyb0RvYy54bWxQSwUGAAAAAAYABgBZAQAAqwUAAAAA&#10;">
                        <v:fill on="f" focussize="0,0"/>
                        <v:stroke color="#FF0000 [3204]" miterlimit="8" joinstyle="miter" dashstyle="dash" endarrow="block"/>
                        <v:imagedata o:title=""/>
                        <o:lock v:ext="edit" aspectratio="f"/>
                      </v:shape>
                      <v:line id="_x0000_s1026" o:spid="_x0000_s1026" o:spt="20" style="position:absolute;left:2640456;top:3777798;height:1;width:266822;" filled="f" stroked="t" coordsize="21600,21600" o:gfxdata="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9N9kNcAAAAFAQAADwAAAAAAAAABACAAAAAiAAAAZHJzL2Rvd25yZXYueG1sUEsBAhQA&#10;FAAAAAgAh07iQLgMa+zzAQAAvQMAAA4AAAAAAAAAAQAgAAAAJgEAAGRycy9lMm9Eb2MueG1sUEsF&#10;BgAAAAAGAAYAWQEAAIsFAAAAAA==&#10;">
                        <v:fill on="f" focussize="0,0"/>
                        <v:stroke color="#FF0000 [3204]" miterlimit="8" joinstyle="miter" dashstyle="dash"/>
                        <v:imagedata o:title=""/>
                        <o:lock v:ext="edit" aspectratio="f"/>
                      </v:line>
                      <v:line id="_x0000_s1026" o:spid="_x0000_s1026" o:spt="20" style="position:absolute;left:1639463;top:4519469;height:451;width:808903;" filled="f" stroked="t" coordsize="21600,21600" o:gfxdata="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PTfZDXAAAABQEAAA8AAAAAAAAAAQAgAAAAIgAAAGRycy9kb3ducmV2LnhtbFBLAQIUABQA&#10;AAAIAIdO4kAj5Xb58QEAAL8DAAAOAAAAAAAAAAEAIAAAACYBAABkcnMvZTJvRG9jLnhtbFBLBQYA&#10;AAAABgAGAFkBAACJBQAAAAA=&#10;">
                        <v:fill on="f" focussize="0,0"/>
                        <v:stroke color="#FF0000 [3204]" miterlimit="8" joinstyle="miter" dashstyle="dash"/>
                        <v:imagedata o:title=""/>
                        <o:lock v:ext="edit" aspectratio="f"/>
                      </v:line>
                      <v:line id="_x0000_s1026" o:spid="_x0000_s1026" o:spt="20" style="position:absolute;left:1639463;top:2500358;flip:y;height:2019606;width:0;" filled="f" stroked="t" coordsize="21600,21600" o:gfxdata="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yiXZ9YAAAAFAQAADwAAAAAAAAABACAAAAAiAAAAZHJzL2Rvd25yZXYueG1s&#10;UEsBAhQAFAAAAAgAh07iQIrO3YL6AQAAyAMAAA4AAAAAAAAAAQAgAAAAJQEAAGRycy9lMm9Eb2Mu&#10;eG1sUEsFBgAAAAAGAAYAWQEAAJEFAAAAAA==&#10;">
                        <v:fill on="f" focussize="0,0"/>
                        <v:stroke color="#FF0000 [3204]" miterlimit="8" joinstyle="miter" dashstyle="dash"/>
                        <v:imagedata o:title=""/>
                        <o:lock v:ext="edit" aspectratio="f"/>
                      </v:line>
                      <v:shape id="_x0000_s1026" o:spid="_x0000_s1026" o:spt="32" type="#_x0000_t32" style="position:absolute;left:980243;top:2500092;flip:x;height:1;width:659220;" filled="f" stroked="t" coordsize="21600,21600" o:gfxdata="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Y1MM7WAAAABQEAAA8AAAAAAAAAAQAgAAAAIgAAAGRycy9kb3ducmV2LnhtbFBLAQIU&#10;ABQAAAAIAIdO4kBjEld9LgIAAB0EAAAOAAAAAAAAAAEAIAAAACUBAABkcnMvZTJvRG9jLnhtbFBL&#10;BQYAAAAABgAGAFkBAADFBQAAAAA=&#10;">
                        <v:fill on="f" focussize="0,0"/>
                        <v:stroke color="#FF0000 [3204]" miterlimit="8" joinstyle="miter" dashstyle="dash" endarrow="block"/>
                        <v:imagedata o:title=""/>
                        <o:lock v:ext="edit" aspectratio="f"/>
                      </v:shape>
                      <v:shape id="_x0000_s1026" o:spid="_x0000_s1026" o:spt="32" type="#_x0000_t32" style="position:absolute;left:685286;top:2635613;height:238570;width:0;" filled="f" stroked="t" coordsize="21600,21600" o:gfxdata="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j9mVL1AAAAAUBAAAPAAAAAAAAAAEAIAAAACIAAABkcnMvZG93bnJldi54bWxQSwEC&#10;FAAUAAAACACHTuJA8itOWzECAAAvBAAADgAAAAAAAAABACAAAAAjAQAAZHJzL2Uyb0RvYy54bWxQ&#10;SwUGAAAAAAYABgBZAQAAxgUAAAAA&#10;">
                        <v:fill on="f" focussize="0,0"/>
                        <v:stroke color="#00B0F0 [3204]" miterlimit="8" joinstyle="miter" endarrow="block"/>
                        <v:imagedata o:title=""/>
                        <o:lock v:ext="edit" aspectratio="f"/>
                      </v:shape>
                      <v:shape id="_x0000_s1026" o:spid="_x0000_s1026" o:spt="202" type="#_x0000_t202" style="position:absolute;left:390328;top:3406132;height:270510;width:690245;" fillcolor="#FFFFFF [3201]" filled="t" stroked="f" coordsize="21600,21600" o:gfxdata="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7htznV&#10;AAAABQEAAA8AAAAAAAAAAQAgAAAAIgAAAGRycy9kb3ducmV2LnhtbFBLAQIUABQAAAAIAIdO4kC1&#10;PS4nXAIAAJsEAAAOAAAAAAAAAAEAIAAAACQBAABkcnMvZTJvRG9jLnhtbFBLBQYAAAAABgAGAFkB&#10;AADyBQAAAAA=&#10;">
                        <v:fill on="t" focussize="0,0"/>
                        <v:stroke on="f" weight="0.5pt"/>
                        <v:imagedata o:title=""/>
                        <o:lock v:ext="edit" aspectratio="f"/>
                        <v:textbox style="mso-fit-shape-to-text:t;">
                          <w:txbxContent>
                            <w:p>
                              <w:r>
                                <w:rPr>
                                  <w:rFonts w:hint="eastAsia"/>
                                </w:rPr>
                                <w:t>新鲜水</w:t>
                              </w:r>
                            </w:p>
                          </w:txbxContent>
                        </v:textbox>
                      </v:shape>
                      <v:shape id="_x0000_s1026" o:spid="_x0000_s1026" o:spt="32" type="#_x0000_t32" style="position:absolute;left:685286;top:3144693;flip:y;height:259189;width:0;" filled="f" stroked="t" coordsize="21600,21600" o:gfxdata="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m9owI1gAAAAUBAAAPAAAAAAAAAAEAIAAAACIAAABkcnMvZG93bnJldi54bWxQ&#10;SwECFAAUAAAACACHTuJAgB1icTICAAAiBAAADgAAAAAAAAABACAAAAAlAQAAZHJzL2Uyb0RvYy54&#10;bWxQSwUGAAAAAAYABgBZAQAAyQUAAAAA&#10;">
                        <v:fill on="f" focussize="0,0"/>
                        <v:stroke color="#00B0F0 [3204]" miterlimit="8" joinstyle="miter" endarrow="block"/>
                        <v:imagedata o:title=""/>
                        <o:lock v:ext="edit" aspectratio="f"/>
                      </v:shape>
                      <v:shape id="_x0000_s1026" o:spid="_x0000_s1026" o:spt="202" type="#_x0000_t202" style="position:absolute;left:368;top:1836474;height:270510;width:589915;mso-wrap-style:none;" fillcolor="#FFFFFF [3201]" filled="t" stroked="t" coordsize="21600,21600" o:gfxdata="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aB&#10;80rTAAAABQEAAA8AAAAAAAAAAQAgAAAAIgAAAGRycy9kb3ducmV2LnhtbFBLAQIUABQAAAAIAIdO&#10;4kAl73sUYQIAAMAEAAAOAAAAAAAAAAEAIAAAACIBAABkcnMvZTJvRG9jLnhtbFBLBQYAAAAABgAG&#10;AFkBAAD1BQAAAAA=&#10;">
                        <v:fill on="t" focussize="0,0"/>
                        <v:stroke weight="0.5pt" color="#000000" joinstyle="round"/>
                        <v:imagedata o:title=""/>
                        <o:lock v:ext="edit" aspectratio="f"/>
                        <v:textbox style="mso-fit-shape-to-text:t;">
                          <w:txbxContent>
                            <w:p>
                              <w:r>
                                <w:rPr>
                                  <w:rFonts w:hint="eastAsia"/>
                                </w:rPr>
                                <w:t>压滤机</w:t>
                              </w:r>
                            </w:p>
                          </w:txbxContent>
                        </v:textbox>
                      </v:shape>
                      <v:shape id="文本框 71" o:spid="_x0000_s1026" o:spt="202" type="#_x0000_t202" style="position:absolute;left:3846229;top:4944633;height:596900;width:708025;mso-wrap-style:none;" fillcolor="#D0CECE [2894]" filled="t" stroked="t" coordsize="21600,21600" o:gfxdata="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DqfetUAAAAFAQAADwAAAAAAAAABACAAAAAiAAAAZHJzL2Rvd25yZXYueG1sUEsBAhQA&#10;FAAAAAgAh07iQBOUxbxnAgAAtgQAAA4AAAAAAAAAAQAgAAAAJAEAAGRycy9lMm9Eb2MueG1sUEsF&#10;BgAAAAAGAAYAWQEAAP0FAAAAAA==&#10;">
                        <v:fill on="t" focussize="0,0"/>
                        <v:stroke weight="0.5pt" color="#000000 [3213]" joinstyle="round"/>
                        <v:imagedata o:title=""/>
                        <o:lock v:ext="edit" aspectratio="f"/>
                        <v:textbox>
                          <w:txbxContent>
                            <w:p>
                              <w:pPr>
                                <w:pStyle w:val="12"/>
                                <w:spacing w:before="0" w:beforeAutospacing="0" w:after="0" w:afterAutospacing="0"/>
                                <w:jc w:val="center"/>
                                <w:rPr>
                                  <w:rFonts w:ascii="Times New Roman" w:hAnsi="Times New Roman" w:eastAsiaTheme="minorEastAsia"/>
                                  <w:kern w:val="2"/>
                                  <w:sz w:val="21"/>
                                  <w:szCs w:val="21"/>
                                </w:rPr>
                              </w:pPr>
                              <w:r>
                                <w:rPr>
                                  <w:rFonts w:hint="eastAsia"/>
                                  <w:kern w:val="2"/>
                                  <w:sz w:val="21"/>
                                  <w:szCs w:val="21"/>
                                </w:rPr>
                                <w:t>产品</w:t>
                              </w:r>
                              <w:r>
                                <w:rPr>
                                  <w:rFonts w:hint="eastAsia" w:ascii="Times New Roman" w:hAnsi="Times New Roman" w:eastAsiaTheme="minorEastAsia"/>
                                  <w:kern w:val="2"/>
                                  <w:sz w:val="21"/>
                                  <w:szCs w:val="21"/>
                                </w:rPr>
                                <w:t>4</w:t>
                              </w:r>
                            </w:p>
                            <w:p>
                              <w:pPr>
                                <w:pStyle w:val="12"/>
                                <w:spacing w:before="0" w:beforeAutospacing="0" w:after="0" w:afterAutospacing="0"/>
                                <w:jc w:val="center"/>
                                <w:rPr>
                                  <w:rFonts w:ascii="Times New Roman" w:hAnsi="Times New Roman"/>
                                  <w:szCs w:val="24"/>
                                </w:rPr>
                              </w:pPr>
                              <w:r>
                                <w:rPr>
                                  <w:rFonts w:ascii="Times New Roman" w:hAnsi="Times New Roman" w:eastAsiaTheme="minorEastAsia"/>
                                  <w:kern w:val="2"/>
                                  <w:sz w:val="21"/>
                                  <w:szCs w:val="21"/>
                                </w:rPr>
                                <w:t>10</w:t>
                              </w:r>
                              <w:r>
                                <w:rPr>
                                  <w:rFonts w:ascii="Times New Roman" w:hAnsi="Times New Roman" w:eastAsia="Times New Roman"/>
                                  <w:kern w:val="2"/>
                                  <w:sz w:val="21"/>
                                  <w:szCs w:val="21"/>
                                </w:rPr>
                                <w:t>-</w:t>
                              </w:r>
                              <w:r>
                                <w:rPr>
                                  <w:rFonts w:ascii="Times New Roman" w:hAnsi="Times New Roman" w:eastAsiaTheme="minorEastAsia"/>
                                  <w:kern w:val="2"/>
                                  <w:sz w:val="21"/>
                                  <w:szCs w:val="21"/>
                                </w:rPr>
                                <w:t>20</w:t>
                              </w:r>
                              <w:r>
                                <w:rPr>
                                  <w:rFonts w:ascii="Times New Roman" w:hAnsi="Times New Roman" w:eastAsia="Times New Roman"/>
                                  <w:kern w:val="2"/>
                                  <w:sz w:val="21"/>
                                  <w:szCs w:val="21"/>
                                </w:rPr>
                                <w:t>mm</w:t>
                              </w:r>
                            </w:p>
                            <w:p>
                              <w:pPr>
                                <w:pStyle w:val="12"/>
                                <w:spacing w:before="0" w:beforeAutospacing="0" w:after="0" w:afterAutospacing="0"/>
                                <w:jc w:val="center"/>
                              </w:pPr>
                              <w:r>
                                <w:rPr>
                                  <w:rFonts w:hint="eastAsia" w:ascii="Times New Roman"/>
                                  <w:kern w:val="2"/>
                                  <w:sz w:val="21"/>
                                  <w:szCs w:val="21"/>
                                </w:rPr>
                                <w:t>碎石</w:t>
                              </w:r>
                            </w:p>
                          </w:txbxContent>
                        </v:textbox>
                      </v:shape>
                      <v:shape id="文本框 71" o:spid="_x0000_s1026" o:spt="202" type="#_x0000_t202" style="position:absolute;left:4628516;top:4943720;height:596900;width:808355;mso-wrap-style:none;" fillcolor="#D0CECE [2894]" filled="t" stroked="t" coordsize="21600,21600" o:gfxdata="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PywdUAAAAFAQAADwAAAAAAAAABACAAAAAiAAAAZHJzL2Rvd25yZXYueG1sUEsBAhQAFAAA&#10;AAgAh07iQJHpAu1kAgAAtgQAAA4AAAAAAAAAAQAgAAAAJAEAAGRycy9lMm9Eb2MueG1sUEsFBgAA&#10;AAAGAAYAWQEAAPoFAAAAAA==&#10;">
                        <v:fill on="t" focussize="0,0"/>
                        <v:stroke weight="0.5pt" color="#000000 [3213]" joinstyle="round"/>
                        <v:imagedata o:title=""/>
                        <o:lock v:ext="edit" aspectratio="f"/>
                        <v:textbox style="mso-fit-shape-to-text:t;">
                          <w:txbxContent>
                            <w:p>
                              <w:pPr>
                                <w:pStyle w:val="12"/>
                                <w:spacing w:before="0" w:beforeAutospacing="0" w:after="0" w:afterAutospacing="0"/>
                                <w:jc w:val="center"/>
                                <w:rPr>
                                  <w:rFonts w:ascii="Times New Roman" w:hAnsi="Times New Roman" w:eastAsiaTheme="minorEastAsia"/>
                                  <w:kern w:val="2"/>
                                  <w:sz w:val="21"/>
                                  <w:szCs w:val="21"/>
                                </w:rPr>
                              </w:pPr>
                              <w:r>
                                <w:rPr>
                                  <w:rFonts w:hint="eastAsia"/>
                                  <w:kern w:val="2"/>
                                  <w:sz w:val="21"/>
                                  <w:szCs w:val="21"/>
                                </w:rPr>
                                <w:t>产品</w:t>
                              </w:r>
                              <w:r>
                                <w:rPr>
                                  <w:rFonts w:hint="eastAsia" w:ascii="Times New Roman" w:hAnsi="Times New Roman" w:eastAsiaTheme="minorEastAsia"/>
                                  <w:kern w:val="2"/>
                                  <w:sz w:val="21"/>
                                  <w:szCs w:val="21"/>
                                </w:rPr>
                                <w:t>5</w:t>
                              </w:r>
                            </w:p>
                            <w:p>
                              <w:pPr>
                                <w:pStyle w:val="12"/>
                                <w:spacing w:before="0" w:beforeAutospacing="0" w:after="0" w:afterAutospacing="0"/>
                                <w:jc w:val="center"/>
                                <w:rPr>
                                  <w:rFonts w:ascii="Times New Roman" w:hAnsi="Times New Roman"/>
                                  <w:szCs w:val="24"/>
                                </w:rPr>
                              </w:pPr>
                              <w:r>
                                <w:rPr>
                                  <w:rFonts w:ascii="Times New Roman" w:hAnsi="Times New Roman" w:eastAsiaTheme="minorEastAsia"/>
                                  <w:kern w:val="2"/>
                                  <w:sz w:val="21"/>
                                  <w:szCs w:val="21"/>
                                </w:rPr>
                                <w:t>20</w:t>
                              </w:r>
                              <w:r>
                                <w:rPr>
                                  <w:rFonts w:ascii="Times New Roman" w:hAnsi="Times New Roman" w:eastAsia="Times New Roman"/>
                                  <w:kern w:val="2"/>
                                  <w:sz w:val="21"/>
                                  <w:szCs w:val="21"/>
                                </w:rPr>
                                <w:t>-</w:t>
                              </w:r>
                              <w:r>
                                <w:rPr>
                                  <w:rFonts w:ascii="Times New Roman" w:hAnsi="Times New Roman" w:eastAsiaTheme="minorEastAsia"/>
                                  <w:kern w:val="2"/>
                                  <w:sz w:val="21"/>
                                  <w:szCs w:val="21"/>
                                </w:rPr>
                                <w:t>31.5</w:t>
                              </w:r>
                              <w:r>
                                <w:rPr>
                                  <w:rFonts w:ascii="Times New Roman" w:hAnsi="Times New Roman" w:eastAsia="Times New Roman"/>
                                  <w:kern w:val="2"/>
                                  <w:sz w:val="21"/>
                                  <w:szCs w:val="21"/>
                                </w:rPr>
                                <w:t>mm</w:t>
                              </w:r>
                            </w:p>
                            <w:p>
                              <w:pPr>
                                <w:pStyle w:val="12"/>
                                <w:spacing w:before="0" w:beforeAutospacing="0" w:after="0" w:afterAutospacing="0"/>
                                <w:jc w:val="center"/>
                              </w:pPr>
                              <w:r>
                                <w:rPr>
                                  <w:rFonts w:hint="eastAsia" w:ascii="Times New Roman"/>
                                  <w:kern w:val="2"/>
                                  <w:sz w:val="21"/>
                                  <w:szCs w:val="21"/>
                                </w:rPr>
                                <w:t>碎石</w:t>
                              </w:r>
                            </w:p>
                          </w:txbxContent>
                        </v:textbox>
                      </v:shape>
                      <v:shape id="_x0000_s1026" o:spid="_x0000_s1026" o:spt="32" type="#_x0000_t32" style="position:absolute;left:3495149;top:4213587;height:730646;width:0;"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t4SgDSAAAABQEAAA8AAAAAAAAAAQAg&#10;AAAAIgAAAGRycy9kb3ducmV2LnhtbFBLAQIUABQAAAAIAIdO4kBuGnVmFAIAAPADAAAOAAAAAAAA&#10;AAEAIAAAACEBAABkcnMvZTJvRG9jLnhtbFBLBQYAAAAABgAGAFkBAACnBQAAAAA=&#10;">
                        <v:fill on="f" focussize="0,0"/>
                        <v:stroke color="#000000 [3200]" miterlimit="8" joinstyle="miter" endarrow="block"/>
                        <v:imagedata o:title=""/>
                        <o:lock v:ext="edit" aspectratio="f"/>
                      </v:shape>
                      <v:shape id="_x0000_s1026" o:spid="_x0000_s1026" o:spt="32" type="#_x0000_t32" style="position:absolute;left:5016584;top:4213157;height:731016;width:129;"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3hKANIAAAAFAQAADwAAAAAAAAAB&#10;ACAAAAAiAAAAZHJzL2Rvd25yZXYueG1sUEsBAhQAFAAAAAgAh07iQFAjd8AWAgAA8gMAAA4AAAAA&#10;AAAAAQAgAAAAIQEAAGRycy9lMm9Eb2MueG1sUEsFBgAAAAAGAAYAWQEAAKkFAAAAAA==&#10;">
                        <v:fill on="f" focussize="0,0"/>
                        <v:stroke color="#000000 [3200]" miterlimit="8" joinstyle="miter" endarrow="block"/>
                        <v:imagedata o:title=""/>
                        <o:lock v:ext="edit" aspectratio="f"/>
                      </v:shape>
                      <v:shape id="_x0000_s1026" o:spid="_x0000_s1026" o:spt="32" type="#_x0000_t32" style="position:absolute;left:452575;top:2106984;flip:y;height:258121;width:0;" filled="f" stroked="t" coordsize="21600,21600" o:gfxdata="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FjUwztYAAAAF&#10;AQAADwAAAAAAAAABACAAAAAiAAAAZHJzL2Rvd25yZXYueG1sUEsBAhQAFAAAAAgAh07iQBKaR5ke&#10;AgAA+AMAAA4AAAAAAAAAAQAgAAAAJQEAAGRycy9lMm9Eb2MueG1sUEsFBgAAAAAGAAYAWQEAALUF&#10;AAAAAA==&#10;">
                        <v:fill on="f" focussize="0,0"/>
                        <v:stroke color="#FF0000 [3200]" miterlimit="8" joinstyle="miter" dashstyle="dash" endarrow="block"/>
                        <v:imagedata o:title=""/>
                        <o:lock v:ext="edit" aspectratio="f"/>
                      </v:shape>
                      <v:line id="_x0000_s1026" o:spid="_x0000_s1026" o:spt="20" style="position:absolute;left:195398;top:2106984;height:393374;width:0;" filled="f" stroked="t" coordsize="21600,21600" o:gfxdata="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PTfZDXAAAABQEAAA8AAAAAAAAAAQAgAAAAIgAAAGRycy9kb3ducmV2LnhtbFBL&#10;AQIUABQAAAAIAIdO4kBtkL/y9wEAAL4DAAAOAAAAAAAAAAEAIAAAACYBAABkcnMvZTJvRG9jLnht&#10;bFBLBQYAAAAABgAGAFkBAACPBQAAAAA=&#10;">
                        <v:fill on="f" focussize="0,0"/>
                        <v:stroke color="#FF0000 [3204]" miterlimit="8" joinstyle="miter" dashstyle="dash"/>
                        <v:imagedata o:title=""/>
                        <o:lock v:ext="edit" aspectratio="f"/>
                      </v:line>
                      <v:shape id="_x0000_s1026" o:spid="_x0000_s1026" o:spt="32" type="#_x0000_t32" style="position:absolute;left:195398;top:2500358;height:0;width:194930;" filled="f" stroked="t" coordsize="21600,21600" o:gfxdata="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e&#10;huGB1QAAAAUBAAAPAAAAAAAAAAEAIAAAACIAAABkcnMvZG93bnJldi54bWxQSwECFAAUAAAACACH&#10;TuJAkAjJ3CcCAAAVBAAADgAAAAAAAAABACAAAAAkAQAAZHJzL2Uyb0RvYy54bWxQSwUGAAAAAAYA&#10;BgBZAQAAvQUAAAAA&#10;">
                        <v:fill on="f" focussize="0,0"/>
                        <v:stroke color="#FF0000 [3204]" miterlimit="8" joinstyle="miter" dashstyle="dash" endarrow="block"/>
                        <v:imagedata o:title=""/>
                        <o:lock v:ext="edit" aspectratio="f"/>
                      </v:shape>
                      <v:shape id="_x0000_s1026" o:spid="_x0000_s1026" o:spt="32" type="#_x0000_t32" style="position:absolute;left:295326;top:1527841;flip:y;height:308633;width:1049;" filled="f" stroked="t" coordsize="21600,21600" o:gfxdata="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Y1MM7WAAAABQEAAA8AAAAAAAAAAQAgAAAAIgAAAGRycy9kb3ducmV2LnhtbFBL&#10;AQIUABQAAAAIAIdO4kAG505OMQIAACMEAAAOAAAAAAAAAAEAIAAAACUBAABkcnMvZTJvRG9jLnht&#10;bFBLBQYAAAAABgAGAFkBAADIBQAAAAA=&#10;">
                        <v:fill on="f" focussize="0,0"/>
                        <v:stroke color="#FF0000 [3204]" miterlimit="8" joinstyle="miter" dashstyle="dash" endarrow="block"/>
                        <v:imagedata o:title=""/>
                        <o:lock v:ext="edit" aspectratio="f"/>
                      </v:shape>
                      <v:shape id="_x0000_s1026" o:spid="_x0000_s1026" o:spt="202" type="#_x0000_t202" style="position:absolute;left:94421;top:1282096;height:245745;width:41846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o+FjjWAAAA&#10;BQEAAA8AAAAAAAAAAQAgAAAAIgAAAGRycy9kb3ducmV2LnhtbFBLAQIUABQAAAAIAIdO4kBCY+By&#10;WAIAAJoEAAAOAAAAAAAAAAEAIAAAACUBAABkcnMvZTJvRG9jLnhtbFBLBQYAAAAABgAGAFkBAADv&#10;BQAAAAA=&#10;">
                        <v:fill on="t" focussize="0,0"/>
                        <v:stroke on="f" weight="0.5pt"/>
                        <v:imagedata o:title=""/>
                        <o:lock v:ext="edit" aspectratio="f"/>
                        <v:textbox style="mso-fit-shape-to-text:t;">
                          <w:txbxContent>
                            <w:p>
                              <w:pPr>
                                <w:rPr>
                                  <w:sz w:val="18"/>
                                </w:rPr>
                              </w:pPr>
                              <w:r>
                                <w:rPr>
                                  <w:rFonts w:hint="eastAsia"/>
                                  <w:sz w:val="18"/>
                                </w:rPr>
                                <w:t>泥饼</w:t>
                              </w:r>
                            </w:p>
                          </w:txbxContent>
                        </v:textbox>
                      </v:shape>
                      <v:shape id="_x0000_s1026" o:spid="_x0000_s1026" o:spt="202" type="#_x0000_t202" style="position:absolute;left:2907278;top:511900;height:270510;width:991716;" fillcolor="#FFFFFF [3201]" filled="t" stroked="t" coordsize="21600,21600" o:gfxdata="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ULyn+dYAAAAFAQAADwAAAAAAAAABACAAAAAiAAAAZHJzL2Rvd25yZXYueG1sUEsBAhQAFAAA&#10;AAgAh07iQNUukWVjAgAAwQQAAA4AAAAAAAAAAQAgAAAAJQEAAGRycy9lMm9Eb2MueG1sUEsFBgAA&#10;AAAGAAYAWQEAAPoFAAAAAA==&#10;">
                        <v:fill on="t" focussize="0,0"/>
                        <v:stroke weight="0.5pt" color="#000000" joinstyle="round"/>
                        <v:imagedata o:title=""/>
                        <o:lock v:ext="edit" aspectratio="f"/>
                        <v:textbox style="mso-fit-shape-to-text:t;">
                          <w:txbxContent>
                            <w:p>
                              <w:pPr>
                                <w:jc w:val="center"/>
                              </w:pPr>
                              <w:r>
                                <w:rPr>
                                  <w:rFonts w:hint="eastAsia"/>
                                </w:rPr>
                                <w:t>给料机</w:t>
                              </w:r>
                            </w:p>
                          </w:txbxContent>
                        </v:textbox>
                      </v:shape>
                      <v:shape id="_x0000_s1026" o:spid="_x0000_s1026" o:spt="32" type="#_x0000_t32" style="position:absolute;left:3401038;top:283867;height:227949;width:2098;"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t4&#10;SgDSAAAABQEAAA8AAAAAAAAAAQAgAAAAIgAAAGRycy9kb3ducmV2LnhtbFBLAQIUABQAAAAIAIdO&#10;4kCttQfUKQIAADEEAAAOAAAAAAAAAAEAIAAAACEBAABkcnMvZTJvRG9jLnhtbFBLBQYAAAAABgAG&#10;AFkBAAC8BQAAAAA=&#10;">
                        <v:fill on="f" focussize="0,0"/>
                        <v:stroke color="#000000 [3200]" miterlimit="8" joinstyle="miter" endarrow="block"/>
                        <v:imagedata o:title=""/>
                        <o:lock v:ext="edit" aspectratio="f"/>
                      </v:shape>
                      <v:shape id="文本框 477" o:spid="_x0000_s1026" o:spt="202" type="#_x0000_t202" style="position:absolute;left:3441376;top:3465759;height:245110;width:532765;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o+FjjWAAAABQEAAA8AAAAAAAAA&#10;AQAgAAAAIgAAAGRycy9kb3ducmV2LnhtbFBLAQIUABQAAAAIAIdO4kAVtkC0TAIAAGwEAAAOAAAA&#10;AAAAAAEAIAAAACUBAABkcnMvZTJvRG9jLnhtbFBLBQYAAAAABgAGAFkBAADjBQAAAAA=&#10;">
                        <v:fill on="t" focussize="0,0"/>
                        <v:stroke on="f" weight="0.5pt"/>
                        <v:imagedata o:title=""/>
                        <o:lock v:ext="edit" aspectratio="f"/>
                        <v:textbox style="mso-fit-shape-to-text:t;">
                          <w:txbxContent>
                            <w:p>
                              <w:pPr>
                                <w:pStyle w:val="12"/>
                                <w:spacing w:before="0" w:beforeAutospacing="0" w:after="0" w:afterAutospacing="0"/>
                                <w:jc w:val="both"/>
                                <w:rPr>
                                  <w:szCs w:val="24"/>
                                </w:rPr>
                              </w:pPr>
                              <w:r>
                                <w:rPr>
                                  <w:rFonts w:hint="eastAsia" w:ascii="Times New Roman"/>
                                  <w:kern w:val="2"/>
                                  <w:sz w:val="18"/>
                                  <w:szCs w:val="18"/>
                                </w:rPr>
                                <w:t>输送带</w:t>
                              </w:r>
                            </w:p>
                          </w:txbxContent>
                        </v:textbox>
                      </v:shape>
                      <v:shape id="文本框 82" o:spid="_x0000_s1026" o:spt="202" type="#_x0000_t202" style="position:absolute;left:4038282;top:2799992;height:229235;width:271780;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aPhY41gAAAAUBAAAPAAAAAAAAAAEAIAAA&#10;ACIAAABkcnMvZG93bnJldi54bWxQSwECFAAUAAAACACHTuJAzXtjK0cCAABrBAAADgAAAAAAAAAB&#10;ACAAAAAlAQAAZHJzL2Uyb0RvYy54bWxQSwUGAAAAAAYABgBZAQAA3gU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N</w:t>
                              </w:r>
                            </w:p>
                          </w:txbxContent>
                        </v:textbox>
                      </v:shape>
                      <v:shape id="_x0000_s1026" o:spid="_x0000_s1026" o:spt="32" type="#_x0000_t32" style="position:absolute;left:3830987;top:3013381;flip:y;height:133985;width:250190;" filled="f" stroked="t" coordsize="21600,21600" o:gfxdata="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TBFAvWAAAA&#10;BQEAAA8AAAAAAAAAAQAgAAAAIgAAAGRycy9kb3ducmV2LnhtbFBLAQIUABQAAAAIAIdO4kBCHuhD&#10;HwIAAP4DAAAOAAAAAAAAAAEAIAAAACUBAABkcnMvZTJvRG9jLnhtbFBLBQYAAAAABgAGAFkBAAC2&#10;BQAAAAA=&#10;">
                        <v:fill on="f" focussize="0,0"/>
                        <v:stroke weight="0.5pt" color="#000000 [3200]" miterlimit="8" joinstyle="miter" dashstyle="dash" endarrow="block"/>
                        <v:imagedata o:title=""/>
                        <o:lock v:ext="edit" aspectratio="f"/>
                      </v:shape>
                      <v:shape id="文本框 82" o:spid="_x0000_s1026" o:spt="202" type="#_x0000_t202" style="position:absolute;left:4017549;top:2240939;height:245745;width:468630;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aPhY41gAAAAUBAAAPAAAAAAAAAAEAIAAA&#10;ACIAAABkcnMvZG93bnJldi54bWxQSwECFAAUAAAACACHTuJA/O6m80cCAABrBAAADgAAAAAAAAAB&#10;ACAAAAAlAQAAZHJzL2Uyb0RvYy54bWxQSwUGAAAAAAYABgBZAQAA3gU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N</w:t>
                              </w:r>
                              <w:r>
                                <w:rPr>
                                  <w:rFonts w:ascii="Times New Roman" w:hAnsi="Times New Roman"/>
                                  <w:kern w:val="2"/>
                                  <w:sz w:val="18"/>
                                  <w:szCs w:val="18"/>
                                </w:rPr>
                                <w:t>、</w:t>
                              </w:r>
                              <w:r>
                                <w:rPr>
                                  <w:rFonts w:ascii="Times New Roman" w:hAnsi="Times New Roman" w:eastAsia="Times New Roman"/>
                                  <w:kern w:val="2"/>
                                  <w:sz w:val="18"/>
                                  <w:szCs w:val="18"/>
                                </w:rPr>
                                <w:t>G</w:t>
                              </w:r>
                            </w:p>
                          </w:txbxContent>
                        </v:textbox>
                      </v:shape>
                      <v:shape id="_x0000_s1026" o:spid="_x0000_s1026" o:spt="32" type="#_x0000_t32" style="position:absolute;left:3809904;top:2454323;flip:y;height:133985;width:250190;" filled="f" stroked="t" coordsize="21600,21600" o:gfxdata="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UwRQL1gAA&#10;AAUBAAAPAAAAAAAAAAEAIAAAACIAAABkcnMvZG93bnJldi54bWxQSwECFAAUAAAACACHTuJAxjI+&#10;WCACAAD+AwAADgAAAAAAAAABACAAAAAlAQAAZHJzL2Uyb0RvYy54bWxQSwUGAAAAAAYABgBZAQAA&#10;twUAAAAA&#10;">
                        <v:fill on="f" focussize="0,0"/>
                        <v:stroke weight="0.5pt" color="#000000 [3200]" miterlimit="8" joinstyle="miter" dashstyle="dash" endarrow="block"/>
                        <v:imagedata o:title=""/>
                        <o:lock v:ext="edit" aspectratio="f"/>
                      </v:shape>
                      <v:shape id="文本框 82" o:spid="_x0000_s1026" o:spt="202" type="#_x0000_t202" style="position:absolute;left:4042705;top:3358696;height:245745;width:468630;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j4WONYAAAAFAQAADwAAAAAAAAABACAA&#10;AAAiAAAAZHJzL2Rvd25yZXYueG1sUEsBAhQAFAAAAAgAh07iQJ7xmnNIAgAAawQAAA4AAAAAAAAA&#10;AQAgAAAAJQEAAGRycy9lMm9Eb2MueG1sUEsFBgAAAAAGAAYAWQEAAN8FAAAAAA==&#10;">
                        <v:fill on="t" focussize="0,0"/>
                        <v:stroke on="f" weight="0.5pt"/>
                        <v:imagedata o:title=""/>
                        <o:lock v:ext="edit" aspectratio="f"/>
                        <v:textbox style="mso-fit-shape-to-text:t;">
                          <w:txbxContent>
                            <w:p>
                              <w:pPr>
                                <w:pStyle w:val="12"/>
                                <w:spacing w:before="0" w:beforeAutospacing="0" w:after="0" w:afterAutospacing="0"/>
                                <w:jc w:val="both"/>
                                <w:rPr>
                                  <w:rFonts w:ascii="Times New Roman" w:hAnsi="Times New Roman"/>
                                  <w:szCs w:val="24"/>
                                </w:rPr>
                              </w:pPr>
                              <w:r>
                                <w:rPr>
                                  <w:rFonts w:ascii="Times New Roman" w:hAnsi="Times New Roman" w:eastAsia="Times New Roman"/>
                                  <w:kern w:val="2"/>
                                  <w:sz w:val="18"/>
                                  <w:szCs w:val="18"/>
                                </w:rPr>
                                <w:t>N</w:t>
                              </w:r>
                              <w:r>
                                <w:rPr>
                                  <w:rFonts w:ascii="Times New Roman" w:hAnsi="Times New Roman"/>
                                  <w:kern w:val="2"/>
                                  <w:sz w:val="18"/>
                                  <w:szCs w:val="18"/>
                                </w:rPr>
                                <w:t>、</w:t>
                              </w:r>
                              <w:r>
                                <w:rPr>
                                  <w:rFonts w:ascii="Times New Roman" w:hAnsi="Times New Roman" w:eastAsia="Times New Roman"/>
                                  <w:kern w:val="2"/>
                                  <w:sz w:val="18"/>
                                  <w:szCs w:val="18"/>
                                </w:rPr>
                                <w:t>G</w:t>
                              </w:r>
                            </w:p>
                          </w:txbxContent>
                        </v:textbox>
                      </v:shape>
                      <v:shape id="_x0000_s1026" o:spid="_x0000_s1026" o:spt="32" type="#_x0000_t32" style="position:absolute;left:3835060;top:3572091;flip:y;height:133985;width:250190;" filled="f" stroked="t" coordsize="21600,21600" o:gfxdata="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TBFAvWAAAA&#10;BQEAAA8AAAAAAAAAAQAgAAAAIgAAAGRycy9kb3ducmV2LnhtbFBLAQIUABQAAAAIAIdO4kCFZx+v&#10;HwIAAP4DAAAOAAAAAAAAAAEAIAAAACUBAABkcnMvZTJvRG9jLnhtbFBLBQYAAAAABgAGAFkBAAC2&#10;BQAAAAA=&#10;">
                        <v:fill on="f" focussize="0,0"/>
                        <v:stroke weight="0.5pt" color="#000000 [3200]" miterlimit="8" joinstyle="miter" dashstyle="dash" endarrow="block"/>
                        <v:imagedata o:title=""/>
                        <o:lock v:ext="edit" aspectratio="f"/>
                      </v:shape>
                      <v:line id="_x0000_s1026" o:spid="_x0000_s1026" o:spt="20" style="position:absolute;left:2640456;top:2871902;flip:x;height:0;width:268739;" filled="f" stroked="t" coordsize="21600,21600" o:gfxdata="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HKJdn1gAAAAUBAAAPAAAAAAAAAAEAIAAAACIAAABkcnMvZG93bnJl&#10;di54bWxQSwECFAAUAAAACACHTuJAjNCDRP8BAADJAwAADgAAAAAAAAABACAAAAAlAQAAZHJzL2Uy&#10;b0RvYy54bWxQSwUGAAAAAAYABgBZAQAAlgUAAAAA&#10;">
                        <v:fill on="f" focussize="0,0"/>
                        <v:stroke color="#FF0000 [3205]" miterlimit="8" joinstyle="miter" dashstyle="dash"/>
                        <v:imagedata o:title=""/>
                        <o:lock v:ext="edit" aspectratio="f"/>
                      </v:line>
                      <v:shape id="_x0000_s1026" o:spid="_x0000_s1026" o:spt="32" type="#_x0000_t32" style="position:absolute;left:4200242;top:4213587;height:730603;width:0;" filled="f" stroked="t" coordsize="21600,21600" o:gfxdata="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K3hKANIAAAAF&#10;AQAADwAAAAAAAAABACAAAAAiAAAAZHJzL2Rvd25yZXYueG1sUEsBAhQAFAAAAAgAh07iQNRq1Cwi&#10;AgAAFwQAAA4AAAAAAAAAAQAgAAAAIQEAAGRycy9lMm9Eb2MueG1sUEsFBgAAAAAGAAYAWQEAALUF&#10;AAAAAA==&#10;">
                        <v:fill on="f" focussize="0,0"/>
                        <v:stroke color="#000000 [3200]" miterlimit="8" joinstyle="miter" endarrow="block"/>
                        <v:imagedata o:title=""/>
                        <o:lock v:ext="edit" aspectratio="f"/>
                      </v:shape>
                      <v:shape id="_x0000_s1026" o:spid="_x0000_s1026" o:spt="202" type="#_x0000_t202" style="position:absolute;left:169671;top:5579692;height:245745;width:2005330;mso-wrap-style:none;" fillcolor="#FFFFFF [3201]" filled="t" stroked="f" coordsize="21600,21600" o:gfxdata="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2j4WONYAAAAF&#10;AQAADwAAAAAAAAABACAAAAAiAAAAZHJzL2Rvd25yZXYueG1sUEsBAhQAFAAAAAgAh07iQGpF5+RX&#10;AgAAmgQAAA4AAAAAAAAAAQAgAAAAJQEAAGRycy9lMm9Eb2MueG1sUEsFBgAAAAAGAAYAWQEAAO4F&#10;AAAAAA==&#10;">
                        <v:fill on="t" focussize="0,0"/>
                        <v:stroke on="f" weight="0.5pt"/>
                        <v:imagedata o:title=""/>
                        <o:lock v:ext="edit" aspectratio="f"/>
                        <v:textbox style="mso-fit-shape-to-text:t;">
                          <w:txbxContent>
                            <w:p>
                              <w:pPr>
                                <w:rPr>
                                  <w:sz w:val="18"/>
                                </w:rPr>
                              </w:pPr>
                              <w:r>
                                <w:rPr>
                                  <w:rFonts w:hint="eastAsia"/>
                                  <w:sz w:val="18"/>
                                </w:rPr>
                                <w:t>图例</w:t>
                              </w:r>
                              <w:r>
                                <w:rPr>
                                  <w:sz w:val="18"/>
                                </w:rPr>
                                <w:t>：</w:t>
                              </w:r>
                              <w:r>
                                <w:rPr>
                                  <w:rFonts w:hint="eastAsia"/>
                                  <w:sz w:val="18"/>
                                </w:rPr>
                                <w:t xml:space="preserve"> </w:t>
                              </w:r>
                              <w:r>
                                <w:rPr>
                                  <w:sz w:val="18"/>
                                </w:rPr>
                                <w:t>N</w:t>
                              </w:r>
                              <w:r>
                                <w:rPr>
                                  <w:rFonts w:hint="eastAsia"/>
                                  <w:sz w:val="18"/>
                                </w:rPr>
                                <w:t xml:space="preserve">：噪声 </w:t>
                              </w:r>
                              <w:r>
                                <w:rPr>
                                  <w:sz w:val="18"/>
                                </w:rPr>
                                <w:t>G</w:t>
                              </w:r>
                              <w:r>
                                <w:rPr>
                                  <w:rFonts w:hint="eastAsia"/>
                                  <w:sz w:val="18"/>
                                </w:rPr>
                                <w:t>：</w:t>
                              </w:r>
                              <w:r>
                                <w:rPr>
                                  <w:sz w:val="18"/>
                                </w:rPr>
                                <w:t>废气</w:t>
                              </w:r>
                              <w:r>
                                <w:rPr>
                                  <w:rFonts w:hint="eastAsia"/>
                                  <w:sz w:val="18"/>
                                </w:rPr>
                                <w:t xml:space="preserve"> </w:t>
                              </w:r>
                              <w:r>
                                <w:rPr>
                                  <w:sz w:val="18"/>
                                </w:rPr>
                                <w:t>W</w:t>
                              </w:r>
                              <w:r>
                                <w:rPr>
                                  <w:rFonts w:hint="eastAsia"/>
                                  <w:sz w:val="18"/>
                                </w:rPr>
                                <w:t>：</w:t>
                              </w:r>
                              <w:r>
                                <w:rPr>
                                  <w:sz w:val="18"/>
                                </w:rPr>
                                <w:t>废水</w:t>
                              </w:r>
                            </w:p>
                          </w:txbxContent>
                        </v:textbox>
                      </v:shape>
                      <v:shape id="_x0000_s1026" o:spid="_x0000_s1026" o:spt="32" type="#_x0000_t32" style="position:absolute;left:2640456;top:2880842;height:1578000;width:0;" filled="f" stroked="t" coordsize="21600,21600" o:gfxdata="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ehuGB1QAAAAUBAAAPAAAA&#10;AAAAAAEAIAAAACIAAABkcnMvZG93bnJldi54bWxQSwECFAAUAAAACACHTuJAFinM4RgCAADuAwAA&#10;DgAAAAAAAAABACAAAAAkAQAAZHJzL2Uyb0RvYy54bWxQSwUGAAAAAAYABgBZAQAArgUAAAAA&#10;">
                        <v:fill on="f" focussize="0,0"/>
                        <v:stroke color="#FF0000 [3204]" miterlimit="8" joinstyle="miter" dashstyle="dash" endarrow="block"/>
                        <v:imagedata o:title=""/>
                        <o:lock v:ext="edit" aspectratio="f"/>
                      </v:shape>
                      <v:shape id="_x0000_s1026" o:spid="_x0000_s1026" o:spt="32" type="#_x0000_t32" style="position:absolute;left:2227527;top:1229934;height:413549;width:0;" filled="f" stroked="t" coordsize="21600,21600" o:gfxdata="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obhgdUAAAAFAQAADwAA&#10;AAAAAAABACAAAAAiAAAAZHJzL2Rvd25yZXYueG1sUEsBAhQAFAAAAAgAh07iQPzDlYoZAgAA7QMA&#10;AA4AAAAAAAAAAQAgAAAAJAEAAGRycy9lMm9Eb2MueG1sUEsFBgAAAAAGAAYAWQEAAK8FAAAAAA==&#10;">
                        <v:fill on="f" focussize="0,0"/>
                        <v:stroke color="#FF0000 [3204]" miterlimit="8" joinstyle="miter" dashstyle="dash" endarrow="block"/>
                        <v:imagedata o:title=""/>
                        <o:lock v:ext="edit" aspectratio="f"/>
                      </v:shape>
                      <w10:wrap type="none"/>
                      <w10:anchorlock/>
                    </v:group>
                  </w:pict>
                </mc:Fallback>
              </mc:AlternateContent>
            </w:r>
          </w:p>
          <w:p>
            <w:pPr>
              <w:spacing w:line="360" w:lineRule="auto"/>
              <w:ind w:firstLine="482" w:firstLineChars="200"/>
              <w:rPr>
                <w:b/>
                <w:bCs/>
                <w:sz w:val="24"/>
              </w:rPr>
            </w:pPr>
            <w:r>
              <w:rPr>
                <w:rFonts w:hint="eastAsia"/>
                <w:b/>
                <w:bCs/>
                <w:sz w:val="24"/>
              </w:rPr>
              <w:t>2、工艺流程简述</w:t>
            </w:r>
          </w:p>
          <w:p>
            <w:pPr>
              <w:adjustRightInd w:val="0"/>
              <w:snapToGrid w:val="0"/>
              <w:spacing w:line="360" w:lineRule="auto"/>
              <w:ind w:firstLine="480" w:firstLineChars="200"/>
              <w:rPr>
                <w:bCs/>
                <w:sz w:val="24"/>
              </w:rPr>
            </w:pPr>
            <w:r>
              <w:rPr>
                <w:rFonts w:hint="eastAsia"/>
                <w:bCs/>
                <w:sz w:val="24"/>
              </w:rPr>
              <w:t>本项目主要从事砂石料加工生产，原料为</w:t>
            </w:r>
            <w:r>
              <w:rPr>
                <w:rFonts w:hint="eastAsia" w:cs="宋体"/>
                <w:bCs/>
                <w:sz w:val="24"/>
              </w:rPr>
              <w:t>“乐山市沙湾区铜河资源绿色建材加工厂项目</w:t>
            </w:r>
            <w:r>
              <w:rPr>
                <w:rFonts w:cs="宋体"/>
                <w:bCs/>
                <w:sz w:val="24"/>
              </w:rPr>
              <w:t>-</w:t>
            </w:r>
            <w:r>
              <w:rPr>
                <w:rFonts w:hint="eastAsia" w:cs="宋体"/>
                <w:bCs/>
                <w:sz w:val="24"/>
              </w:rPr>
              <w:t>土石方工程”可利用废弃物</w:t>
            </w:r>
            <w:r>
              <w:rPr>
                <w:rFonts w:hint="eastAsia"/>
                <w:bCs/>
                <w:sz w:val="24"/>
              </w:rPr>
              <w:t>，项目建设于</w:t>
            </w:r>
            <w:r>
              <w:rPr>
                <w:rFonts w:hint="eastAsia" w:cs="宋体"/>
                <w:bCs/>
                <w:sz w:val="24"/>
              </w:rPr>
              <w:t>原弃方堆放地</w:t>
            </w:r>
            <w:r>
              <w:rPr>
                <w:rFonts w:hint="eastAsia"/>
                <w:bCs/>
                <w:sz w:val="24"/>
              </w:rPr>
              <w:t>内，无需设置原料堆场和原料运输车辆，就地进行弃方挖采。再通过对原料进行破碎加工，采取湿法制砂工艺，根据用户要求制造成不同规格的成品砂。</w:t>
            </w:r>
          </w:p>
          <w:p>
            <w:pPr>
              <w:adjustRightInd w:val="0"/>
              <w:snapToGrid w:val="0"/>
              <w:spacing w:line="360" w:lineRule="auto"/>
              <w:ind w:firstLine="480" w:firstLineChars="200"/>
              <w:rPr>
                <w:bCs/>
                <w:sz w:val="24"/>
              </w:rPr>
            </w:pPr>
            <w:r>
              <w:rPr>
                <w:rFonts w:hint="eastAsia"/>
                <w:bCs/>
                <w:sz w:val="24"/>
              </w:rPr>
              <w:t>（1）</w:t>
            </w:r>
            <w:r>
              <w:rPr>
                <w:rFonts w:hint="eastAsia" w:cs="宋体"/>
                <w:bCs/>
                <w:sz w:val="24"/>
              </w:rPr>
              <w:t>原弃方堆放地</w:t>
            </w:r>
            <w:r>
              <w:rPr>
                <w:rFonts w:hint="eastAsia"/>
                <w:bCs/>
                <w:sz w:val="24"/>
              </w:rPr>
              <w:t>挖采、投料</w:t>
            </w:r>
          </w:p>
          <w:p>
            <w:pPr>
              <w:adjustRightInd w:val="0"/>
              <w:snapToGrid w:val="0"/>
              <w:spacing w:line="360" w:lineRule="auto"/>
              <w:ind w:firstLine="480" w:firstLineChars="200"/>
              <w:rPr>
                <w:bCs/>
                <w:sz w:val="24"/>
              </w:rPr>
            </w:pPr>
            <w:r>
              <w:rPr>
                <w:rFonts w:hint="eastAsia"/>
                <w:bCs/>
                <w:sz w:val="24"/>
              </w:rPr>
              <w:t>砂石场利用废石由专业人员使用挖掘机和铲车，采用自上而下、阶梯开采方式，将</w:t>
            </w:r>
            <w:r>
              <w:rPr>
                <w:rFonts w:hint="eastAsia" w:cs="宋体"/>
                <w:bCs/>
                <w:sz w:val="24"/>
              </w:rPr>
              <w:t>原弃方堆放地</w:t>
            </w:r>
            <w:r>
              <w:rPr>
                <w:rFonts w:hint="eastAsia"/>
                <w:bCs/>
                <w:sz w:val="24"/>
              </w:rPr>
              <w:t>废石挖出。</w:t>
            </w:r>
            <w:r>
              <w:rPr>
                <w:rFonts w:hint="eastAsia" w:cs="宋体"/>
                <w:bCs/>
                <w:sz w:val="24"/>
              </w:rPr>
              <w:t>原弃方堆放地</w:t>
            </w:r>
            <w:r>
              <w:rPr>
                <w:rFonts w:hint="eastAsia"/>
                <w:bCs/>
                <w:sz w:val="24"/>
              </w:rPr>
              <w:t>挖采废石为边挖采边加工，挖采原料通过运输车转运至投料口。投料口为地坑形式，原料卸入地坑后提升至半高台，再由皮带运输至颚式破碎机破碎。该工序主要污染物是粉尘和噪声。</w:t>
            </w:r>
          </w:p>
          <w:p>
            <w:pPr>
              <w:adjustRightInd w:val="0"/>
              <w:snapToGrid w:val="0"/>
              <w:spacing w:line="360" w:lineRule="auto"/>
              <w:ind w:firstLine="480" w:firstLineChars="200"/>
              <w:rPr>
                <w:bCs/>
                <w:sz w:val="24"/>
              </w:rPr>
            </w:pPr>
            <w:r>
              <w:rPr>
                <w:rFonts w:hint="eastAsia"/>
                <w:bCs/>
                <w:sz w:val="24"/>
              </w:rPr>
              <w:t>（2）一级振动筛分</w:t>
            </w:r>
          </w:p>
          <w:p>
            <w:pPr>
              <w:adjustRightInd w:val="0"/>
              <w:snapToGrid w:val="0"/>
              <w:spacing w:line="360" w:lineRule="auto"/>
              <w:ind w:firstLine="480" w:firstLineChars="200"/>
              <w:rPr>
                <w:bCs/>
                <w:sz w:val="24"/>
              </w:rPr>
            </w:pPr>
            <w:r>
              <w:rPr>
                <w:rFonts w:hint="eastAsia"/>
                <w:bCs/>
                <w:sz w:val="24"/>
              </w:rPr>
              <w:t>振动筛工作时，两电机同步反向旋转使激振器产生反向激振力，迫使筛体带动筛网做纵向运动，使其上的物料受激振力而周期性向前抛出一个射程，从而完成物料筛分作业。</w:t>
            </w:r>
          </w:p>
          <w:p>
            <w:pPr>
              <w:adjustRightInd w:val="0"/>
              <w:snapToGrid w:val="0"/>
              <w:spacing w:line="360" w:lineRule="auto"/>
              <w:ind w:firstLine="480" w:firstLineChars="200"/>
              <w:rPr>
                <w:bCs/>
                <w:sz w:val="24"/>
              </w:rPr>
            </w:pPr>
            <w:r>
              <w:rPr>
                <w:rFonts w:hint="eastAsia"/>
                <w:bCs/>
                <w:sz w:val="24"/>
              </w:rPr>
              <w:t>物料从上料口通过皮带运输至一级振动筛，一级振动筛分将</w:t>
            </w:r>
            <w:r>
              <w:rPr>
                <w:rFonts w:hint="eastAsia" w:cs="宋体"/>
                <w:bCs/>
                <w:sz w:val="24"/>
              </w:rPr>
              <w:t>原弃方堆放地</w:t>
            </w:r>
            <w:r>
              <w:rPr>
                <w:rFonts w:hint="eastAsia"/>
                <w:bCs/>
                <w:sz w:val="24"/>
              </w:rPr>
              <w:t>内原料中原本粒径小于5mm的自然砂筛出，进入洗砂机清洗后作为成品堆至成品堆场，其余规格进入颚式破碎机进行下一步工序。在筛分过程中加水，将物料泥土和小于5mm自然砂随水筛出进入洗砂机，同时保持物料湿润，抑制无组织粉尘的产生。该工序主要污染物为粉尘、噪声和废水。</w:t>
            </w:r>
          </w:p>
          <w:p>
            <w:pPr>
              <w:adjustRightInd w:val="0"/>
              <w:snapToGrid w:val="0"/>
              <w:spacing w:line="360" w:lineRule="auto"/>
              <w:ind w:firstLine="480" w:firstLineChars="200"/>
              <w:rPr>
                <w:bCs/>
                <w:sz w:val="24"/>
              </w:rPr>
            </w:pPr>
            <w:r>
              <w:rPr>
                <w:rFonts w:hint="eastAsia"/>
                <w:bCs/>
                <w:sz w:val="24"/>
              </w:rPr>
              <w:t>（</w:t>
            </w:r>
            <w:r>
              <w:rPr>
                <w:bCs/>
                <w:sz w:val="24"/>
              </w:rPr>
              <w:t>3</w:t>
            </w:r>
            <w:r>
              <w:rPr>
                <w:rFonts w:hint="eastAsia"/>
                <w:bCs/>
                <w:sz w:val="24"/>
              </w:rPr>
              <w:t>）颚破</w:t>
            </w:r>
          </w:p>
          <w:p>
            <w:pPr>
              <w:adjustRightInd w:val="0"/>
              <w:snapToGrid w:val="0"/>
              <w:spacing w:line="360" w:lineRule="auto"/>
              <w:ind w:firstLine="480" w:firstLineChars="200"/>
              <w:rPr>
                <w:bCs/>
                <w:sz w:val="24"/>
              </w:rPr>
            </w:pPr>
            <w:r>
              <w:rPr>
                <w:rFonts w:hint="eastAsia"/>
                <w:bCs/>
                <w:sz w:val="24"/>
              </w:rPr>
              <w:t>一级振动筛出料口接颚式破碎机，颚式破碎机的工作部分是两块颚板，一是固定颚板（定颚），垂直（或上端略外倾）固定在机体前壁上，另一是活动颚板（动颚），位置倾斜，与固定颚板形成上大下小的破碎腔（工作腔）。活动颚板对着固定颚板做周期性的往复运动，时而分开，时而靠近。分开时，物料进入破碎腔，成品从下部卸出；靠近时，使装在两块颚板之间的物料受到挤压，弯折和劈裂作用而破碎。颚式破碎机破碎后砂石粒径约50mm~120mm，颚破后砂石输送至后续工序。该工序主要污染物为粉尘、噪声。</w:t>
            </w:r>
          </w:p>
          <w:p>
            <w:pPr>
              <w:adjustRightInd w:val="0"/>
              <w:snapToGrid w:val="0"/>
              <w:spacing w:line="360" w:lineRule="auto"/>
              <w:ind w:firstLine="480" w:firstLineChars="200"/>
              <w:rPr>
                <w:bCs/>
                <w:sz w:val="24"/>
              </w:rPr>
            </w:pPr>
            <w:r>
              <w:rPr>
                <w:rFonts w:hint="eastAsia"/>
                <w:bCs/>
                <w:sz w:val="24"/>
              </w:rPr>
              <w:t>（</w:t>
            </w:r>
            <w:r>
              <w:rPr>
                <w:bCs/>
                <w:sz w:val="24"/>
              </w:rPr>
              <w:t>4</w:t>
            </w:r>
            <w:r>
              <w:rPr>
                <w:rFonts w:hint="eastAsia"/>
                <w:bCs/>
                <w:sz w:val="24"/>
              </w:rPr>
              <w:t>）圆锥破碎</w:t>
            </w:r>
          </w:p>
          <w:p>
            <w:pPr>
              <w:adjustRightInd w:val="0"/>
              <w:snapToGrid w:val="0"/>
              <w:spacing w:line="360" w:lineRule="auto"/>
              <w:ind w:firstLine="480" w:firstLineChars="200"/>
              <w:rPr>
                <w:bCs/>
                <w:sz w:val="24"/>
              </w:rPr>
            </w:pPr>
            <w:r>
              <w:rPr>
                <w:rFonts w:hint="eastAsia"/>
                <w:bCs/>
                <w:sz w:val="24"/>
              </w:rPr>
              <w:t>颚破后的砂石粒径变小，通过皮带输送机运至双金圆锥破碎机顶部进料仓，经圆锥破碎机进一步破碎。在圆锥破碎机工作过程中，电动机通过传动装置带动偏心套旋转，动锥在偏心轴套的迫动下做旋转摆动，动锥靠近静锥的区段即成为破碎腔，物料受到动锥和静锥的多次挤压和撞击而破碎。动锥离开该区段时，该处已破碎至要求粒度的物料在自身重力作用下下落，从锥底排出。通过圆锥破碎后砂石粒径已经可以满足客户要求。该工序主要污染物为粉尘、噪声。</w:t>
            </w:r>
          </w:p>
          <w:p>
            <w:pPr>
              <w:adjustRightInd w:val="0"/>
              <w:snapToGrid w:val="0"/>
              <w:spacing w:line="360" w:lineRule="auto"/>
              <w:ind w:firstLine="480" w:firstLineChars="200"/>
              <w:rPr>
                <w:bCs/>
                <w:sz w:val="24"/>
              </w:rPr>
            </w:pPr>
            <w:r>
              <w:rPr>
                <w:rFonts w:hint="eastAsia"/>
                <w:bCs/>
                <w:sz w:val="24"/>
              </w:rPr>
              <w:t>（5）二级振动筛分</w:t>
            </w:r>
          </w:p>
          <w:p>
            <w:pPr>
              <w:adjustRightInd w:val="0"/>
              <w:snapToGrid w:val="0"/>
              <w:spacing w:line="360" w:lineRule="auto"/>
              <w:ind w:firstLine="480" w:firstLineChars="200"/>
              <w:rPr>
                <w:bCs/>
                <w:sz w:val="24"/>
              </w:rPr>
            </w:pPr>
            <w:r>
              <w:rPr>
                <w:rFonts w:hint="eastAsia"/>
                <w:bCs/>
                <w:sz w:val="24"/>
              </w:rPr>
              <w:t>圆锥破碎后物料通过皮带输送至二级振动筛，经过两次破碎后原料中已有一部分砂石满足成品砂标准，即粒径小于</w:t>
            </w:r>
            <w:r>
              <w:rPr>
                <w:bCs/>
                <w:sz w:val="24"/>
              </w:rPr>
              <w:t>5</w:t>
            </w:r>
            <w:r>
              <w:rPr>
                <w:rFonts w:hint="eastAsia"/>
                <w:bCs/>
                <w:sz w:val="24"/>
              </w:rPr>
              <w:t>mm的砂石。二级振动筛分将这部分砂石分离出来，进入洗砂机后堆至成品堆场。在筛分过程中加水，将物料泥土和小于5mm机制砂随水筛出进入洗砂机，同时保持物料湿润，抑制无组织粉尘的产生。该工序主要污染物为粉尘、噪声和废水。</w:t>
            </w:r>
          </w:p>
          <w:p>
            <w:pPr>
              <w:adjustRightInd w:val="0"/>
              <w:snapToGrid w:val="0"/>
              <w:spacing w:line="360" w:lineRule="auto"/>
              <w:ind w:firstLine="480" w:firstLineChars="200"/>
              <w:rPr>
                <w:bCs/>
                <w:sz w:val="24"/>
              </w:rPr>
            </w:pPr>
            <w:r>
              <w:rPr>
                <w:rFonts w:hint="eastAsia"/>
                <w:bCs/>
                <w:sz w:val="24"/>
              </w:rPr>
              <w:t>（</w:t>
            </w:r>
            <w:r>
              <w:rPr>
                <w:bCs/>
                <w:sz w:val="24"/>
              </w:rPr>
              <w:t>6</w:t>
            </w:r>
            <w:r>
              <w:rPr>
                <w:rFonts w:hint="eastAsia"/>
                <w:bCs/>
                <w:sz w:val="24"/>
              </w:rPr>
              <w:t>）制砂</w:t>
            </w:r>
          </w:p>
          <w:p>
            <w:pPr>
              <w:adjustRightInd w:val="0"/>
              <w:snapToGrid w:val="0"/>
              <w:spacing w:line="360" w:lineRule="auto"/>
              <w:ind w:firstLine="480" w:firstLineChars="200"/>
              <w:rPr>
                <w:bCs/>
                <w:sz w:val="24"/>
              </w:rPr>
            </w:pPr>
            <w:r>
              <w:rPr>
                <w:rFonts w:hint="eastAsia"/>
                <w:bCs/>
                <w:sz w:val="24"/>
              </w:rPr>
              <w:t>经二级筛分后物料通过通过皮带输送机运至制砂机顶部进料仓进行最后一步制砂。制砂机工作时，在电动机的带动下，转子高速旋转，物料进入第一破碎腔与转子的板锤撞击破碎，然后进入第二破碎腔进行粉碎。在破碎过程中，不但形成了物料与板锤及衬板之间的撞击破碎，同时也完成了各个板锤间以及破碎腔内进行的石打石整形，最后从出料口排出。该工序主要污染物为粉尘、噪声。</w:t>
            </w:r>
          </w:p>
          <w:p>
            <w:pPr>
              <w:adjustRightInd w:val="0"/>
              <w:snapToGrid w:val="0"/>
              <w:spacing w:line="360" w:lineRule="auto"/>
              <w:ind w:firstLine="480" w:firstLineChars="200"/>
              <w:rPr>
                <w:bCs/>
                <w:sz w:val="24"/>
              </w:rPr>
            </w:pPr>
            <w:r>
              <w:rPr>
                <w:rFonts w:hint="eastAsia"/>
                <w:bCs/>
                <w:sz w:val="24"/>
              </w:rPr>
              <w:t>（7）三级振动筛分</w:t>
            </w:r>
          </w:p>
          <w:p>
            <w:pPr>
              <w:adjustRightInd w:val="0"/>
              <w:snapToGrid w:val="0"/>
              <w:spacing w:line="360" w:lineRule="auto"/>
              <w:ind w:firstLine="480" w:firstLineChars="200"/>
              <w:rPr>
                <w:bCs/>
                <w:sz w:val="24"/>
              </w:rPr>
            </w:pPr>
            <w:r>
              <w:rPr>
                <w:rFonts w:hint="eastAsia"/>
                <w:bCs/>
                <w:sz w:val="24"/>
              </w:rPr>
              <w:t>经过制砂工序后，物料中砂石粒径仍大小不一，通过筛分机将粒径小于</w:t>
            </w:r>
            <w:r>
              <w:rPr>
                <w:bCs/>
                <w:sz w:val="24"/>
              </w:rPr>
              <w:t>5</w:t>
            </w:r>
            <w:r>
              <w:rPr>
                <w:rFonts w:hint="eastAsia"/>
                <w:bCs/>
                <w:sz w:val="24"/>
              </w:rPr>
              <w:t>mm的机制砂和粒径为</w:t>
            </w:r>
            <w:r>
              <w:rPr>
                <w:bCs/>
                <w:sz w:val="24"/>
              </w:rPr>
              <w:t>5~31.5</w:t>
            </w:r>
            <w:r>
              <w:rPr>
                <w:rFonts w:hint="eastAsia"/>
                <w:bCs/>
                <w:sz w:val="24"/>
              </w:rPr>
              <w:t>mm的碎石分离出来，分别存放于成品堆场中，根据客户需求分别外售；筛分出粒径大于</w:t>
            </w:r>
            <w:r>
              <w:rPr>
                <w:bCs/>
                <w:sz w:val="24"/>
              </w:rPr>
              <w:t>31.5</w:t>
            </w:r>
            <w:r>
              <w:rPr>
                <w:rFonts w:hint="eastAsia"/>
                <w:bCs/>
                <w:sz w:val="24"/>
              </w:rPr>
              <w:t>mm的砂石返回制砂机重新加工。在筛分过程中加水，将物料泥土和小于5mm机制砂随水筛出进入洗砂机，同时保持物料湿润，抑制无组织粉尘的产生。该工序主要污染物为粉尘、噪声和废水。</w:t>
            </w:r>
          </w:p>
          <w:p>
            <w:pPr>
              <w:adjustRightInd w:val="0"/>
              <w:snapToGrid w:val="0"/>
              <w:spacing w:line="360" w:lineRule="auto"/>
              <w:ind w:firstLine="480" w:firstLineChars="200"/>
              <w:rPr>
                <w:bCs/>
                <w:sz w:val="24"/>
              </w:rPr>
            </w:pPr>
            <w:r>
              <w:rPr>
                <w:rFonts w:hint="eastAsia"/>
                <w:bCs/>
                <w:sz w:val="24"/>
              </w:rPr>
              <w:t>（</w:t>
            </w:r>
            <w:r>
              <w:rPr>
                <w:bCs/>
                <w:sz w:val="24"/>
              </w:rPr>
              <w:t>8</w:t>
            </w:r>
            <w:r>
              <w:rPr>
                <w:rFonts w:hint="eastAsia"/>
                <w:bCs/>
                <w:sz w:val="24"/>
              </w:rPr>
              <w:t>）洗砂</w:t>
            </w:r>
          </w:p>
          <w:p>
            <w:pPr>
              <w:adjustRightInd w:val="0"/>
              <w:snapToGrid w:val="0"/>
              <w:spacing w:line="360" w:lineRule="auto"/>
              <w:ind w:firstLine="480" w:firstLineChars="200"/>
              <w:rPr>
                <w:bCs/>
                <w:sz w:val="24"/>
              </w:rPr>
            </w:pPr>
            <w:r>
              <w:rPr>
                <w:rFonts w:hint="eastAsia"/>
                <w:bCs/>
                <w:sz w:val="24"/>
              </w:rPr>
              <w:t>筛分出的粒径小于</w:t>
            </w:r>
            <w:r>
              <w:rPr>
                <w:bCs/>
                <w:sz w:val="24"/>
              </w:rPr>
              <w:t>5</w:t>
            </w:r>
            <w:r>
              <w:rPr>
                <w:rFonts w:hint="eastAsia"/>
                <w:bCs/>
                <w:sz w:val="24"/>
              </w:rPr>
              <w:t>mm的自然砂和机制砂经振动筛出料后随筛分时冲洗水一同进入洗砂机中，通过设备内的螺旋装置对砂石进行搅拌清洗，从而使砂石料中的泥土和附着在砂子表面的石粉和水混合，排入收集池；砂石料逐步筛选，从出料口排出，经尾沙一体机脱水后由皮带运送至产品堆场，实现砂石料的清洗筛选。该过程产生污染物主要为噪声、废水。</w:t>
            </w:r>
          </w:p>
          <w:p>
            <w:pPr>
              <w:adjustRightInd w:val="0"/>
              <w:snapToGrid w:val="0"/>
              <w:spacing w:line="360" w:lineRule="auto"/>
              <w:ind w:firstLine="480" w:firstLineChars="200"/>
              <w:rPr>
                <w:bCs/>
                <w:sz w:val="24"/>
              </w:rPr>
            </w:pPr>
            <w:r>
              <w:rPr>
                <w:rFonts w:hint="eastAsia"/>
                <w:bCs/>
                <w:sz w:val="24"/>
              </w:rPr>
              <w:t>（</w:t>
            </w:r>
            <w:r>
              <w:rPr>
                <w:bCs/>
                <w:sz w:val="24"/>
              </w:rPr>
              <w:t>9</w:t>
            </w:r>
            <w:r>
              <w:rPr>
                <w:rFonts w:hint="eastAsia"/>
                <w:bCs/>
                <w:sz w:val="24"/>
              </w:rPr>
              <w:t>）产品堆存</w:t>
            </w:r>
          </w:p>
          <w:p>
            <w:pPr>
              <w:adjustRightInd w:val="0"/>
              <w:snapToGrid w:val="0"/>
              <w:spacing w:line="360" w:lineRule="auto"/>
              <w:ind w:firstLine="480" w:firstLineChars="200"/>
              <w:rPr>
                <w:bCs/>
                <w:sz w:val="24"/>
              </w:rPr>
            </w:pPr>
            <w:r>
              <w:rPr>
                <w:rFonts w:hint="eastAsia"/>
                <w:bCs/>
                <w:sz w:val="24"/>
              </w:rPr>
              <w:t>加工完后产品通过皮带输送机送至产品堆场堆存。根据产品不同，设置了自然砂堆场、机制砂堆场和碎石堆场，根据客户需求进行售卖。产品堆放和装卸过程会产生粉尘和噪声。</w:t>
            </w:r>
          </w:p>
          <w:p>
            <w:pPr>
              <w:adjustRightInd w:val="0"/>
              <w:snapToGrid w:val="0"/>
              <w:spacing w:line="360" w:lineRule="auto"/>
              <w:ind w:firstLine="482" w:firstLineChars="200"/>
              <w:rPr>
                <w:b/>
                <w:bCs/>
                <w:sz w:val="24"/>
              </w:rPr>
            </w:pPr>
            <w:r>
              <w:rPr>
                <w:rFonts w:hint="eastAsia"/>
                <w:b/>
                <w:bCs/>
                <w:sz w:val="24"/>
              </w:rPr>
              <w:t>3、物料平衡</w:t>
            </w:r>
          </w:p>
          <w:p>
            <w:pPr>
              <w:adjustRightInd w:val="0"/>
              <w:snapToGrid w:val="0"/>
              <w:spacing w:line="360" w:lineRule="auto"/>
              <w:ind w:firstLine="480" w:firstLineChars="200"/>
              <w:rPr>
                <w:b/>
                <w:bCs/>
                <w:szCs w:val="21"/>
              </w:rPr>
            </w:pPr>
            <w:r>
              <w:rPr>
                <w:rFonts w:hint="eastAsia"/>
                <w:bCs/>
                <w:sz w:val="24"/>
              </w:rPr>
              <w:t>本项目物料平衡如下表所示。</w:t>
            </w:r>
          </w:p>
          <w:p>
            <w:pPr>
              <w:adjustRightInd w:val="0"/>
              <w:snapToGrid w:val="0"/>
              <w:jc w:val="center"/>
              <w:rPr>
                <w:b/>
                <w:bCs/>
                <w:szCs w:val="21"/>
              </w:rPr>
            </w:pPr>
            <w:r>
              <w:rPr>
                <w:b/>
                <w:bCs/>
                <w:szCs w:val="21"/>
              </w:rPr>
              <w:t xml:space="preserve">        </w:t>
            </w:r>
            <w:r>
              <w:rPr>
                <w:rFonts w:hint="eastAsia"/>
                <w:b/>
                <w:bCs/>
                <w:szCs w:val="21"/>
              </w:rPr>
              <w:t>表2</w:t>
            </w:r>
            <w:r>
              <w:rPr>
                <w:b/>
                <w:bCs/>
                <w:szCs w:val="21"/>
              </w:rPr>
              <w:t xml:space="preserve">-6 </w:t>
            </w:r>
            <w:r>
              <w:rPr>
                <w:rFonts w:hint="eastAsia"/>
                <w:b/>
                <w:bCs/>
                <w:szCs w:val="21"/>
              </w:rPr>
              <w:t xml:space="preserve">项目物料平衡表 </w:t>
            </w:r>
            <w:r>
              <w:rPr>
                <w:b/>
                <w:bCs/>
                <w:szCs w:val="21"/>
              </w:rPr>
              <w:t xml:space="preserve">  </w:t>
            </w:r>
            <w:r>
              <w:rPr>
                <w:rFonts w:hint="eastAsia"/>
                <w:b/>
                <w:bCs/>
                <w:szCs w:val="21"/>
              </w:rPr>
              <w:t>单位：t/a</w:t>
            </w:r>
          </w:p>
          <w:tbl>
            <w:tblPr>
              <w:tblStyle w:val="1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87"/>
              <w:gridCol w:w="1693"/>
              <w:gridCol w:w="2560"/>
              <w:gridCol w:w="17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280" w:type="dxa"/>
                  <w:gridSpan w:val="2"/>
                  <w:vAlign w:val="center"/>
                </w:tcPr>
                <w:p>
                  <w:pPr>
                    <w:spacing w:line="280" w:lineRule="exact"/>
                    <w:jc w:val="center"/>
                    <w:rPr>
                      <w:b/>
                      <w:szCs w:val="21"/>
                    </w:rPr>
                  </w:pPr>
                  <w:r>
                    <w:rPr>
                      <w:b/>
                      <w:szCs w:val="21"/>
                    </w:rPr>
                    <w:t>原料</w:t>
                  </w:r>
                </w:p>
              </w:tc>
              <w:tc>
                <w:tcPr>
                  <w:tcW w:w="4281" w:type="dxa"/>
                  <w:gridSpan w:val="2"/>
                  <w:vAlign w:val="center"/>
                </w:tcPr>
                <w:p>
                  <w:pPr>
                    <w:spacing w:line="280" w:lineRule="exact"/>
                    <w:jc w:val="center"/>
                    <w:rPr>
                      <w:b/>
                      <w:szCs w:val="21"/>
                    </w:rPr>
                  </w:pPr>
                  <w:r>
                    <w:rPr>
                      <w:b/>
                      <w:szCs w:val="21"/>
                    </w:rPr>
                    <w:t>产出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2587" w:type="dxa"/>
                  <w:vAlign w:val="center"/>
                </w:tcPr>
                <w:p>
                  <w:pPr>
                    <w:spacing w:line="280" w:lineRule="exact"/>
                    <w:jc w:val="center"/>
                    <w:rPr>
                      <w:b/>
                      <w:szCs w:val="21"/>
                    </w:rPr>
                  </w:pPr>
                  <w:r>
                    <w:rPr>
                      <w:b/>
                      <w:szCs w:val="21"/>
                    </w:rPr>
                    <w:t>名称</w:t>
                  </w:r>
                </w:p>
              </w:tc>
              <w:tc>
                <w:tcPr>
                  <w:tcW w:w="1693" w:type="dxa"/>
                  <w:vAlign w:val="center"/>
                </w:tcPr>
                <w:p>
                  <w:pPr>
                    <w:spacing w:line="280" w:lineRule="exact"/>
                    <w:jc w:val="center"/>
                    <w:rPr>
                      <w:b/>
                      <w:szCs w:val="21"/>
                    </w:rPr>
                  </w:pPr>
                  <w:r>
                    <w:rPr>
                      <w:b/>
                      <w:szCs w:val="21"/>
                    </w:rPr>
                    <w:t>数量</w:t>
                  </w:r>
                </w:p>
              </w:tc>
              <w:tc>
                <w:tcPr>
                  <w:tcW w:w="2560" w:type="dxa"/>
                  <w:vAlign w:val="center"/>
                </w:tcPr>
                <w:p>
                  <w:pPr>
                    <w:spacing w:line="280" w:lineRule="exact"/>
                    <w:jc w:val="center"/>
                    <w:rPr>
                      <w:b/>
                      <w:szCs w:val="21"/>
                    </w:rPr>
                  </w:pPr>
                  <w:r>
                    <w:rPr>
                      <w:rFonts w:hint="eastAsia"/>
                      <w:b/>
                      <w:szCs w:val="21"/>
                    </w:rPr>
                    <w:t>名称</w:t>
                  </w:r>
                </w:p>
              </w:tc>
              <w:tc>
                <w:tcPr>
                  <w:tcW w:w="1721" w:type="dxa"/>
                  <w:vAlign w:val="center"/>
                </w:tcPr>
                <w:p>
                  <w:pPr>
                    <w:spacing w:line="280" w:lineRule="exact"/>
                    <w:jc w:val="center"/>
                    <w:rPr>
                      <w:b/>
                      <w:szCs w:val="21"/>
                    </w:rPr>
                  </w:pPr>
                  <w:r>
                    <w:rPr>
                      <w:rFonts w:hint="eastAsia"/>
                      <w:b/>
                      <w:szCs w:val="21"/>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2587" w:type="dxa"/>
                  <w:vAlign w:val="center"/>
                </w:tcPr>
                <w:p>
                  <w:pPr>
                    <w:spacing w:line="280" w:lineRule="exact"/>
                    <w:jc w:val="center"/>
                    <w:rPr>
                      <w:szCs w:val="21"/>
                    </w:rPr>
                  </w:pPr>
                  <w:r>
                    <w:rPr>
                      <w:rFonts w:hint="eastAsia"/>
                      <w:szCs w:val="21"/>
                    </w:rPr>
                    <w:t>连砂石（含泥量1</w:t>
                  </w:r>
                  <w:r>
                    <w:rPr>
                      <w:szCs w:val="21"/>
                    </w:rPr>
                    <w:t>.5%</w:t>
                  </w:r>
                  <w:r>
                    <w:rPr>
                      <w:rFonts w:hint="eastAsia"/>
                      <w:szCs w:val="21"/>
                    </w:rPr>
                    <w:t>）</w:t>
                  </w:r>
                </w:p>
              </w:tc>
              <w:tc>
                <w:tcPr>
                  <w:tcW w:w="1693" w:type="dxa"/>
                  <w:vAlign w:val="center"/>
                </w:tcPr>
                <w:p>
                  <w:pPr>
                    <w:spacing w:line="280" w:lineRule="exact"/>
                    <w:jc w:val="center"/>
                    <w:rPr>
                      <w:szCs w:val="21"/>
                    </w:rPr>
                  </w:pPr>
                  <w:r>
                    <w:rPr>
                      <w:szCs w:val="21"/>
                    </w:rPr>
                    <w:t>1899637.03</w:t>
                  </w:r>
                </w:p>
              </w:tc>
              <w:tc>
                <w:tcPr>
                  <w:tcW w:w="2560" w:type="dxa"/>
                  <w:vAlign w:val="center"/>
                </w:tcPr>
                <w:p>
                  <w:pPr>
                    <w:spacing w:line="280" w:lineRule="exact"/>
                    <w:jc w:val="center"/>
                    <w:rPr>
                      <w:szCs w:val="21"/>
                    </w:rPr>
                  </w:pPr>
                  <w:r>
                    <w:rPr>
                      <w:rFonts w:hint="eastAsia"/>
                      <w:szCs w:val="21"/>
                    </w:rPr>
                    <w:t>产品</w:t>
                  </w:r>
                </w:p>
              </w:tc>
              <w:tc>
                <w:tcPr>
                  <w:tcW w:w="1721" w:type="dxa"/>
                  <w:vAlign w:val="center"/>
                </w:tcPr>
                <w:p>
                  <w:pPr>
                    <w:spacing w:line="280" w:lineRule="exact"/>
                    <w:jc w:val="center"/>
                    <w:rPr>
                      <w:szCs w:val="21"/>
                    </w:rPr>
                  </w:pPr>
                  <w:r>
                    <w:rPr>
                      <w:rFonts w:hint="eastAsia"/>
                      <w:szCs w:val="21"/>
                    </w:rPr>
                    <w:t>1</w:t>
                  </w:r>
                  <w:r>
                    <w:rPr>
                      <w:szCs w:val="21"/>
                    </w:rPr>
                    <w:t>870000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2587" w:type="dxa"/>
                  <w:vAlign w:val="center"/>
                </w:tcPr>
                <w:p>
                  <w:pPr>
                    <w:spacing w:line="280" w:lineRule="exact"/>
                    <w:jc w:val="center"/>
                    <w:rPr>
                      <w:szCs w:val="21"/>
                    </w:rPr>
                  </w:pPr>
                  <w:r>
                    <w:rPr>
                      <w:rFonts w:hint="eastAsia"/>
                      <w:szCs w:val="21"/>
                    </w:rPr>
                    <w:t>清水</w:t>
                  </w:r>
                </w:p>
              </w:tc>
              <w:tc>
                <w:tcPr>
                  <w:tcW w:w="1693" w:type="dxa"/>
                  <w:vAlign w:val="center"/>
                </w:tcPr>
                <w:p>
                  <w:pPr>
                    <w:spacing w:line="280" w:lineRule="exact"/>
                    <w:jc w:val="center"/>
                    <w:rPr>
                      <w:szCs w:val="21"/>
                    </w:rPr>
                  </w:pPr>
                  <w:r>
                    <w:rPr>
                      <w:szCs w:val="21"/>
                    </w:rPr>
                    <w:t>179351.4</w:t>
                  </w:r>
                </w:p>
              </w:tc>
              <w:tc>
                <w:tcPr>
                  <w:tcW w:w="2560" w:type="dxa"/>
                  <w:vAlign w:val="center"/>
                </w:tcPr>
                <w:p>
                  <w:pPr>
                    <w:spacing w:line="280" w:lineRule="exact"/>
                    <w:jc w:val="center"/>
                    <w:rPr>
                      <w:szCs w:val="21"/>
                    </w:rPr>
                  </w:pPr>
                  <w:r>
                    <w:rPr>
                      <w:rFonts w:hint="eastAsia"/>
                      <w:szCs w:val="21"/>
                    </w:rPr>
                    <w:t>泥饼（含水率6</w:t>
                  </w:r>
                  <w:r>
                    <w:rPr>
                      <w:szCs w:val="21"/>
                    </w:rPr>
                    <w:t>0%</w:t>
                  </w:r>
                  <w:r>
                    <w:rPr>
                      <w:rFonts w:hint="eastAsia"/>
                      <w:szCs w:val="21"/>
                    </w:rPr>
                    <w:t>）</w:t>
                  </w:r>
                </w:p>
              </w:tc>
              <w:tc>
                <w:tcPr>
                  <w:tcW w:w="1721" w:type="dxa"/>
                  <w:vAlign w:val="center"/>
                </w:tcPr>
                <w:p>
                  <w:pPr>
                    <w:spacing w:line="280" w:lineRule="exact"/>
                    <w:jc w:val="center"/>
                    <w:rPr>
                      <w:szCs w:val="21"/>
                    </w:rPr>
                  </w:pPr>
                  <w:r>
                    <w:rPr>
                      <w:rFonts w:hint="eastAsia"/>
                      <w:szCs w:val="21"/>
                    </w:rPr>
                    <w:t>6</w:t>
                  </w:r>
                  <w:r>
                    <w:rPr>
                      <w:szCs w:val="21"/>
                    </w:rPr>
                    <w:t>5497.46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2587" w:type="dxa"/>
                  <w:vAlign w:val="center"/>
                </w:tcPr>
                <w:p>
                  <w:pPr>
                    <w:spacing w:line="280" w:lineRule="exact"/>
                    <w:jc w:val="center"/>
                    <w:rPr>
                      <w:szCs w:val="21"/>
                    </w:rPr>
                  </w:pPr>
                </w:p>
              </w:tc>
              <w:tc>
                <w:tcPr>
                  <w:tcW w:w="1693" w:type="dxa"/>
                  <w:vAlign w:val="center"/>
                </w:tcPr>
                <w:p>
                  <w:pPr>
                    <w:spacing w:line="280" w:lineRule="exact"/>
                    <w:jc w:val="center"/>
                    <w:rPr>
                      <w:szCs w:val="21"/>
                    </w:rPr>
                  </w:pPr>
                </w:p>
              </w:tc>
              <w:tc>
                <w:tcPr>
                  <w:tcW w:w="2560" w:type="dxa"/>
                  <w:vAlign w:val="center"/>
                </w:tcPr>
                <w:p>
                  <w:pPr>
                    <w:spacing w:line="280" w:lineRule="exact"/>
                    <w:jc w:val="center"/>
                    <w:rPr>
                      <w:szCs w:val="21"/>
                    </w:rPr>
                  </w:pPr>
                  <w:r>
                    <w:rPr>
                      <w:rFonts w:hint="eastAsia"/>
                      <w:szCs w:val="21"/>
                    </w:rPr>
                    <w:t>损耗水</w:t>
                  </w:r>
                </w:p>
              </w:tc>
              <w:tc>
                <w:tcPr>
                  <w:tcW w:w="1721" w:type="dxa"/>
                  <w:vAlign w:val="center"/>
                </w:tcPr>
                <w:p>
                  <w:pPr>
                    <w:spacing w:line="280" w:lineRule="exact"/>
                    <w:jc w:val="center"/>
                    <w:rPr>
                      <w:szCs w:val="21"/>
                    </w:rPr>
                  </w:pPr>
                  <w:r>
                    <w:rPr>
                      <w:szCs w:val="21"/>
                    </w:rPr>
                    <w:t>142331.10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2587" w:type="dxa"/>
                  <w:vAlign w:val="center"/>
                </w:tcPr>
                <w:p>
                  <w:pPr>
                    <w:spacing w:line="280" w:lineRule="exact"/>
                    <w:jc w:val="center"/>
                    <w:rPr>
                      <w:szCs w:val="21"/>
                    </w:rPr>
                  </w:pPr>
                </w:p>
              </w:tc>
              <w:tc>
                <w:tcPr>
                  <w:tcW w:w="1693" w:type="dxa"/>
                  <w:vAlign w:val="center"/>
                </w:tcPr>
                <w:p>
                  <w:pPr>
                    <w:spacing w:line="280" w:lineRule="exact"/>
                    <w:jc w:val="center"/>
                    <w:rPr>
                      <w:szCs w:val="21"/>
                    </w:rPr>
                  </w:pPr>
                </w:p>
              </w:tc>
              <w:tc>
                <w:tcPr>
                  <w:tcW w:w="2560" w:type="dxa"/>
                  <w:vAlign w:val="center"/>
                </w:tcPr>
                <w:p>
                  <w:pPr>
                    <w:spacing w:line="280" w:lineRule="exact"/>
                    <w:jc w:val="center"/>
                    <w:rPr>
                      <w:szCs w:val="21"/>
                    </w:rPr>
                  </w:pPr>
                  <w:r>
                    <w:rPr>
                      <w:rFonts w:hint="eastAsia"/>
                      <w:szCs w:val="21"/>
                    </w:rPr>
                    <w:t>产生粉尘</w:t>
                  </w:r>
                </w:p>
              </w:tc>
              <w:tc>
                <w:tcPr>
                  <w:tcW w:w="1721" w:type="dxa"/>
                  <w:vAlign w:val="center"/>
                </w:tcPr>
                <w:p>
                  <w:pPr>
                    <w:spacing w:line="280" w:lineRule="exact"/>
                    <w:jc w:val="center"/>
                    <w:rPr>
                      <w:szCs w:val="21"/>
                    </w:rPr>
                  </w:pPr>
                  <w:r>
                    <w:rPr>
                      <w:rFonts w:hint="eastAsia"/>
                      <w:szCs w:val="21"/>
                    </w:rPr>
                    <w:t>1</w:t>
                  </w:r>
                  <w:r>
                    <w:rPr>
                      <w:szCs w:val="21"/>
                    </w:rPr>
                    <w:t>159.87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2587" w:type="dxa"/>
                  <w:vAlign w:val="center"/>
                </w:tcPr>
                <w:p>
                  <w:pPr>
                    <w:spacing w:line="280" w:lineRule="exact"/>
                    <w:jc w:val="center"/>
                    <w:rPr>
                      <w:szCs w:val="21"/>
                    </w:rPr>
                  </w:pPr>
                  <w:r>
                    <w:rPr>
                      <w:rFonts w:hint="eastAsia"/>
                      <w:szCs w:val="21"/>
                    </w:rPr>
                    <w:t>合计</w:t>
                  </w:r>
                </w:p>
              </w:tc>
              <w:tc>
                <w:tcPr>
                  <w:tcW w:w="1693" w:type="dxa"/>
                  <w:vAlign w:val="center"/>
                </w:tcPr>
                <w:p>
                  <w:pPr>
                    <w:spacing w:line="280" w:lineRule="exact"/>
                    <w:jc w:val="center"/>
                    <w:rPr>
                      <w:szCs w:val="21"/>
                    </w:rPr>
                  </w:pPr>
                  <w:r>
                    <w:rPr>
                      <w:szCs w:val="21"/>
                    </w:rPr>
                    <w:t>2078988.43</w:t>
                  </w:r>
                </w:p>
              </w:tc>
              <w:tc>
                <w:tcPr>
                  <w:tcW w:w="2560" w:type="dxa"/>
                  <w:vAlign w:val="center"/>
                </w:tcPr>
                <w:p>
                  <w:pPr>
                    <w:spacing w:line="280" w:lineRule="exact"/>
                    <w:jc w:val="center"/>
                    <w:rPr>
                      <w:szCs w:val="21"/>
                    </w:rPr>
                  </w:pPr>
                  <w:r>
                    <w:rPr>
                      <w:rFonts w:hint="eastAsia"/>
                      <w:szCs w:val="21"/>
                    </w:rPr>
                    <w:t>/</w:t>
                  </w:r>
                </w:p>
              </w:tc>
              <w:tc>
                <w:tcPr>
                  <w:tcW w:w="1721" w:type="dxa"/>
                  <w:vAlign w:val="center"/>
                </w:tcPr>
                <w:p>
                  <w:pPr>
                    <w:spacing w:line="280" w:lineRule="exact"/>
                    <w:jc w:val="center"/>
                    <w:rPr>
                      <w:szCs w:val="21"/>
                    </w:rPr>
                  </w:pPr>
                  <w:r>
                    <w:rPr>
                      <w:szCs w:val="21"/>
                    </w:rPr>
                    <w:t>2078988.43</w:t>
                  </w:r>
                </w:p>
              </w:tc>
            </w:tr>
          </w:tbl>
          <w:p>
            <w:pPr>
              <w:pStyle w:val="7"/>
              <w:spacing w:before="120" w:beforeLines="50" w:after="0" w:line="360" w:lineRule="auto"/>
              <w:ind w:left="0" w:leftChars="0" w:firstLine="482" w:firstLineChars="200"/>
              <w:rPr>
                <w:b/>
                <w:bCs/>
                <w:color w:val="000000"/>
              </w:rPr>
            </w:pPr>
            <w:r>
              <w:rPr>
                <w:b/>
                <w:bCs/>
                <w:color w:val="000000"/>
              </w:rPr>
              <w:t>4</w:t>
            </w:r>
            <w:r>
              <w:rPr>
                <w:rFonts w:hint="eastAsia"/>
                <w:b/>
                <w:bCs/>
                <w:color w:val="000000"/>
              </w:rPr>
              <w:t>、运营期主要污染工序</w:t>
            </w:r>
          </w:p>
          <w:p>
            <w:pPr>
              <w:pStyle w:val="7"/>
              <w:spacing w:after="0" w:line="360" w:lineRule="auto"/>
              <w:ind w:left="0" w:leftChars="0" w:firstLine="480" w:firstLineChars="200"/>
              <w:jc w:val="left"/>
              <w:rPr>
                <w:bCs/>
                <w:color w:val="000000"/>
              </w:rPr>
            </w:pPr>
            <w:r>
              <w:rPr>
                <w:rFonts w:hint="eastAsia"/>
                <w:bCs/>
                <w:color w:val="000000"/>
              </w:rPr>
              <w:t>根据项目工艺流程分析，项目运营期产生的主要污染物有：</w:t>
            </w:r>
          </w:p>
          <w:p>
            <w:pPr>
              <w:pStyle w:val="38"/>
              <w:wordWrap/>
              <w:ind w:firstLine="480"/>
              <w:rPr>
                <w:color w:val="000000"/>
              </w:rPr>
            </w:pPr>
            <w:r>
              <w:rPr>
                <w:rFonts w:hint="eastAsia"/>
                <w:color w:val="000000"/>
              </w:rPr>
              <w:t>废水：洗砂废水、车辆冲洗</w:t>
            </w:r>
            <w:r>
              <w:rPr>
                <w:rFonts w:hint="eastAsia"/>
                <w:bCs/>
                <w:color w:val="000000"/>
                <w:szCs w:val="21"/>
              </w:rPr>
              <w:t>废水、</w:t>
            </w:r>
            <w:r>
              <w:rPr>
                <w:rFonts w:hint="eastAsia"/>
                <w:color w:val="000000"/>
              </w:rPr>
              <w:t>生活污水；</w:t>
            </w:r>
          </w:p>
          <w:p>
            <w:pPr>
              <w:pStyle w:val="38"/>
              <w:wordWrap/>
              <w:ind w:firstLine="480"/>
              <w:jc w:val="both"/>
              <w:rPr>
                <w:color w:val="000000"/>
              </w:rPr>
            </w:pPr>
            <w:r>
              <w:rPr>
                <w:rFonts w:hint="eastAsia"/>
                <w:color w:val="000000"/>
              </w:rPr>
              <w:t>废气：上料粉尘、破碎和筛分粉尘、运输扬尘、装卸和堆存粉尘、车辆尾气；</w:t>
            </w:r>
          </w:p>
          <w:p>
            <w:pPr>
              <w:pStyle w:val="38"/>
              <w:wordWrap/>
              <w:ind w:firstLine="480"/>
              <w:rPr>
                <w:color w:val="000000"/>
              </w:rPr>
            </w:pPr>
            <w:r>
              <w:rPr>
                <w:rFonts w:hint="eastAsia"/>
                <w:color w:val="000000"/>
              </w:rPr>
              <w:t>噪声：设备噪声；</w:t>
            </w:r>
          </w:p>
          <w:p>
            <w:pPr>
              <w:pStyle w:val="38"/>
              <w:wordWrap/>
              <w:ind w:firstLine="480"/>
              <w:rPr>
                <w:color w:val="000000"/>
              </w:rPr>
            </w:pPr>
            <w:r>
              <w:rPr>
                <w:rFonts w:hint="eastAsia"/>
                <w:color w:val="000000"/>
              </w:rPr>
              <w:t>固废：生活垃圾、浓密罐污泥、</w:t>
            </w:r>
            <w:r>
              <w:rPr>
                <w:rFonts w:hint="eastAsia" w:hAnsi="宋体"/>
              </w:rPr>
              <w:t>设备检修废油</w:t>
            </w:r>
            <w:r>
              <w:rPr>
                <w:rFonts w:hint="eastAsia"/>
                <w:color w:val="000000"/>
              </w:rPr>
              <w:t>。</w:t>
            </w:r>
          </w:p>
          <w:p>
            <w:pPr>
              <w:spacing w:line="360" w:lineRule="auto"/>
              <w:ind w:firstLine="480" w:firstLineChars="200"/>
              <w:jc w:val="left"/>
              <w:rPr>
                <w:b/>
                <w:bCs/>
                <w:color w:val="000000"/>
                <w:szCs w:val="21"/>
              </w:rPr>
            </w:pPr>
            <w:r>
              <w:rPr>
                <w:color w:val="000000"/>
                <w:sz w:val="24"/>
              </w:rPr>
              <w:t>根据以上分析，项目产污环节如下</w:t>
            </w:r>
            <w:r>
              <w:rPr>
                <w:rFonts w:hint="eastAsia"/>
                <w:color w:val="000000"/>
                <w:sz w:val="24"/>
              </w:rPr>
              <w:t>表所示。</w:t>
            </w:r>
          </w:p>
          <w:p>
            <w:pPr>
              <w:adjustRightInd w:val="0"/>
              <w:snapToGrid w:val="0"/>
              <w:ind w:firstLine="422" w:firstLineChars="200"/>
              <w:jc w:val="center"/>
              <w:rPr>
                <w:b/>
                <w:bCs/>
                <w:color w:val="000000"/>
                <w:szCs w:val="21"/>
              </w:rPr>
            </w:pPr>
            <w:r>
              <w:rPr>
                <w:b/>
                <w:bCs/>
                <w:color w:val="000000"/>
                <w:szCs w:val="21"/>
              </w:rPr>
              <w:t>表</w:t>
            </w:r>
            <w:r>
              <w:rPr>
                <w:rFonts w:hint="eastAsia"/>
                <w:b/>
                <w:bCs/>
                <w:color w:val="000000"/>
                <w:szCs w:val="21"/>
              </w:rPr>
              <w:t>2-</w:t>
            </w:r>
            <w:r>
              <w:rPr>
                <w:b/>
                <w:bCs/>
                <w:color w:val="000000"/>
                <w:szCs w:val="21"/>
              </w:rPr>
              <w:t>6 产污环节汇总一览表</w:t>
            </w:r>
          </w:p>
          <w:tbl>
            <w:tblPr>
              <w:tblStyle w:val="14"/>
              <w:tblW w:w="8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488"/>
              <w:gridCol w:w="1967"/>
              <w:gridCol w:w="4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7" w:type="dxa"/>
                  <w:tcBorders>
                    <w:top w:val="single" w:color="auto" w:sz="12" w:space="0"/>
                    <w:left w:val="nil"/>
                  </w:tcBorders>
                  <w:vAlign w:val="center"/>
                </w:tcPr>
                <w:p>
                  <w:pPr>
                    <w:adjustRightInd w:val="0"/>
                    <w:jc w:val="center"/>
                    <w:rPr>
                      <w:b/>
                      <w:color w:val="000000"/>
                      <w:szCs w:val="21"/>
                    </w:rPr>
                  </w:pPr>
                  <w:r>
                    <w:rPr>
                      <w:b/>
                      <w:color w:val="000000"/>
                      <w:szCs w:val="21"/>
                    </w:rPr>
                    <w:t>类别</w:t>
                  </w:r>
                </w:p>
              </w:tc>
              <w:tc>
                <w:tcPr>
                  <w:tcW w:w="1488" w:type="dxa"/>
                  <w:tcBorders>
                    <w:top w:val="single" w:color="auto" w:sz="12" w:space="0"/>
                  </w:tcBorders>
                  <w:vAlign w:val="center"/>
                </w:tcPr>
                <w:p>
                  <w:pPr>
                    <w:adjustRightInd w:val="0"/>
                    <w:jc w:val="center"/>
                    <w:rPr>
                      <w:b/>
                      <w:color w:val="000000"/>
                      <w:szCs w:val="21"/>
                    </w:rPr>
                  </w:pPr>
                  <w:r>
                    <w:rPr>
                      <w:b/>
                      <w:color w:val="000000"/>
                      <w:szCs w:val="21"/>
                    </w:rPr>
                    <w:t>主要产生环节</w:t>
                  </w:r>
                </w:p>
              </w:tc>
              <w:tc>
                <w:tcPr>
                  <w:tcW w:w="1967" w:type="dxa"/>
                  <w:tcBorders>
                    <w:top w:val="single" w:color="auto" w:sz="12" w:space="0"/>
                  </w:tcBorders>
                  <w:vAlign w:val="center"/>
                </w:tcPr>
                <w:p>
                  <w:pPr>
                    <w:adjustRightInd w:val="0"/>
                    <w:jc w:val="center"/>
                    <w:rPr>
                      <w:b/>
                      <w:color w:val="000000"/>
                      <w:szCs w:val="21"/>
                    </w:rPr>
                  </w:pPr>
                  <w:r>
                    <w:rPr>
                      <w:b/>
                      <w:color w:val="000000"/>
                      <w:szCs w:val="21"/>
                    </w:rPr>
                    <w:t>主要污染物</w:t>
                  </w:r>
                </w:p>
              </w:tc>
              <w:tc>
                <w:tcPr>
                  <w:tcW w:w="4414" w:type="dxa"/>
                  <w:tcBorders>
                    <w:top w:val="single" w:color="auto" w:sz="12" w:space="0"/>
                    <w:right w:val="nil"/>
                  </w:tcBorders>
                  <w:vAlign w:val="center"/>
                </w:tcPr>
                <w:p>
                  <w:pPr>
                    <w:adjustRightInd w:val="0"/>
                    <w:jc w:val="center"/>
                    <w:rPr>
                      <w:b/>
                      <w:color w:val="000000"/>
                      <w:szCs w:val="21"/>
                    </w:rPr>
                  </w:pPr>
                  <w:r>
                    <w:rPr>
                      <w:b/>
                      <w:color w:val="000000"/>
                      <w:szCs w:val="21"/>
                    </w:rPr>
                    <w:t>处理措施</w:t>
                  </w:r>
                  <w:r>
                    <w:rPr>
                      <w:rFonts w:hint="eastAsia"/>
                      <w:b/>
                      <w:color w:val="000000"/>
                      <w:szCs w:val="21"/>
                    </w:rPr>
                    <w:t>、</w:t>
                  </w:r>
                  <w:r>
                    <w:rPr>
                      <w:b/>
                      <w:color w:val="000000"/>
                      <w:szCs w:val="21"/>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7" w:type="dxa"/>
                  <w:vMerge w:val="restart"/>
                  <w:tcBorders>
                    <w:left w:val="nil"/>
                  </w:tcBorders>
                  <w:vAlign w:val="center"/>
                </w:tcPr>
                <w:p>
                  <w:pPr>
                    <w:adjustRightInd w:val="0"/>
                    <w:jc w:val="center"/>
                    <w:rPr>
                      <w:bCs/>
                      <w:color w:val="000000"/>
                      <w:szCs w:val="21"/>
                    </w:rPr>
                  </w:pPr>
                  <w:r>
                    <w:rPr>
                      <w:rFonts w:hint="eastAsia"/>
                      <w:bCs/>
                      <w:color w:val="000000"/>
                      <w:szCs w:val="21"/>
                    </w:rPr>
                    <w:t>废水</w:t>
                  </w:r>
                </w:p>
              </w:tc>
              <w:tc>
                <w:tcPr>
                  <w:tcW w:w="1488" w:type="dxa"/>
                  <w:vAlign w:val="center"/>
                </w:tcPr>
                <w:p>
                  <w:pPr>
                    <w:adjustRightInd w:val="0"/>
                    <w:jc w:val="center"/>
                    <w:rPr>
                      <w:bCs/>
                      <w:color w:val="000000"/>
                      <w:szCs w:val="21"/>
                    </w:rPr>
                  </w:pPr>
                  <w:r>
                    <w:rPr>
                      <w:rFonts w:hint="eastAsia"/>
                      <w:bCs/>
                      <w:color w:val="000000"/>
                      <w:szCs w:val="21"/>
                    </w:rPr>
                    <w:t>员工生活污水</w:t>
                  </w:r>
                </w:p>
              </w:tc>
              <w:tc>
                <w:tcPr>
                  <w:tcW w:w="1967" w:type="dxa"/>
                  <w:vAlign w:val="center"/>
                </w:tcPr>
                <w:p>
                  <w:pPr>
                    <w:pStyle w:val="36"/>
                    <w:rPr>
                      <w:color w:val="000000"/>
                    </w:rPr>
                  </w:pPr>
                  <w:r>
                    <w:rPr>
                      <w:rFonts w:hint="eastAsia"/>
                      <w:color w:val="000000"/>
                    </w:rPr>
                    <w:t>SS、COD、NH</w:t>
                  </w:r>
                  <w:r>
                    <w:rPr>
                      <w:rFonts w:hint="eastAsia"/>
                      <w:color w:val="000000"/>
                      <w:vertAlign w:val="subscript"/>
                    </w:rPr>
                    <w:t>3</w:t>
                  </w:r>
                  <w:r>
                    <w:rPr>
                      <w:rFonts w:hint="eastAsia"/>
                      <w:color w:val="000000"/>
                    </w:rPr>
                    <w:t>-N</w:t>
                  </w:r>
                </w:p>
              </w:tc>
              <w:tc>
                <w:tcPr>
                  <w:tcW w:w="4414" w:type="dxa"/>
                  <w:tcBorders>
                    <w:right w:val="nil"/>
                  </w:tcBorders>
                  <w:vAlign w:val="center"/>
                </w:tcPr>
                <w:p>
                  <w:pPr>
                    <w:jc w:val="center"/>
                    <w:rPr>
                      <w:rFonts w:ascii="Calibri" w:hAnsi="宋体" w:cs="宋体"/>
                      <w:color w:val="000000"/>
                      <w:szCs w:val="21"/>
                    </w:rPr>
                  </w:pPr>
                  <w:r>
                    <w:rPr>
                      <w:rFonts w:hint="eastAsia"/>
                    </w:rPr>
                    <w:t>依托附近既有污水处理设施处理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7" w:type="dxa"/>
                  <w:vMerge w:val="continue"/>
                  <w:tcBorders>
                    <w:left w:val="nil"/>
                  </w:tcBorders>
                  <w:vAlign w:val="center"/>
                </w:tcPr>
                <w:p>
                  <w:pPr>
                    <w:adjustRightInd w:val="0"/>
                    <w:jc w:val="center"/>
                    <w:rPr>
                      <w:bCs/>
                      <w:color w:val="000000"/>
                      <w:szCs w:val="21"/>
                    </w:rPr>
                  </w:pPr>
                </w:p>
              </w:tc>
              <w:tc>
                <w:tcPr>
                  <w:tcW w:w="1488" w:type="dxa"/>
                  <w:vAlign w:val="center"/>
                </w:tcPr>
                <w:p>
                  <w:pPr>
                    <w:adjustRightInd w:val="0"/>
                    <w:jc w:val="center"/>
                    <w:rPr>
                      <w:bCs/>
                      <w:color w:val="000000"/>
                      <w:szCs w:val="21"/>
                    </w:rPr>
                  </w:pPr>
                  <w:r>
                    <w:rPr>
                      <w:rFonts w:hint="eastAsia"/>
                      <w:szCs w:val="21"/>
                    </w:rPr>
                    <w:t>洗砂废水</w:t>
                  </w:r>
                </w:p>
              </w:tc>
              <w:tc>
                <w:tcPr>
                  <w:tcW w:w="1967" w:type="dxa"/>
                  <w:vMerge w:val="restart"/>
                  <w:vAlign w:val="center"/>
                </w:tcPr>
                <w:p>
                  <w:pPr>
                    <w:pStyle w:val="36"/>
                    <w:rPr>
                      <w:color w:val="000000"/>
                    </w:rPr>
                  </w:pPr>
                  <w:r>
                    <w:rPr>
                      <w:rFonts w:hint="eastAsia"/>
                      <w:color w:val="000000"/>
                    </w:rPr>
                    <w:t>SS</w:t>
                  </w:r>
                </w:p>
              </w:tc>
              <w:tc>
                <w:tcPr>
                  <w:tcW w:w="4414" w:type="dxa"/>
                  <w:vMerge w:val="restart"/>
                  <w:tcBorders>
                    <w:right w:val="nil"/>
                  </w:tcBorders>
                  <w:vAlign w:val="center"/>
                </w:tcPr>
                <w:p>
                  <w:pPr>
                    <w:jc w:val="center"/>
                    <w:rPr>
                      <w:rFonts w:ascii="Calibri" w:hAnsi="宋体" w:cs="宋体"/>
                      <w:color w:val="000000"/>
                      <w:szCs w:val="21"/>
                    </w:rPr>
                  </w:pPr>
                  <w:r>
                    <w:rPr>
                      <w:rFonts w:hint="eastAsia" w:ascii="Calibri" w:hAnsi="宋体" w:cs="宋体"/>
                      <w:color w:val="000000"/>
                      <w:szCs w:val="21"/>
                    </w:rPr>
                    <w:t>设置导流沟及管道，将生产废水导流至污水收集池，再通过浓缩罐（一台，处理能力250m³/h）处理后，清水进入清水池，用水泵抽回用于生产，不外排。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7" w:type="dxa"/>
                  <w:vMerge w:val="continue"/>
                  <w:tcBorders>
                    <w:left w:val="nil"/>
                  </w:tcBorders>
                  <w:vAlign w:val="center"/>
                </w:tcPr>
                <w:p>
                  <w:pPr>
                    <w:adjustRightInd w:val="0"/>
                    <w:jc w:val="center"/>
                    <w:rPr>
                      <w:bCs/>
                      <w:color w:val="000000"/>
                      <w:szCs w:val="21"/>
                    </w:rPr>
                  </w:pPr>
                </w:p>
              </w:tc>
              <w:tc>
                <w:tcPr>
                  <w:tcW w:w="1488" w:type="dxa"/>
                  <w:vAlign w:val="center"/>
                </w:tcPr>
                <w:p>
                  <w:pPr>
                    <w:adjustRightInd w:val="0"/>
                    <w:jc w:val="center"/>
                    <w:rPr>
                      <w:bCs/>
                      <w:color w:val="000000"/>
                      <w:szCs w:val="21"/>
                    </w:rPr>
                  </w:pPr>
                  <w:r>
                    <w:rPr>
                      <w:rFonts w:hint="eastAsia"/>
                      <w:szCs w:val="21"/>
                    </w:rPr>
                    <w:t>车辆冲洗废水</w:t>
                  </w:r>
                </w:p>
              </w:tc>
              <w:tc>
                <w:tcPr>
                  <w:tcW w:w="1967" w:type="dxa"/>
                  <w:vMerge w:val="continue"/>
                  <w:vAlign w:val="center"/>
                </w:tcPr>
                <w:p>
                  <w:pPr>
                    <w:pStyle w:val="36"/>
                    <w:rPr>
                      <w:color w:val="000000"/>
                    </w:rPr>
                  </w:pPr>
                </w:p>
              </w:tc>
              <w:tc>
                <w:tcPr>
                  <w:tcW w:w="4414" w:type="dxa"/>
                  <w:vMerge w:val="continue"/>
                  <w:tcBorders>
                    <w:right w:val="nil"/>
                  </w:tcBorders>
                  <w:vAlign w:val="center"/>
                </w:tcPr>
                <w:p>
                  <w:pPr>
                    <w:jc w:val="center"/>
                    <w:rPr>
                      <w:rFonts w:ascii="Calibri"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67" w:type="dxa"/>
                  <w:vMerge w:val="restart"/>
                  <w:tcBorders>
                    <w:left w:val="nil"/>
                  </w:tcBorders>
                  <w:vAlign w:val="center"/>
                </w:tcPr>
                <w:p>
                  <w:pPr>
                    <w:adjustRightInd w:val="0"/>
                    <w:jc w:val="center"/>
                    <w:rPr>
                      <w:color w:val="000000"/>
                      <w:szCs w:val="21"/>
                    </w:rPr>
                  </w:pPr>
                  <w:r>
                    <w:rPr>
                      <w:rFonts w:hint="eastAsia"/>
                      <w:color w:val="000000"/>
                      <w:szCs w:val="21"/>
                    </w:rPr>
                    <w:t>废气</w:t>
                  </w:r>
                </w:p>
              </w:tc>
              <w:tc>
                <w:tcPr>
                  <w:tcW w:w="1488" w:type="dxa"/>
                  <w:vAlign w:val="center"/>
                </w:tcPr>
                <w:p>
                  <w:pPr>
                    <w:pStyle w:val="47"/>
                  </w:pPr>
                  <w:r>
                    <w:rPr>
                      <w:rFonts w:hint="eastAsia"/>
                      <w:color w:val="000000"/>
                    </w:rPr>
                    <w:t>投料粉尘</w:t>
                  </w:r>
                </w:p>
              </w:tc>
              <w:tc>
                <w:tcPr>
                  <w:tcW w:w="1967" w:type="dxa"/>
                  <w:vMerge w:val="restart"/>
                  <w:vAlign w:val="center"/>
                </w:tcPr>
                <w:p>
                  <w:pPr>
                    <w:adjustRightInd w:val="0"/>
                    <w:jc w:val="center"/>
                    <w:rPr>
                      <w:color w:val="000000"/>
                      <w:szCs w:val="21"/>
                    </w:rPr>
                  </w:pPr>
                  <w:r>
                    <w:rPr>
                      <w:rFonts w:hint="eastAsia"/>
                      <w:color w:val="000000"/>
                      <w:szCs w:val="21"/>
                    </w:rPr>
                    <w:t>颗粒物</w:t>
                  </w:r>
                </w:p>
              </w:tc>
              <w:tc>
                <w:tcPr>
                  <w:tcW w:w="4414" w:type="dxa"/>
                  <w:tcBorders>
                    <w:right w:val="nil"/>
                  </w:tcBorders>
                  <w:vAlign w:val="center"/>
                </w:tcPr>
                <w:p>
                  <w:pPr>
                    <w:pStyle w:val="47"/>
                  </w:pPr>
                  <w:r>
                    <w:rPr>
                      <w:rFonts w:hint="eastAsia"/>
                    </w:rPr>
                    <w:t>采用地坑投料，对投料区域采取三面一顶封闭措施，并在进料口设置雾炮机喷雾降尘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67" w:type="dxa"/>
                  <w:vMerge w:val="continue"/>
                  <w:tcBorders>
                    <w:left w:val="nil"/>
                  </w:tcBorders>
                  <w:vAlign w:val="center"/>
                </w:tcPr>
                <w:p>
                  <w:pPr>
                    <w:adjustRightInd w:val="0"/>
                    <w:jc w:val="center"/>
                    <w:rPr>
                      <w:color w:val="000000"/>
                      <w:szCs w:val="21"/>
                    </w:rPr>
                  </w:pPr>
                </w:p>
              </w:tc>
              <w:tc>
                <w:tcPr>
                  <w:tcW w:w="1488" w:type="dxa"/>
                  <w:vAlign w:val="center"/>
                </w:tcPr>
                <w:p>
                  <w:pPr>
                    <w:pStyle w:val="47"/>
                  </w:pPr>
                  <w:r>
                    <w:rPr>
                      <w:rFonts w:hint="eastAsia"/>
                    </w:rPr>
                    <w:t>破碎和筛分粉尘</w:t>
                  </w:r>
                </w:p>
              </w:tc>
              <w:tc>
                <w:tcPr>
                  <w:tcW w:w="1967" w:type="dxa"/>
                  <w:vMerge w:val="continue"/>
                  <w:vAlign w:val="center"/>
                </w:tcPr>
                <w:p>
                  <w:pPr>
                    <w:adjustRightInd w:val="0"/>
                    <w:jc w:val="center"/>
                    <w:rPr>
                      <w:color w:val="000000"/>
                      <w:szCs w:val="21"/>
                    </w:rPr>
                  </w:pPr>
                </w:p>
              </w:tc>
              <w:tc>
                <w:tcPr>
                  <w:tcW w:w="4414" w:type="dxa"/>
                  <w:tcBorders>
                    <w:right w:val="nil"/>
                  </w:tcBorders>
                  <w:vAlign w:val="center"/>
                </w:tcPr>
                <w:p>
                  <w:pPr>
                    <w:pStyle w:val="47"/>
                  </w:pPr>
                  <w:r>
                    <w:rPr>
                      <w:rFonts w:hint="eastAsia"/>
                    </w:rPr>
                    <w:t>全封闭生产车间，并设置屋顶喷雾降尘；湿法作业，加水使物料保持湿润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67" w:type="dxa"/>
                  <w:vMerge w:val="continue"/>
                  <w:tcBorders>
                    <w:left w:val="nil"/>
                  </w:tcBorders>
                  <w:vAlign w:val="center"/>
                </w:tcPr>
                <w:p>
                  <w:pPr>
                    <w:pStyle w:val="50"/>
                    <w:rPr>
                      <w:color w:val="000000"/>
                      <w:szCs w:val="21"/>
                    </w:rPr>
                  </w:pPr>
                </w:p>
              </w:tc>
              <w:tc>
                <w:tcPr>
                  <w:tcW w:w="1488" w:type="dxa"/>
                  <w:vAlign w:val="center"/>
                </w:tcPr>
                <w:p>
                  <w:pPr>
                    <w:pStyle w:val="47"/>
                  </w:pPr>
                  <w:r>
                    <w:rPr>
                      <w:rFonts w:hint="eastAsia"/>
                    </w:rPr>
                    <w:t>装卸和堆存粉尘</w:t>
                  </w:r>
                </w:p>
              </w:tc>
              <w:tc>
                <w:tcPr>
                  <w:tcW w:w="1967" w:type="dxa"/>
                  <w:vMerge w:val="continue"/>
                  <w:vAlign w:val="center"/>
                </w:tcPr>
                <w:p>
                  <w:pPr>
                    <w:adjustRightInd w:val="0"/>
                    <w:jc w:val="center"/>
                    <w:rPr>
                      <w:color w:val="000000"/>
                      <w:szCs w:val="21"/>
                    </w:rPr>
                  </w:pPr>
                </w:p>
              </w:tc>
              <w:tc>
                <w:tcPr>
                  <w:tcW w:w="4414" w:type="dxa"/>
                  <w:tcBorders>
                    <w:right w:val="nil"/>
                  </w:tcBorders>
                  <w:vAlign w:val="center"/>
                </w:tcPr>
                <w:p>
                  <w:pPr>
                    <w:pStyle w:val="47"/>
                  </w:pPr>
                  <w:r>
                    <w:rPr>
                      <w:rFonts w:hint="eastAsia"/>
                    </w:rPr>
                    <w:t>洒水降尘，堆场四周围挡，覆盖防尘网，出入车辆冲洗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7" w:type="dxa"/>
                  <w:vMerge w:val="continue"/>
                  <w:tcBorders>
                    <w:left w:val="nil"/>
                  </w:tcBorders>
                  <w:vAlign w:val="center"/>
                </w:tcPr>
                <w:p>
                  <w:pPr>
                    <w:pStyle w:val="50"/>
                    <w:rPr>
                      <w:color w:val="000000"/>
                      <w:szCs w:val="21"/>
                    </w:rPr>
                  </w:pPr>
                </w:p>
              </w:tc>
              <w:tc>
                <w:tcPr>
                  <w:tcW w:w="1488" w:type="dxa"/>
                  <w:vAlign w:val="center"/>
                </w:tcPr>
                <w:p>
                  <w:pPr>
                    <w:pStyle w:val="47"/>
                  </w:pPr>
                  <w:r>
                    <w:rPr>
                      <w:rFonts w:hint="eastAsia"/>
                      <w:color w:val="000000"/>
                    </w:rPr>
                    <w:t>运输扬尘</w:t>
                  </w:r>
                </w:p>
              </w:tc>
              <w:tc>
                <w:tcPr>
                  <w:tcW w:w="1967" w:type="dxa"/>
                  <w:vMerge w:val="continue"/>
                  <w:vAlign w:val="center"/>
                </w:tcPr>
                <w:p>
                  <w:pPr>
                    <w:adjustRightInd w:val="0"/>
                    <w:jc w:val="center"/>
                    <w:rPr>
                      <w:color w:val="000000"/>
                      <w:szCs w:val="21"/>
                    </w:rPr>
                  </w:pPr>
                </w:p>
              </w:tc>
              <w:tc>
                <w:tcPr>
                  <w:tcW w:w="4414" w:type="dxa"/>
                  <w:tcBorders>
                    <w:right w:val="nil"/>
                  </w:tcBorders>
                  <w:vAlign w:val="center"/>
                </w:tcPr>
                <w:p>
                  <w:pPr>
                    <w:pStyle w:val="65"/>
                    <w:rPr>
                      <w:rFonts w:cs="Times New Roman"/>
                    </w:rPr>
                  </w:pPr>
                  <w:r>
                    <w:rPr>
                      <w:rFonts w:hint="eastAsia" w:cs="Times New Roman"/>
                    </w:rPr>
                    <w:t>道路硬化，及时清扫，经常洒水，车辆减速行驶，出入车辆冲洗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7" w:type="dxa"/>
                  <w:vMerge w:val="continue"/>
                  <w:tcBorders>
                    <w:left w:val="nil"/>
                  </w:tcBorders>
                  <w:vAlign w:val="center"/>
                </w:tcPr>
                <w:p>
                  <w:pPr>
                    <w:pStyle w:val="50"/>
                    <w:rPr>
                      <w:color w:val="000000"/>
                      <w:szCs w:val="21"/>
                    </w:rPr>
                  </w:pPr>
                </w:p>
              </w:tc>
              <w:tc>
                <w:tcPr>
                  <w:tcW w:w="1488" w:type="dxa"/>
                  <w:vAlign w:val="center"/>
                </w:tcPr>
                <w:p>
                  <w:pPr>
                    <w:pStyle w:val="47"/>
                  </w:pPr>
                  <w:r>
                    <w:rPr>
                      <w:rFonts w:hint="eastAsia"/>
                    </w:rPr>
                    <w:t>车辆尾气</w:t>
                  </w:r>
                </w:p>
              </w:tc>
              <w:tc>
                <w:tcPr>
                  <w:tcW w:w="1967" w:type="dxa"/>
                  <w:vAlign w:val="center"/>
                </w:tcPr>
                <w:p>
                  <w:pPr>
                    <w:adjustRightInd w:val="0"/>
                    <w:jc w:val="center"/>
                    <w:rPr>
                      <w:color w:val="000000"/>
                      <w:szCs w:val="21"/>
                    </w:rPr>
                  </w:pPr>
                  <w:r>
                    <w:rPr>
                      <w:rFonts w:hint="eastAsia"/>
                      <w:color w:val="000000"/>
                      <w:szCs w:val="21"/>
                    </w:rPr>
                    <w:t>/</w:t>
                  </w:r>
                </w:p>
              </w:tc>
              <w:tc>
                <w:tcPr>
                  <w:tcW w:w="4414" w:type="dxa"/>
                  <w:tcBorders>
                    <w:right w:val="nil"/>
                  </w:tcBorders>
                  <w:vAlign w:val="center"/>
                </w:tcPr>
                <w:p>
                  <w:pPr>
                    <w:pStyle w:val="47"/>
                  </w:pPr>
                  <w:r>
                    <w:rPr>
                      <w:rFonts w:hint="eastAsia"/>
                    </w:rPr>
                    <w:t>限制车速，使用排放达标机械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67" w:type="dxa"/>
                  <w:vMerge w:val="restart"/>
                  <w:tcBorders>
                    <w:left w:val="nil"/>
                  </w:tcBorders>
                  <w:vAlign w:val="center"/>
                </w:tcPr>
                <w:p>
                  <w:pPr>
                    <w:adjustRightInd w:val="0"/>
                    <w:jc w:val="center"/>
                    <w:rPr>
                      <w:color w:val="000000"/>
                      <w:szCs w:val="21"/>
                    </w:rPr>
                  </w:pPr>
                  <w:r>
                    <w:rPr>
                      <w:rFonts w:hint="eastAsia"/>
                      <w:color w:val="000000"/>
                      <w:szCs w:val="21"/>
                    </w:rPr>
                    <w:t>固废</w:t>
                  </w:r>
                </w:p>
              </w:tc>
              <w:tc>
                <w:tcPr>
                  <w:tcW w:w="1488" w:type="dxa"/>
                  <w:vAlign w:val="center"/>
                </w:tcPr>
                <w:p>
                  <w:pPr>
                    <w:pStyle w:val="47"/>
                    <w:rPr>
                      <w:rFonts w:hAnsi="宋体"/>
                    </w:rPr>
                  </w:pPr>
                  <w:r>
                    <w:rPr>
                      <w:rFonts w:hint="eastAsia" w:hAnsi="宋体"/>
                    </w:rPr>
                    <w:t>生活垃圾</w:t>
                  </w:r>
                </w:p>
              </w:tc>
              <w:tc>
                <w:tcPr>
                  <w:tcW w:w="1967" w:type="dxa"/>
                  <w:vAlign w:val="center"/>
                </w:tcPr>
                <w:p>
                  <w:pPr>
                    <w:tabs>
                      <w:tab w:val="right" w:leader="dot" w:pos="8834"/>
                    </w:tabs>
                    <w:jc w:val="center"/>
                    <w:rPr>
                      <w:bCs/>
                      <w:color w:val="000000"/>
                      <w:szCs w:val="21"/>
                    </w:rPr>
                  </w:pPr>
                  <w:r>
                    <w:rPr>
                      <w:rFonts w:hint="eastAsia"/>
                      <w:bCs/>
                      <w:color w:val="000000"/>
                      <w:szCs w:val="21"/>
                    </w:rPr>
                    <w:t>生活垃圾</w:t>
                  </w:r>
                </w:p>
              </w:tc>
              <w:tc>
                <w:tcPr>
                  <w:tcW w:w="4414" w:type="dxa"/>
                  <w:tcBorders>
                    <w:right w:val="nil"/>
                  </w:tcBorders>
                  <w:vAlign w:val="center"/>
                </w:tcPr>
                <w:p>
                  <w:pPr>
                    <w:tabs>
                      <w:tab w:val="right" w:leader="dot" w:pos="8834"/>
                    </w:tabs>
                    <w:jc w:val="center"/>
                    <w:rPr>
                      <w:bCs/>
                      <w:color w:val="000000"/>
                      <w:szCs w:val="21"/>
                    </w:rPr>
                  </w:pPr>
                  <w:r>
                    <w:rPr>
                      <w:rFonts w:hint="eastAsia"/>
                      <w:bCs/>
                      <w:color w:val="000000"/>
                      <w:szCs w:val="21"/>
                    </w:rPr>
                    <w:t>收集后交由当地环卫部门统一处理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7" w:type="dxa"/>
                  <w:vMerge w:val="continue"/>
                  <w:tcBorders>
                    <w:left w:val="nil"/>
                  </w:tcBorders>
                  <w:vAlign w:val="center"/>
                </w:tcPr>
                <w:p>
                  <w:pPr>
                    <w:adjustRightInd w:val="0"/>
                    <w:jc w:val="center"/>
                    <w:rPr>
                      <w:color w:val="000000"/>
                      <w:szCs w:val="21"/>
                    </w:rPr>
                  </w:pPr>
                </w:p>
              </w:tc>
              <w:tc>
                <w:tcPr>
                  <w:tcW w:w="1488" w:type="dxa"/>
                  <w:vAlign w:val="center"/>
                </w:tcPr>
                <w:p>
                  <w:pPr>
                    <w:pStyle w:val="47"/>
                    <w:rPr>
                      <w:rFonts w:hAnsi="宋体"/>
                    </w:rPr>
                  </w:pPr>
                  <w:r>
                    <w:rPr>
                      <w:rFonts w:hint="eastAsia" w:hAnsi="宋体"/>
                    </w:rPr>
                    <w:t>沉淀池污泥</w:t>
                  </w:r>
                </w:p>
              </w:tc>
              <w:tc>
                <w:tcPr>
                  <w:tcW w:w="1967" w:type="dxa"/>
                  <w:vAlign w:val="center"/>
                </w:tcPr>
                <w:p>
                  <w:pPr>
                    <w:tabs>
                      <w:tab w:val="right" w:leader="dot" w:pos="8834"/>
                    </w:tabs>
                    <w:jc w:val="center"/>
                    <w:rPr>
                      <w:bCs/>
                      <w:color w:val="000000"/>
                      <w:szCs w:val="21"/>
                    </w:rPr>
                  </w:pPr>
                  <w:r>
                    <w:rPr>
                      <w:rFonts w:hint="eastAsia"/>
                      <w:bCs/>
                      <w:color w:val="000000"/>
                      <w:szCs w:val="21"/>
                    </w:rPr>
                    <w:t>污泥</w:t>
                  </w:r>
                </w:p>
              </w:tc>
              <w:tc>
                <w:tcPr>
                  <w:tcW w:w="4414" w:type="dxa"/>
                  <w:tcBorders>
                    <w:right w:val="nil"/>
                  </w:tcBorders>
                  <w:vAlign w:val="center"/>
                </w:tcPr>
                <w:p>
                  <w:pPr>
                    <w:tabs>
                      <w:tab w:val="right" w:leader="dot" w:pos="8834"/>
                    </w:tabs>
                    <w:jc w:val="center"/>
                    <w:rPr>
                      <w:bCs/>
                      <w:color w:val="000000"/>
                      <w:szCs w:val="21"/>
                    </w:rPr>
                  </w:pPr>
                  <w:r>
                    <w:rPr>
                      <w:rFonts w:hint="eastAsia" w:hAnsi="宋体"/>
                    </w:rPr>
                    <w:t>经压滤机压滤脱水后按政府要求堆放至指定地点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7" w:type="dxa"/>
                  <w:vMerge w:val="continue"/>
                  <w:tcBorders>
                    <w:left w:val="nil"/>
                  </w:tcBorders>
                  <w:vAlign w:val="center"/>
                </w:tcPr>
                <w:p>
                  <w:pPr>
                    <w:adjustRightInd w:val="0"/>
                    <w:jc w:val="center"/>
                    <w:rPr>
                      <w:color w:val="000000"/>
                      <w:szCs w:val="21"/>
                    </w:rPr>
                  </w:pPr>
                </w:p>
              </w:tc>
              <w:tc>
                <w:tcPr>
                  <w:tcW w:w="1488" w:type="dxa"/>
                  <w:vAlign w:val="center"/>
                </w:tcPr>
                <w:p>
                  <w:pPr>
                    <w:pStyle w:val="47"/>
                    <w:rPr>
                      <w:rFonts w:hAnsi="宋体"/>
                    </w:rPr>
                  </w:pPr>
                  <w:r>
                    <w:rPr>
                      <w:rFonts w:hint="eastAsia" w:hAnsi="宋体"/>
                    </w:rPr>
                    <w:t>设备检修废油</w:t>
                  </w:r>
                </w:p>
              </w:tc>
              <w:tc>
                <w:tcPr>
                  <w:tcW w:w="1967" w:type="dxa"/>
                  <w:vAlign w:val="center"/>
                </w:tcPr>
                <w:p>
                  <w:pPr>
                    <w:tabs>
                      <w:tab w:val="right" w:leader="dot" w:pos="8834"/>
                    </w:tabs>
                    <w:jc w:val="center"/>
                    <w:rPr>
                      <w:bCs/>
                      <w:color w:val="000000"/>
                      <w:szCs w:val="21"/>
                    </w:rPr>
                  </w:pPr>
                  <w:r>
                    <w:rPr>
                      <w:rFonts w:hint="eastAsia" w:hAnsi="宋体"/>
                    </w:rPr>
                    <w:t>废油</w:t>
                  </w:r>
                </w:p>
              </w:tc>
              <w:tc>
                <w:tcPr>
                  <w:tcW w:w="4414" w:type="dxa"/>
                  <w:tcBorders>
                    <w:right w:val="nil"/>
                  </w:tcBorders>
                  <w:vAlign w:val="center"/>
                </w:tcPr>
                <w:p>
                  <w:pPr>
                    <w:tabs>
                      <w:tab w:val="right" w:leader="dot" w:pos="8834"/>
                    </w:tabs>
                    <w:jc w:val="center"/>
                    <w:rPr>
                      <w:bCs/>
                      <w:color w:val="000000"/>
                      <w:szCs w:val="21"/>
                    </w:rPr>
                  </w:pPr>
                  <w:r>
                    <w:rPr>
                      <w:rFonts w:hint="eastAsia" w:ascii="宋体" w:hAnsi="宋体" w:cs="宋体"/>
                      <w:kern w:val="0"/>
                      <w:szCs w:val="21"/>
                      <w:lang w:bidi="ar"/>
                    </w:rPr>
                    <w:t>暂存于危废暂存间，定期交由资质单位清运处置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7" w:type="dxa"/>
                  <w:tcBorders>
                    <w:left w:val="nil"/>
                    <w:bottom w:val="single" w:color="auto" w:sz="12" w:space="0"/>
                  </w:tcBorders>
                  <w:vAlign w:val="center"/>
                </w:tcPr>
                <w:p>
                  <w:pPr>
                    <w:adjustRightInd w:val="0"/>
                    <w:jc w:val="center"/>
                    <w:rPr>
                      <w:color w:val="000000"/>
                      <w:szCs w:val="21"/>
                    </w:rPr>
                  </w:pPr>
                  <w:r>
                    <w:rPr>
                      <w:rFonts w:hint="eastAsia"/>
                      <w:color w:val="000000"/>
                      <w:szCs w:val="21"/>
                    </w:rPr>
                    <w:t>噪声</w:t>
                  </w:r>
                </w:p>
              </w:tc>
              <w:tc>
                <w:tcPr>
                  <w:tcW w:w="7869" w:type="dxa"/>
                  <w:gridSpan w:val="3"/>
                  <w:tcBorders>
                    <w:bottom w:val="single" w:color="auto" w:sz="12" w:space="0"/>
                    <w:right w:val="nil"/>
                  </w:tcBorders>
                  <w:vAlign w:val="center"/>
                </w:tcPr>
                <w:p>
                  <w:pPr>
                    <w:adjustRightInd w:val="0"/>
                    <w:jc w:val="center"/>
                    <w:rPr>
                      <w:color w:val="000000"/>
                      <w:szCs w:val="21"/>
                    </w:rPr>
                  </w:pPr>
                  <w:r>
                    <w:rPr>
                      <w:rFonts w:hint="eastAsia"/>
                      <w:color w:val="000000"/>
                      <w:szCs w:val="21"/>
                    </w:rPr>
                    <w:t>主要生产设备位于厂房内，设置基础减震</w:t>
                  </w:r>
                </w:p>
              </w:tc>
            </w:tr>
          </w:tbl>
          <w:p>
            <w:pPr>
              <w:adjustRightInd w:val="0"/>
              <w:snapToGrid w:val="0"/>
              <w:spacing w:line="360" w:lineRule="auto"/>
              <w:ind w:firstLine="480" w:firstLineChars="200"/>
              <w:rPr>
                <w:bCs/>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5" w:hRule="atLeast"/>
          <w:jc w:val="center"/>
        </w:trPr>
        <w:tc>
          <w:tcPr>
            <w:tcW w:w="699" w:type="dxa"/>
            <w:vAlign w:val="center"/>
          </w:tcPr>
          <w:p>
            <w:pPr>
              <w:pStyle w:val="12"/>
              <w:adjustRightInd w:val="0"/>
              <w:snapToGrid w:val="0"/>
              <w:spacing w:before="0" w:beforeAutospacing="0" w:after="0" w:afterAutospacing="0"/>
              <w:jc w:val="center"/>
              <w:rPr>
                <w:rFonts w:ascii="Times New Roman" w:hAnsi="Times New Roman" w:cs="宋体"/>
                <w:szCs w:val="24"/>
                <w:lang w:val="en-US"/>
              </w:rPr>
            </w:pPr>
            <w:r>
              <w:rPr>
                <w:rFonts w:hint="eastAsia" w:ascii="Times New Roman" w:hAnsi="Times New Roman" w:cs="宋体"/>
                <w:bCs/>
                <w:kern w:val="2"/>
                <w:szCs w:val="24"/>
                <w:lang w:val="en-US"/>
              </w:rPr>
              <w:t>与项目有关的原有环境污染问题</w:t>
            </w:r>
          </w:p>
        </w:tc>
        <w:tc>
          <w:tcPr>
            <w:tcW w:w="8787" w:type="dxa"/>
          </w:tcPr>
          <w:p>
            <w:pPr>
              <w:adjustRightInd w:val="0"/>
              <w:snapToGrid w:val="0"/>
              <w:spacing w:line="360" w:lineRule="auto"/>
              <w:ind w:firstLine="480" w:firstLineChars="200"/>
              <w:rPr>
                <w:bCs/>
                <w:sz w:val="24"/>
              </w:rPr>
            </w:pPr>
            <w:r>
              <w:rPr>
                <w:rFonts w:hint="eastAsia"/>
                <w:bCs/>
                <w:sz w:val="24"/>
              </w:rPr>
              <w:t>本项目为砂石加工项目，位于四川省乐山市沙湾区嘉农镇王场村民生不锈钢产业园嘉农组团，属新建项目，项目拟建地位于</w:t>
            </w:r>
            <w:r>
              <w:rPr>
                <w:rFonts w:hint="eastAsia" w:cs="宋体"/>
                <w:bCs/>
                <w:sz w:val="24"/>
              </w:rPr>
              <w:t>“乐山市沙湾区铜河资源绿色建材加工厂项目</w:t>
            </w:r>
            <w:r>
              <w:rPr>
                <w:rFonts w:cs="宋体"/>
                <w:bCs/>
                <w:sz w:val="24"/>
              </w:rPr>
              <w:t>-</w:t>
            </w:r>
            <w:r>
              <w:rPr>
                <w:rFonts w:hint="eastAsia" w:cs="宋体"/>
                <w:bCs/>
                <w:sz w:val="24"/>
              </w:rPr>
              <w:t>土石方工程”建设原弃方堆放地</w:t>
            </w:r>
            <w:r>
              <w:rPr>
                <w:rFonts w:hint="eastAsia"/>
                <w:bCs/>
                <w:sz w:val="24"/>
              </w:rPr>
              <w:t>内。</w:t>
            </w:r>
          </w:p>
          <w:p>
            <w:pPr>
              <w:adjustRightInd w:val="0"/>
              <w:snapToGrid w:val="0"/>
              <w:rPr>
                <w:bCs/>
                <w:sz w:val="24"/>
              </w:rPr>
            </w:pPr>
            <w:r>
              <w:rPr>
                <w:rFonts w:hint="eastAsia"/>
                <w:bCs/>
                <w:sz w:val="24"/>
              </w:rPr>
              <mc:AlternateContent>
                <mc:Choice Requires="wps">
                  <w:drawing>
                    <wp:anchor distT="0" distB="0" distL="114300" distR="114300" simplePos="0" relativeHeight="251663360" behindDoc="0" locked="0" layoutInCell="1" allowOverlap="1">
                      <wp:simplePos x="0" y="0"/>
                      <wp:positionH relativeFrom="column">
                        <wp:posOffset>1795780</wp:posOffset>
                      </wp:positionH>
                      <wp:positionV relativeFrom="paragraph">
                        <wp:posOffset>261620</wp:posOffset>
                      </wp:positionV>
                      <wp:extent cx="638175" cy="276860"/>
                      <wp:effectExtent l="0" t="0" r="28575" b="208915"/>
                      <wp:wrapNone/>
                      <wp:docPr id="48" name="矩形标注 48"/>
                      <wp:cNvGraphicFramePr/>
                      <a:graphic xmlns:a="http://schemas.openxmlformats.org/drawingml/2006/main">
                        <a:graphicData uri="http://schemas.microsoft.com/office/word/2010/wordprocessingShape">
                          <wps:wsp>
                            <wps:cNvSpPr/>
                            <wps:spPr>
                              <a:xfrm>
                                <a:off x="0" y="0"/>
                                <a:ext cx="638175" cy="276860"/>
                              </a:xfrm>
                              <a:prstGeom prst="wedgeRectCallout">
                                <a:avLst>
                                  <a:gd name="adj1" fmla="val -18750"/>
                                  <a:gd name="adj2" fmla="val 12442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FF0000"/>
                                    </w:rPr>
                                  </w:pPr>
                                  <w:r>
                                    <w:rPr>
                                      <w:rFonts w:hint="eastAsia"/>
                                      <w:color w:val="FF0000"/>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41.4pt;margin-top:20.6pt;height:21.8pt;width:50.25pt;z-index:251663360;v-text-anchor:middle;mso-width-relative:page;mso-height-relative:page;" filled="f" stroked="t" coordsize="21600,21600" o:gfxdata="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DfraZHWAAAACQEAAA8AAAAAAAAAAQAgAAAAIgAAAGRycy9kb3du&#10;cmV2LnhtbFBLAQIUABQAAAAIAIdO4kDfG+W9rAIAADwFAAAOAAAAAAAAAAEAIAAAACUBAABkcnMv&#10;ZTJvRG9jLnhtbFBLBQYAAAAABgAGAFkBAABDBgAAAAA=&#10;" adj="6750,37676">
                      <v:fill on="f" focussize="0,0"/>
                      <v:stroke weight="1pt" color="#FF0000 [3204]" miterlimit="8" joinstyle="miter"/>
                      <v:imagedata o:title=""/>
                      <o:lock v:ext="edit" aspectratio="f"/>
                      <v:textbox>
                        <w:txbxContent>
                          <w:p>
                            <w:pPr>
                              <w:jc w:val="center"/>
                              <w:rPr>
                                <w:color w:val="FF0000"/>
                              </w:rPr>
                            </w:pPr>
                            <w:r>
                              <w:rPr>
                                <w:rFonts w:hint="eastAsia"/>
                                <w:color w:val="FF0000"/>
                              </w:rPr>
                              <w:t>本项目</w:t>
                            </w:r>
                          </w:p>
                        </w:txbxContent>
                      </v:textbox>
                    </v:shape>
                  </w:pict>
                </mc:Fallback>
              </mc:AlternateContent>
            </w:r>
            <w:r>
              <w:rPr>
                <w:rFonts w:hint="eastAsia"/>
                <w:bCs/>
                <w:sz w:val="24"/>
              </w:rPr>
              <mc:AlternateContent>
                <mc:Choice Requires="wps">
                  <w:drawing>
                    <wp:anchor distT="0" distB="0" distL="114300" distR="114300" simplePos="0" relativeHeight="251662336" behindDoc="0" locked="0" layoutInCell="1" allowOverlap="1">
                      <wp:simplePos x="0" y="0"/>
                      <wp:positionH relativeFrom="column">
                        <wp:posOffset>1795780</wp:posOffset>
                      </wp:positionH>
                      <wp:positionV relativeFrom="paragraph">
                        <wp:posOffset>699770</wp:posOffset>
                      </wp:positionV>
                      <wp:extent cx="638175" cy="419100"/>
                      <wp:effectExtent l="19050" t="19050" r="47625" b="38100"/>
                      <wp:wrapNone/>
                      <wp:docPr id="24" name="任意多边形 24"/>
                      <wp:cNvGraphicFramePr/>
                      <a:graphic xmlns:a="http://schemas.openxmlformats.org/drawingml/2006/main">
                        <a:graphicData uri="http://schemas.microsoft.com/office/word/2010/wordprocessingShape">
                          <wps:wsp>
                            <wps:cNvSpPr/>
                            <wps:spPr>
                              <a:xfrm>
                                <a:off x="0" y="0"/>
                                <a:ext cx="638175" cy="419100"/>
                              </a:xfrm>
                              <a:custGeom>
                                <a:avLst/>
                                <a:gdLst>
                                  <a:gd name="connsiteX0" fmla="*/ 0 w 638175"/>
                                  <a:gd name="connsiteY0" fmla="*/ 180975 h 419100"/>
                                  <a:gd name="connsiteX1" fmla="*/ 371475 w 638175"/>
                                  <a:gd name="connsiteY1" fmla="*/ 0 h 419100"/>
                                  <a:gd name="connsiteX2" fmla="*/ 638175 w 638175"/>
                                  <a:gd name="connsiteY2" fmla="*/ 142875 h 419100"/>
                                  <a:gd name="connsiteX3" fmla="*/ 428625 w 638175"/>
                                  <a:gd name="connsiteY3" fmla="*/ 419100 h 419100"/>
                                  <a:gd name="connsiteX4" fmla="*/ 0 w 638175"/>
                                  <a:gd name="connsiteY4" fmla="*/ 180975 h 4191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38175" h="419100">
                                    <a:moveTo>
                                      <a:pt x="0" y="180975"/>
                                    </a:moveTo>
                                    <a:lnTo>
                                      <a:pt x="371475" y="0"/>
                                    </a:lnTo>
                                    <a:lnTo>
                                      <a:pt x="638175" y="142875"/>
                                    </a:lnTo>
                                    <a:lnTo>
                                      <a:pt x="428625" y="419100"/>
                                    </a:lnTo>
                                    <a:lnTo>
                                      <a:pt x="0" y="180975"/>
                                    </a:ln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41.4pt;margin-top:55.1pt;height:33pt;width:50.25pt;z-index:251662336;v-text-anchor:middle;mso-width-relative:page;mso-height-relative:page;" filled="f" stroked="t" coordsize="638175,419100" o:gfxdata="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" path="m0,180975l371475,0,638175,142875,428625,419100,0,180975xe">
                      <v:path o:connectlocs="0,180975;371475,0;638175,142875;428625,419100;0,180975" o:connectangles="0,0,0,0,0"/>
                      <v:fill on="f" focussize="0,0"/>
                      <v:stroke weight="1pt" color="#FF0000 [3204]" miterlimit="8" joinstyle="miter"/>
                      <v:imagedata o:title=""/>
                      <o:lock v:ext="edit" aspectratio="f"/>
                    </v:shape>
                  </w:pict>
                </mc:Fallback>
              </mc:AlternateContent>
            </w:r>
            <w:r>
              <w:rPr>
                <w:rFonts w:hint="eastAsia"/>
                <w:bCs/>
                <w:sz w:val="24"/>
              </w:rPr>
              <w:drawing>
                <wp:inline distT="0" distB="0" distL="0" distR="0">
                  <wp:extent cx="2699385" cy="1799590"/>
                  <wp:effectExtent l="0" t="0" r="5715" b="0"/>
                  <wp:docPr id="1046" name="图片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图片 104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r>
              <w:rPr>
                <w:rFonts w:hint="eastAsia"/>
                <w:bCs/>
                <w:sz w:val="24"/>
              </w:rPr>
              <w:t xml:space="preserve"> </w:t>
            </w:r>
            <w:r>
              <w:rPr>
                <w:rFonts w:hint="eastAsia"/>
                <w:bCs/>
                <w:sz w:val="24"/>
              </w:rPr>
              <w:drawing>
                <wp:inline distT="0" distB="0" distL="0" distR="0">
                  <wp:extent cx="2637155" cy="1797050"/>
                  <wp:effectExtent l="0" t="0" r="0" b="0"/>
                  <wp:docPr id="1051" name="图片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图片 1051"/>
                          <pic:cNvPicPr>
                            <a:picLocks noChangeAspect="1"/>
                          </pic:cNvPicPr>
                        </pic:nvPicPr>
                        <pic:blipFill>
                          <a:blip r:embed="rId12" cstate="print">
                            <a:extLst>
                              <a:ext uri="{28A0092B-C50C-407E-A947-70E740481C1C}">
                                <a14:useLocalDpi xmlns:a14="http://schemas.microsoft.com/office/drawing/2010/main" val="0"/>
                              </a:ext>
                            </a:extLst>
                          </a:blip>
                          <a:srcRect l="17450"/>
                          <a:stretch>
                            <a:fillRect/>
                          </a:stretch>
                        </pic:blipFill>
                        <pic:spPr>
                          <a:xfrm>
                            <a:off x="0" y="0"/>
                            <a:ext cx="2641768" cy="1800000"/>
                          </a:xfrm>
                          <a:prstGeom prst="rect">
                            <a:avLst/>
                          </a:prstGeom>
                          <a:ln>
                            <a:noFill/>
                          </a:ln>
                        </pic:spPr>
                      </pic:pic>
                    </a:graphicData>
                  </a:graphic>
                </wp:inline>
              </w:drawing>
            </w:r>
          </w:p>
          <w:p>
            <w:pPr>
              <w:adjustRightInd w:val="0"/>
              <w:snapToGrid w:val="0"/>
              <w:spacing w:line="360" w:lineRule="auto"/>
              <w:jc w:val="center"/>
              <w:rPr>
                <w:b/>
                <w:bCs/>
                <w:szCs w:val="21"/>
              </w:rPr>
            </w:pPr>
            <w:r>
              <w:rPr>
                <w:rFonts w:hint="eastAsia"/>
                <w:b/>
                <w:bCs/>
                <w:szCs w:val="21"/>
              </w:rPr>
              <w:t>图2</w:t>
            </w:r>
            <w:r>
              <w:rPr>
                <w:b/>
                <w:bCs/>
                <w:szCs w:val="21"/>
              </w:rPr>
              <w:t>-4</w:t>
            </w:r>
            <w:r>
              <w:rPr>
                <w:rFonts w:hint="eastAsia"/>
                <w:b/>
                <w:bCs/>
                <w:szCs w:val="21"/>
              </w:rPr>
              <w:t xml:space="preserve"> 弃方堆场现状</w:t>
            </w:r>
          </w:p>
        </w:tc>
      </w:tr>
    </w:tbl>
    <w:p>
      <w:pPr>
        <w:pStyle w:val="12"/>
        <w:jc w:val="center"/>
        <w:rPr>
          <w:rFonts w:ascii="Times New Roman" w:hAnsi="Times New Roman"/>
          <w:snapToGrid w:val="0"/>
          <w:sz w:val="36"/>
          <w:szCs w:val="36"/>
          <w:lang w:val="en-US"/>
        </w:rPr>
        <w:sectPr>
          <w:pgSz w:w="11906" w:h="16838"/>
          <w:pgMar w:top="1701" w:right="1531" w:bottom="1701" w:left="1531" w:header="851" w:footer="851" w:gutter="0"/>
          <w:cols w:space="720" w:num="1"/>
          <w:docGrid w:linePitch="312" w:charSpace="0"/>
        </w:sectPr>
      </w:pPr>
    </w:p>
    <w:p>
      <w:pPr>
        <w:pStyle w:val="12"/>
        <w:adjustRightInd w:val="0"/>
        <w:snapToGrid w:val="0"/>
        <w:spacing w:before="0" w:beforeAutospacing="0" w:after="0" w:afterAutospacing="0" w:line="14" w:lineRule="auto"/>
        <w:jc w:val="center"/>
        <w:outlineLvl w:val="0"/>
        <w:rPr>
          <w:rFonts w:ascii="Times New Roman" w:hAnsi="Times New Roman"/>
          <w:snapToGrid w:val="0"/>
          <w:sz w:val="30"/>
          <w:szCs w:val="30"/>
        </w:rPr>
      </w:pPr>
    </w:p>
    <w:p>
      <w:pPr>
        <w:pStyle w:val="12"/>
        <w:jc w:val="center"/>
        <w:outlineLvl w:val="0"/>
        <w:rPr>
          <w:rFonts w:ascii="Times New Roman" w:hAnsi="Times New Roman"/>
          <w:snapToGrid w:val="0"/>
          <w:sz w:val="30"/>
          <w:szCs w:val="30"/>
        </w:rPr>
      </w:pPr>
      <w:r>
        <w:rPr>
          <w:rFonts w:hint="eastAsia" w:ascii="Times New Roman" w:hAnsi="Times New Roman"/>
          <w:snapToGrid w:val="0"/>
          <w:sz w:val="30"/>
          <w:szCs w:val="30"/>
        </w:rPr>
        <w:t>三、区域环境质量现状、环境保护目标及评价标准</w:t>
      </w:r>
    </w:p>
    <w:tbl>
      <w:tblPr>
        <w:tblStyle w:val="14"/>
        <w:tblW w:w="94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85" w:type="dxa"/>
          <w:left w:w="108" w:type="dxa"/>
          <w:bottom w:w="85" w:type="dxa"/>
          <w:right w:w="108" w:type="dxa"/>
        </w:tblCellMar>
      </w:tblPr>
      <w:tblGrid>
        <w:gridCol w:w="699"/>
        <w:gridCol w:w="87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467" w:hRule="atLeast"/>
          <w:jc w:val="center"/>
        </w:trPr>
        <w:tc>
          <w:tcPr>
            <w:tcW w:w="699" w:type="dxa"/>
            <w:vAlign w:val="center"/>
          </w:tcPr>
          <w:p>
            <w:pPr>
              <w:adjustRightInd w:val="0"/>
              <w:snapToGrid w:val="0"/>
              <w:jc w:val="center"/>
              <w:rPr>
                <w:rFonts w:cs="宋体"/>
                <w:kern w:val="0"/>
                <w:sz w:val="24"/>
              </w:rPr>
            </w:pPr>
            <w:r>
              <w:rPr>
                <w:rFonts w:hint="eastAsia" w:cs="宋体"/>
                <w:kern w:val="0"/>
                <w:sz w:val="24"/>
              </w:rPr>
              <w:t>区域</w:t>
            </w:r>
          </w:p>
          <w:p>
            <w:pPr>
              <w:adjustRightInd w:val="0"/>
              <w:snapToGrid w:val="0"/>
              <w:jc w:val="center"/>
              <w:rPr>
                <w:rFonts w:cs="宋体"/>
                <w:kern w:val="0"/>
                <w:sz w:val="24"/>
              </w:rPr>
            </w:pPr>
            <w:r>
              <w:rPr>
                <w:rFonts w:hint="eastAsia" w:cs="宋体"/>
                <w:kern w:val="0"/>
                <w:sz w:val="24"/>
              </w:rPr>
              <w:t>环境</w:t>
            </w:r>
          </w:p>
          <w:p>
            <w:pPr>
              <w:adjustRightInd w:val="0"/>
              <w:snapToGrid w:val="0"/>
              <w:jc w:val="center"/>
              <w:rPr>
                <w:rFonts w:cs="宋体"/>
                <w:kern w:val="0"/>
                <w:sz w:val="24"/>
              </w:rPr>
            </w:pPr>
            <w:r>
              <w:rPr>
                <w:rFonts w:hint="eastAsia" w:cs="宋体"/>
                <w:kern w:val="0"/>
                <w:sz w:val="24"/>
              </w:rPr>
              <w:t>质量</w:t>
            </w:r>
          </w:p>
          <w:p>
            <w:pPr>
              <w:adjustRightInd w:val="0"/>
              <w:snapToGrid w:val="0"/>
              <w:jc w:val="center"/>
              <w:rPr>
                <w:rFonts w:cs="宋体"/>
                <w:kern w:val="0"/>
                <w:sz w:val="24"/>
              </w:rPr>
            </w:pPr>
            <w:r>
              <w:rPr>
                <w:rFonts w:hint="eastAsia" w:cs="宋体"/>
                <w:kern w:val="0"/>
                <w:sz w:val="24"/>
              </w:rPr>
              <w:t>现状</w:t>
            </w:r>
          </w:p>
        </w:tc>
        <w:tc>
          <w:tcPr>
            <w:tcW w:w="8787" w:type="dxa"/>
          </w:tcPr>
          <w:p>
            <w:pPr>
              <w:pStyle w:val="38"/>
              <w:ind w:firstLine="482"/>
              <w:rPr>
                <w:b/>
                <w:color w:val="000000"/>
                <w:kern w:val="0"/>
              </w:rPr>
            </w:pPr>
            <w:r>
              <w:rPr>
                <w:rFonts w:hint="eastAsia"/>
                <w:b/>
                <w:color w:val="000000"/>
                <w:kern w:val="0"/>
              </w:rPr>
              <w:t>一、环境空气质量</w:t>
            </w:r>
          </w:p>
          <w:p>
            <w:pPr>
              <w:pStyle w:val="38"/>
              <w:ind w:firstLine="482"/>
              <w:rPr>
                <w:b/>
                <w:color w:val="000000"/>
                <w:kern w:val="0"/>
              </w:rPr>
            </w:pPr>
            <w:r>
              <w:rPr>
                <w:rFonts w:hint="eastAsia"/>
                <w:b/>
                <w:color w:val="000000"/>
                <w:kern w:val="0"/>
              </w:rPr>
              <w:t>1、环境空气质量现状</w:t>
            </w:r>
          </w:p>
          <w:p>
            <w:pPr>
              <w:pStyle w:val="38"/>
              <w:ind w:firstLine="480"/>
              <w:jc w:val="both"/>
              <w:rPr>
                <w:color w:val="000000"/>
              </w:rPr>
            </w:pPr>
            <w:r>
              <w:rPr>
                <w:rFonts w:hint="eastAsia"/>
                <w:color w:val="000000"/>
              </w:rPr>
              <w:t>本项目位于</w:t>
            </w:r>
            <w:r>
              <w:rPr>
                <w:rFonts w:hint="eastAsia" w:cs="宋体"/>
              </w:rPr>
              <w:t>四川省乐山市沙湾区嘉农镇王场村</w:t>
            </w:r>
            <w:r>
              <w:rPr>
                <w:rFonts w:hint="eastAsia"/>
                <w:color w:val="000000"/>
              </w:rPr>
              <w:t>，</w:t>
            </w:r>
            <w:r>
              <w:rPr>
                <w:color w:val="000000"/>
              </w:rPr>
              <w:t>项目所在环境空气功能区属二类区，环境空气质量现状评价采用《环境空气质量标准》（GB3095-2012）及其修改单（生态环境部2018年第29号）中的二级标准。</w:t>
            </w:r>
            <w:r>
              <w:rPr>
                <w:rFonts w:hint="eastAsia"/>
                <w:color w:val="000000"/>
              </w:rPr>
              <w:t>根据四川省空气质量监测网络管理系统，沙湾区</w:t>
            </w:r>
            <w:r>
              <w:rPr>
                <w:rFonts w:hint="eastAsia"/>
                <w:color w:val="000000"/>
                <w:kern w:val="0"/>
                <w:szCs w:val="21"/>
              </w:rPr>
              <w:t>环境空气监测情况如下表。</w:t>
            </w:r>
          </w:p>
          <w:p>
            <w:pPr>
              <w:pStyle w:val="36"/>
              <w:rPr>
                <w:b/>
                <w:color w:val="000000"/>
              </w:rPr>
            </w:pPr>
            <w:r>
              <w:rPr>
                <w:rFonts w:hint="eastAsia"/>
                <w:b/>
                <w:color w:val="000000"/>
              </w:rPr>
              <w:t>表3-</w:t>
            </w:r>
            <w:r>
              <w:rPr>
                <w:b/>
                <w:color w:val="000000"/>
              </w:rPr>
              <w:t>1</w:t>
            </w:r>
            <w:r>
              <w:rPr>
                <w:rFonts w:hint="eastAsia"/>
                <w:b/>
                <w:color w:val="000000"/>
              </w:rPr>
              <w:t xml:space="preserve"> 20</w:t>
            </w:r>
            <w:r>
              <w:rPr>
                <w:b/>
                <w:color w:val="000000"/>
              </w:rPr>
              <w:t>22</w:t>
            </w:r>
            <w:r>
              <w:rPr>
                <w:rFonts w:hint="eastAsia"/>
                <w:b/>
                <w:color w:val="000000"/>
              </w:rPr>
              <w:t>年沙湾区环境空气质量主要指标  单位：ug/m</w:t>
            </w:r>
            <w:r>
              <w:rPr>
                <w:rFonts w:hint="eastAsia"/>
                <w:b/>
                <w:color w:val="000000"/>
                <w:vertAlign w:val="superscript"/>
              </w:rPr>
              <w:t>3</w:t>
            </w:r>
            <w:r>
              <w:rPr>
                <w:rFonts w:hint="eastAsia"/>
                <w:b/>
                <w:color w:val="000000"/>
              </w:rPr>
              <w:t>，CO：mg/m</w:t>
            </w:r>
            <w:r>
              <w:rPr>
                <w:rFonts w:hint="eastAsia"/>
                <w:b/>
                <w:color w:val="000000"/>
                <w:vertAlign w:val="superscript"/>
              </w:rPr>
              <w:t>3</w:t>
            </w:r>
          </w:p>
          <w:tbl>
            <w:tblPr>
              <w:tblStyle w:val="14"/>
              <w:tblW w:w="855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688"/>
              <w:gridCol w:w="1494"/>
              <w:gridCol w:w="1494"/>
              <w:gridCol w:w="1494"/>
              <w:gridCol w:w="149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shd w:val="clear" w:color="auto" w:fill="auto"/>
                  <w:vAlign w:val="center"/>
                </w:tcPr>
                <w:p>
                  <w:pPr>
                    <w:pStyle w:val="36"/>
                    <w:rPr>
                      <w:b/>
                      <w:color w:val="000000"/>
                    </w:rPr>
                  </w:pPr>
                  <w:r>
                    <w:rPr>
                      <w:b/>
                      <w:color w:val="000000"/>
                    </w:rPr>
                    <w:t>污染物</w:t>
                  </w:r>
                </w:p>
              </w:tc>
              <w:tc>
                <w:tcPr>
                  <w:tcW w:w="1688" w:type="dxa"/>
                  <w:shd w:val="clear" w:color="auto" w:fill="auto"/>
                  <w:vAlign w:val="center"/>
                </w:tcPr>
                <w:p>
                  <w:pPr>
                    <w:pStyle w:val="36"/>
                    <w:rPr>
                      <w:b/>
                      <w:color w:val="000000"/>
                    </w:rPr>
                  </w:pPr>
                  <w:r>
                    <w:rPr>
                      <w:b/>
                      <w:color w:val="000000"/>
                    </w:rPr>
                    <w:t>年评价指标</w:t>
                  </w:r>
                </w:p>
              </w:tc>
              <w:tc>
                <w:tcPr>
                  <w:tcW w:w="1494" w:type="dxa"/>
                  <w:shd w:val="clear" w:color="auto" w:fill="auto"/>
                  <w:vAlign w:val="center"/>
                </w:tcPr>
                <w:p>
                  <w:pPr>
                    <w:pStyle w:val="36"/>
                    <w:rPr>
                      <w:b/>
                      <w:color w:val="000000"/>
                    </w:rPr>
                  </w:pPr>
                  <w:r>
                    <w:rPr>
                      <w:b/>
                      <w:color w:val="000000"/>
                    </w:rPr>
                    <w:t>现状浓度</w:t>
                  </w:r>
                </w:p>
              </w:tc>
              <w:tc>
                <w:tcPr>
                  <w:tcW w:w="1494" w:type="dxa"/>
                  <w:shd w:val="clear" w:color="auto" w:fill="auto"/>
                  <w:vAlign w:val="center"/>
                </w:tcPr>
                <w:p>
                  <w:pPr>
                    <w:pStyle w:val="36"/>
                    <w:rPr>
                      <w:b/>
                      <w:color w:val="000000"/>
                    </w:rPr>
                  </w:pPr>
                  <w:r>
                    <w:rPr>
                      <w:b/>
                      <w:color w:val="000000"/>
                    </w:rPr>
                    <w:t>标准值</w:t>
                  </w:r>
                </w:p>
              </w:tc>
              <w:tc>
                <w:tcPr>
                  <w:tcW w:w="1494" w:type="dxa"/>
                  <w:shd w:val="clear" w:color="auto" w:fill="auto"/>
                  <w:vAlign w:val="center"/>
                </w:tcPr>
                <w:p>
                  <w:pPr>
                    <w:pStyle w:val="36"/>
                    <w:rPr>
                      <w:b/>
                      <w:color w:val="000000"/>
                    </w:rPr>
                  </w:pPr>
                  <w:r>
                    <w:rPr>
                      <w:b/>
                      <w:color w:val="000000"/>
                    </w:rPr>
                    <w:t>占标率（%）</w:t>
                  </w:r>
                </w:p>
              </w:tc>
              <w:tc>
                <w:tcPr>
                  <w:tcW w:w="1494" w:type="dxa"/>
                  <w:shd w:val="clear" w:color="auto" w:fill="auto"/>
                  <w:vAlign w:val="center"/>
                </w:tcPr>
                <w:p>
                  <w:pPr>
                    <w:pStyle w:val="36"/>
                    <w:rPr>
                      <w:b/>
                      <w:color w:val="000000"/>
                    </w:rPr>
                  </w:pPr>
                  <w:r>
                    <w:rPr>
                      <w:b/>
                      <w:color w:val="000000"/>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shd w:val="clear" w:color="auto" w:fill="auto"/>
                  <w:vAlign w:val="center"/>
                </w:tcPr>
                <w:p>
                  <w:pPr>
                    <w:pStyle w:val="36"/>
                    <w:rPr>
                      <w:color w:val="000000"/>
                    </w:rPr>
                  </w:pPr>
                  <w:r>
                    <w:rPr>
                      <w:color w:val="000000"/>
                    </w:rPr>
                    <w:t>SO</w:t>
                  </w:r>
                  <w:r>
                    <w:rPr>
                      <w:color w:val="000000"/>
                      <w:vertAlign w:val="subscript"/>
                    </w:rPr>
                    <w:t>2</w:t>
                  </w:r>
                </w:p>
              </w:tc>
              <w:tc>
                <w:tcPr>
                  <w:tcW w:w="1688" w:type="dxa"/>
                  <w:shd w:val="clear" w:color="auto" w:fill="auto"/>
                  <w:vAlign w:val="center"/>
                </w:tcPr>
                <w:p>
                  <w:pPr>
                    <w:pStyle w:val="36"/>
                    <w:rPr>
                      <w:color w:val="000000"/>
                    </w:rPr>
                  </w:pPr>
                  <w:r>
                    <w:rPr>
                      <w:color w:val="000000"/>
                    </w:rPr>
                    <w:t>年平均质量浓度</w:t>
                  </w:r>
                </w:p>
              </w:tc>
              <w:tc>
                <w:tcPr>
                  <w:tcW w:w="1494" w:type="dxa"/>
                  <w:shd w:val="clear" w:color="auto" w:fill="auto"/>
                  <w:vAlign w:val="center"/>
                </w:tcPr>
                <w:p>
                  <w:pPr>
                    <w:pStyle w:val="36"/>
                    <w:rPr>
                      <w:color w:val="000000"/>
                    </w:rPr>
                  </w:pPr>
                  <w:r>
                    <w:rPr>
                      <w:rFonts w:hint="eastAsia"/>
                      <w:color w:val="000000"/>
                    </w:rPr>
                    <w:t>4</w:t>
                  </w:r>
                </w:p>
              </w:tc>
              <w:tc>
                <w:tcPr>
                  <w:tcW w:w="1494" w:type="dxa"/>
                  <w:shd w:val="clear" w:color="auto" w:fill="auto"/>
                  <w:vAlign w:val="center"/>
                </w:tcPr>
                <w:p>
                  <w:pPr>
                    <w:pStyle w:val="36"/>
                    <w:rPr>
                      <w:color w:val="000000"/>
                    </w:rPr>
                  </w:pPr>
                  <w:r>
                    <w:rPr>
                      <w:color w:val="000000"/>
                    </w:rPr>
                    <w:t>60</w:t>
                  </w:r>
                </w:p>
              </w:tc>
              <w:tc>
                <w:tcPr>
                  <w:tcW w:w="1494" w:type="dxa"/>
                  <w:shd w:val="clear" w:color="auto" w:fill="auto"/>
                  <w:vAlign w:val="center"/>
                </w:tcPr>
                <w:p>
                  <w:pPr>
                    <w:jc w:val="center"/>
                  </w:pPr>
                  <w:r>
                    <w:t>6.67</w:t>
                  </w:r>
                </w:p>
              </w:tc>
              <w:tc>
                <w:tcPr>
                  <w:tcW w:w="1494" w:type="dxa"/>
                  <w:shd w:val="clear" w:color="auto" w:fill="auto"/>
                  <w:vAlign w:val="center"/>
                </w:tcPr>
                <w:p>
                  <w:pPr>
                    <w:pStyle w:val="36"/>
                    <w:rPr>
                      <w:color w:val="000000"/>
                    </w:rPr>
                  </w:pPr>
                  <w:r>
                    <w:rPr>
                      <w:color w:val="000000"/>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shd w:val="clear" w:color="auto" w:fill="auto"/>
                  <w:vAlign w:val="center"/>
                </w:tcPr>
                <w:p>
                  <w:pPr>
                    <w:pStyle w:val="36"/>
                    <w:rPr>
                      <w:color w:val="000000"/>
                    </w:rPr>
                  </w:pPr>
                  <w:r>
                    <w:rPr>
                      <w:color w:val="000000"/>
                    </w:rPr>
                    <w:t>NO</w:t>
                  </w:r>
                  <w:r>
                    <w:rPr>
                      <w:color w:val="000000"/>
                      <w:vertAlign w:val="subscript"/>
                    </w:rPr>
                    <w:t>2</w:t>
                  </w:r>
                </w:p>
              </w:tc>
              <w:tc>
                <w:tcPr>
                  <w:tcW w:w="1688" w:type="dxa"/>
                  <w:shd w:val="clear" w:color="auto" w:fill="auto"/>
                  <w:vAlign w:val="center"/>
                </w:tcPr>
                <w:p>
                  <w:pPr>
                    <w:pStyle w:val="36"/>
                    <w:rPr>
                      <w:color w:val="000000"/>
                    </w:rPr>
                  </w:pPr>
                  <w:r>
                    <w:rPr>
                      <w:color w:val="000000"/>
                    </w:rPr>
                    <w:t>年平均质量浓度</w:t>
                  </w:r>
                </w:p>
              </w:tc>
              <w:tc>
                <w:tcPr>
                  <w:tcW w:w="1494" w:type="dxa"/>
                  <w:shd w:val="clear" w:color="auto" w:fill="auto"/>
                  <w:vAlign w:val="center"/>
                </w:tcPr>
                <w:p>
                  <w:pPr>
                    <w:pStyle w:val="36"/>
                    <w:rPr>
                      <w:color w:val="000000"/>
                    </w:rPr>
                  </w:pPr>
                  <w:r>
                    <w:rPr>
                      <w:rFonts w:hint="eastAsia"/>
                      <w:color w:val="000000"/>
                    </w:rPr>
                    <w:t>2</w:t>
                  </w:r>
                  <w:r>
                    <w:rPr>
                      <w:color w:val="000000"/>
                    </w:rPr>
                    <w:t>1</w:t>
                  </w:r>
                </w:p>
              </w:tc>
              <w:tc>
                <w:tcPr>
                  <w:tcW w:w="1494" w:type="dxa"/>
                  <w:shd w:val="clear" w:color="auto" w:fill="auto"/>
                  <w:vAlign w:val="center"/>
                </w:tcPr>
                <w:p>
                  <w:pPr>
                    <w:pStyle w:val="36"/>
                    <w:rPr>
                      <w:color w:val="000000"/>
                    </w:rPr>
                  </w:pPr>
                  <w:r>
                    <w:rPr>
                      <w:color w:val="000000"/>
                    </w:rPr>
                    <w:t>40</w:t>
                  </w:r>
                </w:p>
              </w:tc>
              <w:tc>
                <w:tcPr>
                  <w:tcW w:w="1494" w:type="dxa"/>
                  <w:shd w:val="clear" w:color="auto" w:fill="auto"/>
                  <w:vAlign w:val="center"/>
                </w:tcPr>
                <w:p>
                  <w:pPr>
                    <w:jc w:val="center"/>
                  </w:pPr>
                  <w:r>
                    <w:t>52.50</w:t>
                  </w:r>
                </w:p>
              </w:tc>
              <w:tc>
                <w:tcPr>
                  <w:tcW w:w="1494" w:type="dxa"/>
                  <w:shd w:val="clear" w:color="auto" w:fill="auto"/>
                  <w:vAlign w:val="center"/>
                </w:tcPr>
                <w:p>
                  <w:pPr>
                    <w:pStyle w:val="36"/>
                    <w:rPr>
                      <w:color w:val="000000"/>
                    </w:rPr>
                  </w:pPr>
                  <w:r>
                    <w:rPr>
                      <w:color w:val="000000"/>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shd w:val="clear" w:color="auto" w:fill="auto"/>
                  <w:vAlign w:val="center"/>
                </w:tcPr>
                <w:p>
                  <w:pPr>
                    <w:pStyle w:val="36"/>
                    <w:rPr>
                      <w:color w:val="000000"/>
                    </w:rPr>
                  </w:pPr>
                  <w:r>
                    <w:rPr>
                      <w:color w:val="000000"/>
                    </w:rPr>
                    <w:t>CO</w:t>
                  </w:r>
                </w:p>
              </w:tc>
              <w:tc>
                <w:tcPr>
                  <w:tcW w:w="1688" w:type="dxa"/>
                  <w:shd w:val="clear" w:color="auto" w:fill="auto"/>
                  <w:vAlign w:val="center"/>
                </w:tcPr>
                <w:p>
                  <w:pPr>
                    <w:pStyle w:val="36"/>
                    <w:rPr>
                      <w:color w:val="000000"/>
                    </w:rPr>
                  </w:pPr>
                  <w:r>
                    <w:rPr>
                      <w:color w:val="000000"/>
                    </w:rPr>
                    <w:t>第95百位数24h评价质量浓度</w:t>
                  </w:r>
                </w:p>
              </w:tc>
              <w:tc>
                <w:tcPr>
                  <w:tcW w:w="1494" w:type="dxa"/>
                  <w:shd w:val="clear" w:color="auto" w:fill="auto"/>
                  <w:vAlign w:val="center"/>
                </w:tcPr>
                <w:p>
                  <w:pPr>
                    <w:pStyle w:val="36"/>
                    <w:rPr>
                      <w:color w:val="000000"/>
                    </w:rPr>
                  </w:pPr>
                  <w:r>
                    <w:rPr>
                      <w:rFonts w:hint="eastAsia"/>
                      <w:color w:val="000000"/>
                    </w:rPr>
                    <w:t>1</w:t>
                  </w:r>
                  <w:r>
                    <w:rPr>
                      <w:color w:val="000000"/>
                    </w:rPr>
                    <w:t>.7</w:t>
                  </w:r>
                </w:p>
              </w:tc>
              <w:tc>
                <w:tcPr>
                  <w:tcW w:w="1494" w:type="dxa"/>
                  <w:shd w:val="clear" w:color="auto" w:fill="auto"/>
                  <w:vAlign w:val="center"/>
                </w:tcPr>
                <w:p>
                  <w:pPr>
                    <w:pStyle w:val="36"/>
                    <w:rPr>
                      <w:color w:val="000000"/>
                    </w:rPr>
                  </w:pPr>
                  <w:r>
                    <w:rPr>
                      <w:color w:val="000000"/>
                    </w:rPr>
                    <w:t>4.0</w:t>
                  </w:r>
                </w:p>
              </w:tc>
              <w:tc>
                <w:tcPr>
                  <w:tcW w:w="1494" w:type="dxa"/>
                  <w:shd w:val="clear" w:color="auto" w:fill="auto"/>
                  <w:vAlign w:val="center"/>
                </w:tcPr>
                <w:p>
                  <w:pPr>
                    <w:jc w:val="center"/>
                  </w:pPr>
                  <w:r>
                    <w:t>42.50</w:t>
                  </w:r>
                </w:p>
              </w:tc>
              <w:tc>
                <w:tcPr>
                  <w:tcW w:w="1494" w:type="dxa"/>
                  <w:shd w:val="clear" w:color="auto" w:fill="auto"/>
                  <w:vAlign w:val="center"/>
                </w:tcPr>
                <w:p>
                  <w:pPr>
                    <w:pStyle w:val="36"/>
                    <w:rPr>
                      <w:color w:val="000000"/>
                    </w:rPr>
                  </w:pPr>
                  <w:r>
                    <w:rPr>
                      <w:color w:val="000000"/>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shd w:val="clear" w:color="auto" w:fill="auto"/>
                  <w:vAlign w:val="center"/>
                </w:tcPr>
                <w:p>
                  <w:pPr>
                    <w:pStyle w:val="36"/>
                    <w:rPr>
                      <w:color w:val="000000"/>
                    </w:rPr>
                  </w:pPr>
                  <w:r>
                    <w:rPr>
                      <w:color w:val="000000"/>
                    </w:rPr>
                    <w:t>O</w:t>
                  </w:r>
                  <w:r>
                    <w:rPr>
                      <w:color w:val="000000"/>
                      <w:vertAlign w:val="subscript"/>
                    </w:rPr>
                    <w:t>3</w:t>
                  </w:r>
                </w:p>
              </w:tc>
              <w:tc>
                <w:tcPr>
                  <w:tcW w:w="1688" w:type="dxa"/>
                  <w:shd w:val="clear" w:color="auto" w:fill="auto"/>
                  <w:vAlign w:val="center"/>
                </w:tcPr>
                <w:p>
                  <w:pPr>
                    <w:pStyle w:val="36"/>
                    <w:rPr>
                      <w:color w:val="000000"/>
                    </w:rPr>
                  </w:pPr>
                  <w:r>
                    <w:rPr>
                      <w:color w:val="000000"/>
                    </w:rPr>
                    <w:t>第90百分位8h评价质量浓度</w:t>
                  </w:r>
                </w:p>
              </w:tc>
              <w:tc>
                <w:tcPr>
                  <w:tcW w:w="1494" w:type="dxa"/>
                  <w:shd w:val="clear" w:color="auto" w:fill="auto"/>
                  <w:vAlign w:val="center"/>
                </w:tcPr>
                <w:p>
                  <w:pPr>
                    <w:pStyle w:val="36"/>
                    <w:rPr>
                      <w:color w:val="000000"/>
                    </w:rPr>
                  </w:pPr>
                  <w:r>
                    <w:rPr>
                      <w:color w:val="000000"/>
                    </w:rPr>
                    <w:t>149</w:t>
                  </w:r>
                </w:p>
              </w:tc>
              <w:tc>
                <w:tcPr>
                  <w:tcW w:w="1494" w:type="dxa"/>
                  <w:shd w:val="clear" w:color="auto" w:fill="auto"/>
                  <w:vAlign w:val="center"/>
                </w:tcPr>
                <w:p>
                  <w:pPr>
                    <w:pStyle w:val="36"/>
                    <w:rPr>
                      <w:color w:val="000000"/>
                    </w:rPr>
                  </w:pPr>
                  <w:r>
                    <w:rPr>
                      <w:color w:val="000000"/>
                    </w:rPr>
                    <w:t>160</w:t>
                  </w:r>
                </w:p>
              </w:tc>
              <w:tc>
                <w:tcPr>
                  <w:tcW w:w="1494" w:type="dxa"/>
                  <w:shd w:val="clear" w:color="auto" w:fill="auto"/>
                  <w:vAlign w:val="center"/>
                </w:tcPr>
                <w:p>
                  <w:pPr>
                    <w:jc w:val="center"/>
                  </w:pPr>
                  <w:r>
                    <w:t>93.13</w:t>
                  </w:r>
                </w:p>
              </w:tc>
              <w:tc>
                <w:tcPr>
                  <w:tcW w:w="1494" w:type="dxa"/>
                  <w:shd w:val="clear" w:color="auto" w:fill="auto"/>
                  <w:vAlign w:val="center"/>
                </w:tcPr>
                <w:p>
                  <w:pPr>
                    <w:pStyle w:val="36"/>
                    <w:rPr>
                      <w:color w:val="000000"/>
                    </w:rPr>
                  </w:pPr>
                  <w:r>
                    <w:rPr>
                      <w:color w:val="000000"/>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shd w:val="clear" w:color="auto" w:fill="auto"/>
                  <w:vAlign w:val="center"/>
                </w:tcPr>
                <w:p>
                  <w:pPr>
                    <w:pStyle w:val="36"/>
                    <w:rPr>
                      <w:color w:val="000000"/>
                    </w:rPr>
                  </w:pPr>
                  <w:r>
                    <w:rPr>
                      <w:color w:val="000000"/>
                    </w:rPr>
                    <w:t>PM</w:t>
                  </w:r>
                  <w:r>
                    <w:rPr>
                      <w:color w:val="000000"/>
                      <w:vertAlign w:val="subscript"/>
                    </w:rPr>
                    <w:t>10</w:t>
                  </w:r>
                </w:p>
              </w:tc>
              <w:tc>
                <w:tcPr>
                  <w:tcW w:w="1688" w:type="dxa"/>
                  <w:shd w:val="clear" w:color="auto" w:fill="auto"/>
                  <w:vAlign w:val="center"/>
                </w:tcPr>
                <w:p>
                  <w:pPr>
                    <w:pStyle w:val="36"/>
                    <w:rPr>
                      <w:color w:val="000000"/>
                    </w:rPr>
                  </w:pPr>
                  <w:r>
                    <w:rPr>
                      <w:color w:val="000000"/>
                    </w:rPr>
                    <w:t>年平均质量浓度</w:t>
                  </w:r>
                </w:p>
              </w:tc>
              <w:tc>
                <w:tcPr>
                  <w:tcW w:w="1494" w:type="dxa"/>
                  <w:shd w:val="clear" w:color="auto" w:fill="auto"/>
                  <w:vAlign w:val="center"/>
                </w:tcPr>
                <w:p>
                  <w:pPr>
                    <w:pStyle w:val="36"/>
                    <w:rPr>
                      <w:color w:val="000000"/>
                    </w:rPr>
                  </w:pPr>
                  <w:r>
                    <w:rPr>
                      <w:color w:val="000000"/>
                    </w:rPr>
                    <w:t>59</w:t>
                  </w:r>
                </w:p>
              </w:tc>
              <w:tc>
                <w:tcPr>
                  <w:tcW w:w="1494" w:type="dxa"/>
                  <w:shd w:val="clear" w:color="auto" w:fill="auto"/>
                  <w:vAlign w:val="center"/>
                </w:tcPr>
                <w:p>
                  <w:pPr>
                    <w:pStyle w:val="36"/>
                    <w:rPr>
                      <w:color w:val="000000"/>
                    </w:rPr>
                  </w:pPr>
                  <w:r>
                    <w:rPr>
                      <w:color w:val="000000"/>
                    </w:rPr>
                    <w:t>70</w:t>
                  </w:r>
                </w:p>
              </w:tc>
              <w:tc>
                <w:tcPr>
                  <w:tcW w:w="1494" w:type="dxa"/>
                  <w:shd w:val="clear" w:color="auto" w:fill="auto"/>
                  <w:vAlign w:val="center"/>
                </w:tcPr>
                <w:p>
                  <w:pPr>
                    <w:jc w:val="center"/>
                  </w:pPr>
                  <w:r>
                    <w:t>84.29</w:t>
                  </w:r>
                </w:p>
              </w:tc>
              <w:tc>
                <w:tcPr>
                  <w:tcW w:w="1494" w:type="dxa"/>
                  <w:shd w:val="clear" w:color="auto" w:fill="auto"/>
                  <w:vAlign w:val="center"/>
                </w:tcPr>
                <w:p>
                  <w:pPr>
                    <w:pStyle w:val="36"/>
                    <w:rPr>
                      <w:color w:val="000000"/>
                    </w:rPr>
                  </w:pPr>
                  <w:r>
                    <w:rPr>
                      <w:color w:val="000000"/>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shd w:val="clear" w:color="auto" w:fill="auto"/>
                  <w:vAlign w:val="center"/>
                </w:tcPr>
                <w:p>
                  <w:pPr>
                    <w:pStyle w:val="36"/>
                    <w:rPr>
                      <w:color w:val="000000"/>
                    </w:rPr>
                  </w:pPr>
                  <w:r>
                    <w:rPr>
                      <w:color w:val="000000"/>
                    </w:rPr>
                    <w:t>PM</w:t>
                  </w:r>
                  <w:r>
                    <w:rPr>
                      <w:color w:val="000000"/>
                      <w:vertAlign w:val="subscript"/>
                    </w:rPr>
                    <w:t>2.5</w:t>
                  </w:r>
                </w:p>
              </w:tc>
              <w:tc>
                <w:tcPr>
                  <w:tcW w:w="1688" w:type="dxa"/>
                  <w:shd w:val="clear" w:color="auto" w:fill="auto"/>
                  <w:vAlign w:val="center"/>
                </w:tcPr>
                <w:p>
                  <w:pPr>
                    <w:pStyle w:val="36"/>
                    <w:rPr>
                      <w:color w:val="000000"/>
                    </w:rPr>
                  </w:pPr>
                  <w:r>
                    <w:rPr>
                      <w:color w:val="000000"/>
                    </w:rPr>
                    <w:t>年平均质量浓度</w:t>
                  </w:r>
                </w:p>
              </w:tc>
              <w:tc>
                <w:tcPr>
                  <w:tcW w:w="1494" w:type="dxa"/>
                  <w:shd w:val="clear" w:color="auto" w:fill="auto"/>
                  <w:vAlign w:val="center"/>
                </w:tcPr>
                <w:p>
                  <w:pPr>
                    <w:pStyle w:val="36"/>
                    <w:rPr>
                      <w:rFonts w:eastAsia="Yu Mincho"/>
                      <w:color w:val="000000"/>
                    </w:rPr>
                  </w:pPr>
                  <w:r>
                    <w:rPr>
                      <w:color w:val="000000"/>
                    </w:rPr>
                    <w:t>35</w:t>
                  </w:r>
                </w:p>
              </w:tc>
              <w:tc>
                <w:tcPr>
                  <w:tcW w:w="1494" w:type="dxa"/>
                  <w:shd w:val="clear" w:color="auto" w:fill="auto"/>
                  <w:vAlign w:val="center"/>
                </w:tcPr>
                <w:p>
                  <w:pPr>
                    <w:pStyle w:val="36"/>
                    <w:rPr>
                      <w:color w:val="000000"/>
                    </w:rPr>
                  </w:pPr>
                  <w:r>
                    <w:rPr>
                      <w:color w:val="000000"/>
                    </w:rPr>
                    <w:t>35</w:t>
                  </w:r>
                </w:p>
              </w:tc>
              <w:tc>
                <w:tcPr>
                  <w:tcW w:w="1494" w:type="dxa"/>
                  <w:shd w:val="clear" w:color="auto" w:fill="auto"/>
                  <w:vAlign w:val="center"/>
                </w:tcPr>
                <w:p>
                  <w:pPr>
                    <w:jc w:val="center"/>
                  </w:pPr>
                  <w:r>
                    <w:t>100.00</w:t>
                  </w:r>
                </w:p>
              </w:tc>
              <w:tc>
                <w:tcPr>
                  <w:tcW w:w="1494" w:type="dxa"/>
                  <w:shd w:val="clear" w:color="auto" w:fill="auto"/>
                  <w:vAlign w:val="center"/>
                </w:tcPr>
                <w:p>
                  <w:pPr>
                    <w:pStyle w:val="36"/>
                    <w:rPr>
                      <w:color w:val="000000"/>
                    </w:rPr>
                  </w:pPr>
                  <w:r>
                    <w:rPr>
                      <w:color w:val="000000"/>
                    </w:rPr>
                    <w:t>达标</w:t>
                  </w:r>
                </w:p>
              </w:tc>
            </w:tr>
          </w:tbl>
          <w:p>
            <w:pPr>
              <w:widowControl/>
              <w:adjustRightInd w:val="0"/>
              <w:snapToGrid w:val="0"/>
              <w:spacing w:before="120" w:beforeLines="50" w:line="360" w:lineRule="auto"/>
              <w:ind w:firstLine="480" w:firstLineChars="200"/>
              <w:rPr>
                <w:color w:val="000000"/>
                <w:kern w:val="0"/>
                <w:sz w:val="24"/>
                <w:szCs w:val="22"/>
              </w:rPr>
            </w:pPr>
            <w:r>
              <w:rPr>
                <w:rFonts w:hint="eastAsia"/>
                <w:color w:val="000000"/>
                <w:kern w:val="0"/>
                <w:sz w:val="24"/>
                <w:szCs w:val="22"/>
              </w:rPr>
              <w:t>由表3-1统计结果可知，沙湾区环境</w:t>
            </w:r>
            <w:r>
              <w:rPr>
                <w:rFonts w:hint="eastAsia"/>
                <w:color w:val="000000"/>
                <w:kern w:val="0"/>
                <w:sz w:val="24"/>
              </w:rPr>
              <w:t>空气中</w:t>
            </w:r>
            <w:r>
              <w:rPr>
                <w:color w:val="000000"/>
                <w:kern w:val="0"/>
                <w:sz w:val="24"/>
              </w:rPr>
              <w:t>SO</w:t>
            </w:r>
            <w:r>
              <w:rPr>
                <w:color w:val="000000"/>
                <w:kern w:val="0"/>
                <w:sz w:val="24"/>
                <w:vertAlign w:val="subscript"/>
              </w:rPr>
              <w:t>2</w:t>
            </w:r>
            <w:r>
              <w:rPr>
                <w:rFonts w:hint="eastAsia"/>
                <w:color w:val="000000"/>
                <w:kern w:val="0"/>
                <w:sz w:val="24"/>
              </w:rPr>
              <w:t>、</w:t>
            </w:r>
            <w:r>
              <w:rPr>
                <w:color w:val="000000"/>
                <w:kern w:val="0"/>
                <w:sz w:val="24"/>
              </w:rPr>
              <w:t>NO</w:t>
            </w:r>
            <w:r>
              <w:rPr>
                <w:color w:val="000000"/>
                <w:kern w:val="0"/>
                <w:sz w:val="24"/>
                <w:vertAlign w:val="subscript"/>
              </w:rPr>
              <w:t>2</w:t>
            </w:r>
            <w:r>
              <w:rPr>
                <w:rFonts w:hint="eastAsia"/>
                <w:color w:val="000000"/>
                <w:kern w:val="0"/>
                <w:sz w:val="24"/>
              </w:rPr>
              <w:t>、</w:t>
            </w:r>
            <w:r>
              <w:rPr>
                <w:color w:val="000000"/>
                <w:kern w:val="0"/>
                <w:sz w:val="24"/>
              </w:rPr>
              <w:t>CO</w:t>
            </w:r>
            <w:r>
              <w:rPr>
                <w:rFonts w:hint="eastAsia"/>
                <w:color w:val="000000"/>
                <w:kern w:val="0"/>
                <w:sz w:val="24"/>
              </w:rPr>
              <w:t>、</w:t>
            </w:r>
            <w:r>
              <w:rPr>
                <w:color w:val="000000"/>
                <w:kern w:val="0"/>
                <w:sz w:val="24"/>
              </w:rPr>
              <w:t>O</w:t>
            </w:r>
            <w:r>
              <w:rPr>
                <w:color w:val="000000"/>
                <w:kern w:val="0"/>
                <w:sz w:val="24"/>
                <w:vertAlign w:val="subscript"/>
              </w:rPr>
              <w:t>3</w:t>
            </w:r>
            <w:r>
              <w:rPr>
                <w:rFonts w:hint="eastAsia"/>
                <w:color w:val="000000"/>
                <w:kern w:val="0"/>
                <w:sz w:val="24"/>
              </w:rPr>
              <w:t>、</w:t>
            </w:r>
            <w:r>
              <w:rPr>
                <w:color w:val="000000"/>
                <w:kern w:val="0"/>
                <w:sz w:val="24"/>
              </w:rPr>
              <w:t>PM</w:t>
            </w:r>
            <w:r>
              <w:rPr>
                <w:color w:val="000000"/>
                <w:kern w:val="0"/>
                <w:sz w:val="24"/>
                <w:vertAlign w:val="subscript"/>
              </w:rPr>
              <w:t>10</w:t>
            </w:r>
            <w:r>
              <w:rPr>
                <w:rFonts w:hint="eastAsia"/>
                <w:color w:val="000000"/>
                <w:kern w:val="0"/>
                <w:sz w:val="24"/>
              </w:rPr>
              <w:t>、</w:t>
            </w:r>
            <w:r>
              <w:rPr>
                <w:color w:val="000000"/>
                <w:kern w:val="0"/>
                <w:sz w:val="24"/>
              </w:rPr>
              <w:t>PM</w:t>
            </w:r>
            <w:r>
              <w:rPr>
                <w:color w:val="000000"/>
                <w:kern w:val="0"/>
                <w:sz w:val="24"/>
                <w:vertAlign w:val="subscript"/>
              </w:rPr>
              <w:t>2.5</w:t>
            </w:r>
            <w:r>
              <w:rPr>
                <w:rFonts w:hint="eastAsia"/>
                <w:color w:val="000000"/>
                <w:kern w:val="0"/>
                <w:sz w:val="24"/>
              </w:rPr>
              <w:t>均满足《环境空气质量标准》（G</w:t>
            </w:r>
            <w:r>
              <w:rPr>
                <w:color w:val="000000"/>
                <w:kern w:val="0"/>
                <w:sz w:val="24"/>
              </w:rPr>
              <w:t>B3095-201</w:t>
            </w:r>
            <w:r>
              <w:rPr>
                <w:color w:val="000000"/>
                <w:kern w:val="0"/>
                <w:sz w:val="24"/>
                <w:szCs w:val="22"/>
              </w:rPr>
              <w:t>2</w:t>
            </w:r>
            <w:r>
              <w:rPr>
                <w:rFonts w:hint="eastAsia"/>
                <w:color w:val="000000"/>
                <w:kern w:val="0"/>
                <w:sz w:val="24"/>
                <w:szCs w:val="22"/>
              </w:rPr>
              <w:t>）中二级标准，属于环境空气质量达标区。</w:t>
            </w:r>
          </w:p>
          <w:p>
            <w:pPr>
              <w:pStyle w:val="6"/>
              <w:spacing w:before="0" w:after="0" w:line="360" w:lineRule="auto"/>
              <w:ind w:right="0" w:firstLine="482" w:firstLineChars="200"/>
              <w:jc w:val="left"/>
              <w:rPr>
                <w:b/>
                <w:sz w:val="24"/>
                <w:szCs w:val="22"/>
              </w:rPr>
            </w:pPr>
            <w:r>
              <w:rPr>
                <w:b/>
                <w:sz w:val="24"/>
                <w:szCs w:val="22"/>
              </w:rPr>
              <w:t>2</w:t>
            </w:r>
            <w:r>
              <w:rPr>
                <w:rFonts w:hint="eastAsia"/>
                <w:b/>
                <w:sz w:val="24"/>
                <w:szCs w:val="22"/>
              </w:rPr>
              <w:t>、</w:t>
            </w:r>
            <w:r>
              <w:rPr>
                <w:b/>
                <w:sz w:val="24"/>
                <w:szCs w:val="22"/>
              </w:rPr>
              <w:t>大气特征污染物现状</w:t>
            </w:r>
          </w:p>
          <w:p>
            <w:pPr>
              <w:widowControl/>
              <w:adjustRightInd w:val="0"/>
              <w:snapToGrid w:val="0"/>
              <w:spacing w:line="360" w:lineRule="auto"/>
              <w:ind w:firstLine="480" w:firstLineChars="200"/>
              <w:rPr>
                <w:color w:val="000000"/>
                <w:kern w:val="0"/>
                <w:sz w:val="24"/>
                <w:szCs w:val="22"/>
              </w:rPr>
            </w:pPr>
            <w:r>
              <w:rPr>
                <w:rFonts w:hint="eastAsia"/>
                <w:color w:val="000000"/>
                <w:kern w:val="0"/>
                <w:sz w:val="24"/>
                <w:szCs w:val="22"/>
              </w:rPr>
              <w:t>“祥和机械生产设施升级改造项目”于2022年3月委托中优环境检测成都有限责任公司对项目所在地的TSP环境质量现状进行了检测，由于该项目距离本项目仅570m（未超过5km），检测时间未超过3年，能够反应出本项目所在地TSP环境质量现状，故本评价引用其检测结果作为本项目TSP现状评价的依据。</w:t>
            </w:r>
          </w:p>
          <w:p>
            <w:pPr>
              <w:widowControl/>
              <w:adjustRightInd w:val="0"/>
              <w:snapToGrid w:val="0"/>
              <w:spacing w:line="360" w:lineRule="auto"/>
              <w:ind w:firstLine="480" w:firstLineChars="200"/>
              <w:rPr>
                <w:color w:val="000000"/>
                <w:kern w:val="0"/>
                <w:sz w:val="24"/>
                <w:szCs w:val="22"/>
              </w:rPr>
            </w:pPr>
            <w:r>
              <w:rPr>
                <w:rFonts w:hint="eastAsia"/>
                <w:color w:val="000000"/>
                <w:kern w:val="0"/>
                <w:sz w:val="24"/>
                <w:szCs w:val="22"/>
              </w:rPr>
              <w:t>中优环境检测成都有限责任公司于2</w:t>
            </w:r>
            <w:r>
              <w:rPr>
                <w:color w:val="000000"/>
                <w:kern w:val="0"/>
                <w:sz w:val="24"/>
                <w:szCs w:val="22"/>
              </w:rPr>
              <w:t>022</w:t>
            </w:r>
            <w:r>
              <w:rPr>
                <w:rFonts w:hint="eastAsia"/>
                <w:color w:val="000000"/>
                <w:kern w:val="0"/>
                <w:sz w:val="24"/>
                <w:szCs w:val="22"/>
              </w:rPr>
              <w:t>年3月4日~</w:t>
            </w:r>
            <w:r>
              <w:rPr>
                <w:color w:val="000000"/>
                <w:kern w:val="0"/>
                <w:sz w:val="24"/>
                <w:szCs w:val="22"/>
              </w:rPr>
              <w:t>7</w:t>
            </w:r>
            <w:r>
              <w:rPr>
                <w:rFonts w:hint="eastAsia"/>
                <w:color w:val="000000"/>
                <w:kern w:val="0"/>
                <w:sz w:val="24"/>
                <w:szCs w:val="22"/>
              </w:rPr>
              <w:t>日到达现场进行了检测并编制了报告，检测报告编号为CGEDHJ</w:t>
            </w:r>
            <w:r>
              <w:rPr>
                <w:color w:val="000000"/>
                <w:kern w:val="0"/>
                <w:sz w:val="24"/>
                <w:szCs w:val="22"/>
              </w:rPr>
              <w:t>22031411</w:t>
            </w:r>
            <w:r>
              <w:rPr>
                <w:rFonts w:hint="eastAsia"/>
                <w:color w:val="000000"/>
                <w:kern w:val="0"/>
                <w:sz w:val="24"/>
                <w:szCs w:val="22"/>
              </w:rPr>
              <w:t>，本次评价仅引用报告中环境空气部分。检测结果如下：</w:t>
            </w:r>
          </w:p>
          <w:p>
            <w:pPr>
              <w:widowControl/>
              <w:adjustRightInd w:val="0"/>
              <w:snapToGrid w:val="0"/>
              <w:spacing w:line="360" w:lineRule="auto"/>
              <w:ind w:firstLine="480" w:firstLineChars="200"/>
              <w:rPr>
                <w:color w:val="000000"/>
                <w:kern w:val="0"/>
                <w:sz w:val="24"/>
                <w:szCs w:val="22"/>
              </w:rPr>
            </w:pPr>
            <w:r>
              <w:rPr>
                <w:rFonts w:hint="eastAsia"/>
                <w:color w:val="000000"/>
                <w:kern w:val="0"/>
                <w:sz w:val="24"/>
                <w:szCs w:val="22"/>
              </w:rPr>
              <w:t>检测项目：总悬浮颗粒物；</w:t>
            </w:r>
          </w:p>
          <w:p>
            <w:pPr>
              <w:widowControl/>
              <w:adjustRightInd w:val="0"/>
              <w:snapToGrid w:val="0"/>
              <w:spacing w:line="360" w:lineRule="auto"/>
              <w:ind w:firstLine="480" w:firstLineChars="200"/>
              <w:rPr>
                <w:color w:val="000000"/>
                <w:kern w:val="0"/>
                <w:sz w:val="24"/>
                <w:szCs w:val="22"/>
              </w:rPr>
            </w:pPr>
            <w:r>
              <w:rPr>
                <w:rFonts w:hint="eastAsia"/>
                <w:color w:val="000000"/>
                <w:kern w:val="0"/>
                <w:sz w:val="24"/>
                <w:szCs w:val="22"/>
              </w:rPr>
              <w:t>检测点位：检测项目西南面1</w:t>
            </w:r>
            <w:r>
              <w:rPr>
                <w:color w:val="000000"/>
                <w:kern w:val="0"/>
                <w:sz w:val="24"/>
                <w:szCs w:val="22"/>
              </w:rPr>
              <w:t>0</w:t>
            </w:r>
            <w:r>
              <w:rPr>
                <w:rFonts w:hint="eastAsia"/>
                <w:color w:val="000000"/>
                <w:kern w:val="0"/>
                <w:sz w:val="24"/>
                <w:szCs w:val="22"/>
              </w:rPr>
              <w:t>m处（本项目西南面5</w:t>
            </w:r>
            <w:r>
              <w:rPr>
                <w:color w:val="000000"/>
                <w:kern w:val="0"/>
                <w:sz w:val="24"/>
                <w:szCs w:val="22"/>
              </w:rPr>
              <w:t>70</w:t>
            </w:r>
            <w:r>
              <w:rPr>
                <w:rFonts w:hint="eastAsia"/>
                <w:color w:val="000000"/>
                <w:kern w:val="0"/>
                <w:sz w:val="24"/>
                <w:szCs w:val="22"/>
              </w:rPr>
              <w:t>m处）；</w:t>
            </w:r>
          </w:p>
          <w:p>
            <w:pPr>
              <w:widowControl/>
              <w:adjustRightInd w:val="0"/>
              <w:snapToGrid w:val="0"/>
              <w:spacing w:line="360" w:lineRule="auto"/>
              <w:ind w:firstLine="480" w:firstLineChars="200"/>
              <w:rPr>
                <w:color w:val="000000"/>
                <w:kern w:val="0"/>
                <w:sz w:val="24"/>
                <w:szCs w:val="22"/>
              </w:rPr>
            </w:pPr>
            <w:r>
              <w:rPr>
                <w:rFonts w:hint="eastAsia"/>
                <w:color w:val="000000"/>
                <w:kern w:val="0"/>
                <w:sz w:val="24"/>
                <w:szCs w:val="22"/>
              </w:rPr>
              <w:t>检测频次：检测3天，</w:t>
            </w:r>
            <w:r>
              <w:rPr>
                <w:color w:val="000000"/>
                <w:kern w:val="0"/>
                <w:sz w:val="24"/>
                <w:szCs w:val="22"/>
              </w:rPr>
              <w:t>1</w:t>
            </w:r>
            <w:r>
              <w:rPr>
                <w:rFonts w:hint="eastAsia"/>
                <w:color w:val="000000"/>
                <w:kern w:val="0"/>
                <w:sz w:val="24"/>
                <w:szCs w:val="22"/>
              </w:rPr>
              <w:t>天1次。</w:t>
            </w:r>
          </w:p>
          <w:p>
            <w:pPr>
              <w:widowControl/>
              <w:adjustRightInd w:val="0"/>
              <w:snapToGrid w:val="0"/>
              <w:jc w:val="center"/>
              <w:rPr>
                <w:b/>
                <w:color w:val="000000"/>
                <w:kern w:val="0"/>
                <w:szCs w:val="22"/>
              </w:rPr>
            </w:pPr>
            <w:r>
              <w:rPr>
                <w:rFonts w:hint="eastAsia"/>
                <w:b/>
                <w:color w:val="000000"/>
                <w:kern w:val="0"/>
                <w:szCs w:val="22"/>
              </w:rPr>
              <w:t>表3</w:t>
            </w:r>
            <w:r>
              <w:rPr>
                <w:b/>
                <w:color w:val="000000"/>
                <w:kern w:val="0"/>
                <w:szCs w:val="22"/>
              </w:rPr>
              <w:t xml:space="preserve">-2 </w:t>
            </w:r>
            <w:r>
              <w:rPr>
                <w:rFonts w:hint="eastAsia"/>
                <w:b/>
                <w:color w:val="000000"/>
                <w:kern w:val="0"/>
                <w:szCs w:val="22"/>
              </w:rPr>
              <w:t>环境空气质量本底检测结果统计表</w:t>
            </w:r>
          </w:p>
          <w:tbl>
            <w:tblPr>
              <w:tblStyle w:val="1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159"/>
              <w:gridCol w:w="2265"/>
              <w:gridCol w:w="1712"/>
              <w:gridCol w:w="171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712" w:type="dxa"/>
                  <w:vAlign w:val="center"/>
                </w:tcPr>
                <w:p>
                  <w:pPr>
                    <w:widowControl/>
                    <w:adjustRightInd w:val="0"/>
                    <w:snapToGrid w:val="0"/>
                    <w:jc w:val="center"/>
                    <w:rPr>
                      <w:b/>
                      <w:color w:val="000000"/>
                      <w:kern w:val="0"/>
                      <w:szCs w:val="21"/>
                    </w:rPr>
                  </w:pPr>
                  <w:r>
                    <w:rPr>
                      <w:rFonts w:hint="eastAsia"/>
                      <w:b/>
                      <w:color w:val="000000"/>
                      <w:kern w:val="0"/>
                      <w:szCs w:val="21"/>
                    </w:rPr>
                    <w:t>采样日期</w:t>
                  </w:r>
                </w:p>
              </w:tc>
              <w:tc>
                <w:tcPr>
                  <w:tcW w:w="1159" w:type="dxa"/>
                  <w:vAlign w:val="center"/>
                </w:tcPr>
                <w:p>
                  <w:pPr>
                    <w:widowControl/>
                    <w:adjustRightInd w:val="0"/>
                    <w:snapToGrid w:val="0"/>
                    <w:jc w:val="center"/>
                    <w:rPr>
                      <w:b/>
                      <w:color w:val="000000"/>
                      <w:kern w:val="0"/>
                      <w:szCs w:val="21"/>
                    </w:rPr>
                  </w:pPr>
                  <w:r>
                    <w:rPr>
                      <w:rFonts w:hint="eastAsia"/>
                      <w:b/>
                      <w:color w:val="000000"/>
                      <w:kern w:val="0"/>
                      <w:szCs w:val="21"/>
                    </w:rPr>
                    <w:t>检测点位编号</w:t>
                  </w:r>
                </w:p>
              </w:tc>
              <w:tc>
                <w:tcPr>
                  <w:tcW w:w="2265" w:type="dxa"/>
                  <w:vAlign w:val="center"/>
                </w:tcPr>
                <w:p>
                  <w:pPr>
                    <w:widowControl/>
                    <w:adjustRightInd w:val="0"/>
                    <w:snapToGrid w:val="0"/>
                    <w:jc w:val="center"/>
                    <w:rPr>
                      <w:b/>
                      <w:color w:val="000000"/>
                      <w:kern w:val="0"/>
                      <w:szCs w:val="21"/>
                    </w:rPr>
                  </w:pPr>
                  <w:r>
                    <w:rPr>
                      <w:rFonts w:hint="eastAsia"/>
                      <w:b/>
                      <w:color w:val="000000"/>
                      <w:kern w:val="0"/>
                      <w:szCs w:val="21"/>
                    </w:rPr>
                    <w:t>检测项目</w:t>
                  </w:r>
                </w:p>
              </w:tc>
              <w:tc>
                <w:tcPr>
                  <w:tcW w:w="1712" w:type="dxa"/>
                  <w:vAlign w:val="center"/>
                </w:tcPr>
                <w:p>
                  <w:pPr>
                    <w:widowControl/>
                    <w:adjustRightInd w:val="0"/>
                    <w:snapToGrid w:val="0"/>
                    <w:jc w:val="center"/>
                    <w:rPr>
                      <w:b/>
                      <w:color w:val="000000"/>
                      <w:kern w:val="0"/>
                      <w:szCs w:val="21"/>
                    </w:rPr>
                  </w:pPr>
                  <w:r>
                    <w:rPr>
                      <w:rFonts w:hint="eastAsia"/>
                      <w:b/>
                      <w:color w:val="000000"/>
                      <w:kern w:val="0"/>
                      <w:szCs w:val="21"/>
                    </w:rPr>
                    <w:t>检测结果（2</w:t>
                  </w:r>
                  <w:r>
                    <w:rPr>
                      <w:b/>
                      <w:color w:val="000000"/>
                      <w:kern w:val="0"/>
                      <w:szCs w:val="21"/>
                    </w:rPr>
                    <w:t>4</w:t>
                  </w:r>
                  <w:r>
                    <w:rPr>
                      <w:rFonts w:hint="eastAsia"/>
                      <w:b/>
                      <w:color w:val="000000"/>
                      <w:kern w:val="0"/>
                      <w:szCs w:val="21"/>
                    </w:rPr>
                    <w:t>h均值）</w:t>
                  </w:r>
                </w:p>
              </w:tc>
              <w:tc>
                <w:tcPr>
                  <w:tcW w:w="1713" w:type="dxa"/>
                  <w:vAlign w:val="center"/>
                </w:tcPr>
                <w:p>
                  <w:pPr>
                    <w:widowControl/>
                    <w:adjustRightInd w:val="0"/>
                    <w:snapToGrid w:val="0"/>
                    <w:jc w:val="center"/>
                    <w:rPr>
                      <w:b/>
                      <w:color w:val="000000"/>
                      <w:kern w:val="0"/>
                      <w:szCs w:val="21"/>
                    </w:rPr>
                  </w:pPr>
                  <w:r>
                    <w:rPr>
                      <w:rFonts w:hint="eastAsia"/>
                      <w:b/>
                      <w:color w:val="000000"/>
                      <w:kern w:val="0"/>
                      <w:szCs w:val="21"/>
                    </w:rPr>
                    <w:t>标准限值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712" w:type="dxa"/>
                  <w:vAlign w:val="center"/>
                </w:tcPr>
                <w:p>
                  <w:pPr>
                    <w:widowControl/>
                    <w:adjustRightInd w:val="0"/>
                    <w:snapToGrid w:val="0"/>
                    <w:jc w:val="center"/>
                    <w:rPr>
                      <w:color w:val="000000"/>
                      <w:kern w:val="0"/>
                      <w:szCs w:val="21"/>
                    </w:rPr>
                  </w:pPr>
                  <w:r>
                    <w:rPr>
                      <w:rFonts w:hint="eastAsia"/>
                      <w:color w:val="000000"/>
                      <w:kern w:val="0"/>
                      <w:szCs w:val="21"/>
                    </w:rPr>
                    <w:t>2</w:t>
                  </w:r>
                  <w:r>
                    <w:rPr>
                      <w:color w:val="000000"/>
                      <w:kern w:val="0"/>
                      <w:szCs w:val="21"/>
                    </w:rPr>
                    <w:t>022.03.04</w:t>
                  </w:r>
                </w:p>
              </w:tc>
              <w:tc>
                <w:tcPr>
                  <w:tcW w:w="1159" w:type="dxa"/>
                  <w:vMerge w:val="restart"/>
                  <w:vAlign w:val="center"/>
                </w:tcPr>
                <w:p>
                  <w:pPr>
                    <w:widowControl/>
                    <w:adjustRightInd w:val="0"/>
                    <w:snapToGrid w:val="0"/>
                    <w:jc w:val="center"/>
                    <w:rPr>
                      <w:color w:val="000000"/>
                      <w:kern w:val="0"/>
                      <w:szCs w:val="21"/>
                    </w:rPr>
                  </w:pPr>
                  <w:r>
                    <w:rPr>
                      <w:rFonts w:hint="eastAsia"/>
                      <w:color w:val="000000"/>
                      <w:kern w:val="0"/>
                      <w:szCs w:val="21"/>
                    </w:rPr>
                    <w:t>1</w:t>
                  </w:r>
                  <w:r>
                    <w:rPr>
                      <w:color w:val="000000"/>
                      <w:kern w:val="0"/>
                      <w:szCs w:val="21"/>
                    </w:rPr>
                    <w:t>#</w:t>
                  </w:r>
                </w:p>
              </w:tc>
              <w:tc>
                <w:tcPr>
                  <w:tcW w:w="2265" w:type="dxa"/>
                  <w:vMerge w:val="restart"/>
                  <w:vAlign w:val="center"/>
                </w:tcPr>
                <w:p>
                  <w:pPr>
                    <w:widowControl/>
                    <w:adjustRightInd w:val="0"/>
                    <w:snapToGrid w:val="0"/>
                    <w:jc w:val="center"/>
                    <w:rPr>
                      <w:color w:val="000000"/>
                      <w:kern w:val="0"/>
                      <w:szCs w:val="21"/>
                    </w:rPr>
                  </w:pPr>
                  <w:r>
                    <w:rPr>
                      <w:rFonts w:hint="eastAsia"/>
                      <w:color w:val="000000"/>
                      <w:kern w:val="0"/>
                      <w:szCs w:val="21"/>
                    </w:rPr>
                    <w:t>总悬浮颗粒物（TSP，mg/m</w:t>
                  </w:r>
                  <w:r>
                    <w:rPr>
                      <w:color w:val="000000"/>
                      <w:kern w:val="0"/>
                      <w:szCs w:val="21"/>
                      <w:vertAlign w:val="superscript"/>
                    </w:rPr>
                    <w:t>3</w:t>
                  </w:r>
                  <w:r>
                    <w:rPr>
                      <w:rFonts w:hint="eastAsia"/>
                      <w:color w:val="000000"/>
                      <w:kern w:val="0"/>
                      <w:szCs w:val="21"/>
                    </w:rPr>
                    <w:t>）</w:t>
                  </w:r>
                </w:p>
              </w:tc>
              <w:tc>
                <w:tcPr>
                  <w:tcW w:w="1712" w:type="dxa"/>
                  <w:vAlign w:val="center"/>
                </w:tcPr>
                <w:p>
                  <w:pPr>
                    <w:widowControl/>
                    <w:adjustRightInd w:val="0"/>
                    <w:snapToGrid w:val="0"/>
                    <w:jc w:val="center"/>
                    <w:rPr>
                      <w:color w:val="000000"/>
                      <w:kern w:val="0"/>
                      <w:szCs w:val="21"/>
                    </w:rPr>
                  </w:pPr>
                  <w:r>
                    <w:rPr>
                      <w:rFonts w:hint="eastAsia"/>
                      <w:color w:val="000000"/>
                      <w:kern w:val="0"/>
                      <w:szCs w:val="21"/>
                    </w:rPr>
                    <w:t>0</w:t>
                  </w:r>
                  <w:r>
                    <w:rPr>
                      <w:color w:val="000000"/>
                      <w:kern w:val="0"/>
                      <w:szCs w:val="21"/>
                    </w:rPr>
                    <w:t>.217</w:t>
                  </w:r>
                </w:p>
              </w:tc>
              <w:tc>
                <w:tcPr>
                  <w:tcW w:w="1713" w:type="dxa"/>
                  <w:vMerge w:val="restart"/>
                  <w:vAlign w:val="center"/>
                </w:tcPr>
                <w:p>
                  <w:pPr>
                    <w:widowControl/>
                    <w:adjustRightInd w:val="0"/>
                    <w:snapToGrid w:val="0"/>
                    <w:jc w:val="center"/>
                    <w:rPr>
                      <w:color w:val="000000"/>
                      <w:kern w:val="0"/>
                      <w:szCs w:val="21"/>
                    </w:rPr>
                  </w:pPr>
                  <w:r>
                    <w:rPr>
                      <w:rFonts w:hint="eastAsia"/>
                      <w:color w:val="000000"/>
                      <w:kern w:val="0"/>
                      <w:szCs w:val="21"/>
                    </w:rPr>
                    <w:t>0</w:t>
                  </w:r>
                  <w:r>
                    <w:rPr>
                      <w:color w:val="000000"/>
                      <w:kern w:val="0"/>
                      <w:szCs w:val="21"/>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712" w:type="dxa"/>
                  <w:vAlign w:val="center"/>
                </w:tcPr>
                <w:p>
                  <w:pPr>
                    <w:widowControl/>
                    <w:adjustRightInd w:val="0"/>
                    <w:snapToGrid w:val="0"/>
                    <w:jc w:val="center"/>
                    <w:rPr>
                      <w:color w:val="000000"/>
                      <w:kern w:val="0"/>
                      <w:szCs w:val="21"/>
                    </w:rPr>
                  </w:pPr>
                  <w:r>
                    <w:rPr>
                      <w:rFonts w:hint="eastAsia"/>
                      <w:color w:val="000000"/>
                      <w:kern w:val="0"/>
                      <w:szCs w:val="21"/>
                    </w:rPr>
                    <w:t>2</w:t>
                  </w:r>
                  <w:r>
                    <w:rPr>
                      <w:color w:val="000000"/>
                      <w:kern w:val="0"/>
                      <w:szCs w:val="21"/>
                    </w:rPr>
                    <w:t>022.03.05</w:t>
                  </w:r>
                </w:p>
              </w:tc>
              <w:tc>
                <w:tcPr>
                  <w:tcW w:w="1159" w:type="dxa"/>
                  <w:vMerge w:val="continue"/>
                  <w:vAlign w:val="center"/>
                </w:tcPr>
                <w:p>
                  <w:pPr>
                    <w:widowControl/>
                    <w:adjustRightInd w:val="0"/>
                    <w:snapToGrid w:val="0"/>
                    <w:jc w:val="center"/>
                    <w:rPr>
                      <w:color w:val="000000"/>
                      <w:kern w:val="0"/>
                      <w:szCs w:val="21"/>
                    </w:rPr>
                  </w:pPr>
                </w:p>
              </w:tc>
              <w:tc>
                <w:tcPr>
                  <w:tcW w:w="2265" w:type="dxa"/>
                  <w:vMerge w:val="continue"/>
                  <w:vAlign w:val="center"/>
                </w:tcPr>
                <w:p>
                  <w:pPr>
                    <w:widowControl/>
                    <w:adjustRightInd w:val="0"/>
                    <w:snapToGrid w:val="0"/>
                    <w:jc w:val="center"/>
                    <w:rPr>
                      <w:color w:val="000000"/>
                      <w:kern w:val="0"/>
                      <w:szCs w:val="21"/>
                    </w:rPr>
                  </w:pPr>
                </w:p>
              </w:tc>
              <w:tc>
                <w:tcPr>
                  <w:tcW w:w="1712" w:type="dxa"/>
                  <w:vAlign w:val="center"/>
                </w:tcPr>
                <w:p>
                  <w:pPr>
                    <w:widowControl/>
                    <w:adjustRightInd w:val="0"/>
                    <w:snapToGrid w:val="0"/>
                    <w:jc w:val="center"/>
                    <w:rPr>
                      <w:color w:val="000000"/>
                      <w:kern w:val="0"/>
                      <w:szCs w:val="21"/>
                    </w:rPr>
                  </w:pPr>
                  <w:r>
                    <w:rPr>
                      <w:rFonts w:hint="eastAsia"/>
                      <w:color w:val="000000"/>
                      <w:kern w:val="0"/>
                      <w:szCs w:val="21"/>
                    </w:rPr>
                    <w:t>0</w:t>
                  </w:r>
                  <w:r>
                    <w:rPr>
                      <w:color w:val="000000"/>
                      <w:kern w:val="0"/>
                      <w:szCs w:val="21"/>
                    </w:rPr>
                    <w:t>.211</w:t>
                  </w:r>
                </w:p>
              </w:tc>
              <w:tc>
                <w:tcPr>
                  <w:tcW w:w="1713" w:type="dxa"/>
                  <w:vMerge w:val="continue"/>
                  <w:vAlign w:val="center"/>
                </w:tcPr>
                <w:p>
                  <w:pPr>
                    <w:widowControl/>
                    <w:adjustRightInd w:val="0"/>
                    <w:snapToGrid w:val="0"/>
                    <w:jc w:val="center"/>
                    <w:rPr>
                      <w:color w:val="000000"/>
                      <w:kern w:val="0"/>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12" w:type="dxa"/>
                </w:tcPr>
                <w:p>
                  <w:pPr>
                    <w:widowControl/>
                    <w:adjustRightInd w:val="0"/>
                    <w:snapToGrid w:val="0"/>
                    <w:jc w:val="center"/>
                    <w:rPr>
                      <w:color w:val="000000"/>
                      <w:kern w:val="0"/>
                      <w:szCs w:val="21"/>
                    </w:rPr>
                  </w:pPr>
                  <w:r>
                    <w:rPr>
                      <w:rFonts w:hint="eastAsia"/>
                      <w:color w:val="000000"/>
                      <w:kern w:val="0"/>
                      <w:szCs w:val="21"/>
                    </w:rPr>
                    <w:t>2</w:t>
                  </w:r>
                  <w:r>
                    <w:rPr>
                      <w:color w:val="000000"/>
                      <w:kern w:val="0"/>
                      <w:szCs w:val="21"/>
                    </w:rPr>
                    <w:t>022.03.06</w:t>
                  </w:r>
                </w:p>
              </w:tc>
              <w:tc>
                <w:tcPr>
                  <w:tcW w:w="1159" w:type="dxa"/>
                  <w:vMerge w:val="continue"/>
                </w:tcPr>
                <w:p>
                  <w:pPr>
                    <w:widowControl/>
                    <w:adjustRightInd w:val="0"/>
                    <w:snapToGrid w:val="0"/>
                    <w:jc w:val="center"/>
                    <w:rPr>
                      <w:color w:val="000000"/>
                      <w:kern w:val="0"/>
                      <w:szCs w:val="21"/>
                    </w:rPr>
                  </w:pPr>
                </w:p>
              </w:tc>
              <w:tc>
                <w:tcPr>
                  <w:tcW w:w="2265" w:type="dxa"/>
                  <w:vMerge w:val="continue"/>
                </w:tcPr>
                <w:p>
                  <w:pPr>
                    <w:widowControl/>
                    <w:adjustRightInd w:val="0"/>
                    <w:snapToGrid w:val="0"/>
                    <w:jc w:val="center"/>
                    <w:rPr>
                      <w:color w:val="000000"/>
                      <w:kern w:val="0"/>
                      <w:szCs w:val="21"/>
                    </w:rPr>
                  </w:pPr>
                </w:p>
              </w:tc>
              <w:tc>
                <w:tcPr>
                  <w:tcW w:w="1712" w:type="dxa"/>
                </w:tcPr>
                <w:p>
                  <w:pPr>
                    <w:widowControl/>
                    <w:adjustRightInd w:val="0"/>
                    <w:snapToGrid w:val="0"/>
                    <w:jc w:val="center"/>
                    <w:rPr>
                      <w:color w:val="000000"/>
                      <w:kern w:val="0"/>
                      <w:szCs w:val="21"/>
                    </w:rPr>
                  </w:pPr>
                  <w:r>
                    <w:rPr>
                      <w:rFonts w:hint="eastAsia"/>
                      <w:color w:val="000000"/>
                      <w:kern w:val="0"/>
                      <w:szCs w:val="21"/>
                    </w:rPr>
                    <w:t>0</w:t>
                  </w:r>
                  <w:r>
                    <w:rPr>
                      <w:color w:val="000000"/>
                      <w:kern w:val="0"/>
                      <w:szCs w:val="21"/>
                    </w:rPr>
                    <w:t>.202</w:t>
                  </w:r>
                </w:p>
              </w:tc>
              <w:tc>
                <w:tcPr>
                  <w:tcW w:w="1713" w:type="dxa"/>
                  <w:vMerge w:val="continue"/>
                </w:tcPr>
                <w:p>
                  <w:pPr>
                    <w:widowControl/>
                    <w:adjustRightInd w:val="0"/>
                    <w:snapToGrid w:val="0"/>
                    <w:jc w:val="center"/>
                    <w:rPr>
                      <w:color w:val="000000"/>
                      <w:kern w:val="0"/>
                      <w:szCs w:val="21"/>
                    </w:rPr>
                  </w:pPr>
                </w:p>
              </w:tc>
            </w:tr>
          </w:tbl>
          <w:p>
            <w:pPr>
              <w:spacing w:before="120" w:beforeLines="50" w:line="360" w:lineRule="auto"/>
              <w:ind w:firstLine="480" w:firstLineChars="200"/>
              <w:rPr>
                <w:color w:val="000000"/>
                <w:sz w:val="24"/>
              </w:rPr>
            </w:pPr>
            <w:r>
              <w:rPr>
                <w:color w:val="000000"/>
                <w:sz w:val="24"/>
              </w:rPr>
              <w:t>本项目</w:t>
            </w:r>
            <w:r>
              <w:rPr>
                <w:rFonts w:hint="eastAsia"/>
                <w:color w:val="000000"/>
                <w:sz w:val="24"/>
              </w:rPr>
              <w:t>位</w:t>
            </w:r>
            <w:r>
              <w:rPr>
                <w:rFonts w:hint="eastAsia" w:cs="宋体"/>
                <w:sz w:val="24"/>
              </w:rPr>
              <w:t>沙湾区嘉农镇王场村</w:t>
            </w:r>
            <w:r>
              <w:rPr>
                <w:sz w:val="24"/>
              </w:rPr>
              <w:t>民生不锈钢产业园嘉农组团</w:t>
            </w:r>
            <w:r>
              <w:rPr>
                <w:rFonts w:hint="eastAsia"/>
                <w:color w:val="000000"/>
                <w:sz w:val="24"/>
              </w:rPr>
              <w:t>，环境空气质量执行《环境空气质量标准》（GB3095-2012）及其修改单（生态环境部2018年第29号）中的二级标准，由上表可知，本项目拟建地周围总悬浮颗粒物浓度现状能够达到二级标准要求。</w:t>
            </w:r>
          </w:p>
          <w:p>
            <w:pPr>
              <w:pStyle w:val="38"/>
              <w:ind w:firstLine="482"/>
              <w:rPr>
                <w:b/>
                <w:color w:val="000000"/>
                <w:kern w:val="0"/>
              </w:rPr>
            </w:pPr>
            <w:r>
              <w:rPr>
                <w:rFonts w:hint="eastAsia"/>
                <w:b/>
                <w:color w:val="000000"/>
                <w:kern w:val="0"/>
              </w:rPr>
              <w:t>二、地表水环境质量</w:t>
            </w:r>
          </w:p>
          <w:p>
            <w:pPr>
              <w:wordWrap w:val="0"/>
              <w:adjustRightInd w:val="0"/>
              <w:snapToGrid w:val="0"/>
              <w:spacing w:line="360" w:lineRule="auto"/>
              <w:ind w:firstLine="480" w:firstLineChars="200"/>
              <w:rPr>
                <w:color w:val="000000"/>
                <w:sz w:val="24"/>
              </w:rPr>
            </w:pPr>
            <w:r>
              <w:rPr>
                <w:rFonts w:hint="eastAsia"/>
                <w:color w:val="000000"/>
                <w:sz w:val="24"/>
              </w:rPr>
              <w:t>本项目为砂石加工项目，所在地地表水水体为大渡河，根据《乐山市地表水水质质量月报》（网址：</w:t>
            </w:r>
            <w:r>
              <w:rPr>
                <w:color w:val="000000"/>
                <w:sz w:val="24"/>
              </w:rPr>
              <w:t>https://www.leshan.gov.cn/lsswszf/hhjzl/list.shtml</w:t>
            </w:r>
            <w:r>
              <w:rPr>
                <w:rFonts w:hint="eastAsia"/>
                <w:color w:val="000000"/>
                <w:sz w:val="24"/>
              </w:rPr>
              <w:t>），页面详情如下图所示。</w:t>
            </w:r>
          </w:p>
          <w:p>
            <w:pPr>
              <w:adjustRightInd w:val="0"/>
              <w:snapToGrid w:val="0"/>
              <w:spacing w:line="360" w:lineRule="auto"/>
              <w:jc w:val="center"/>
              <w:rPr>
                <w:color w:val="000000"/>
                <w:sz w:val="24"/>
              </w:rPr>
            </w:pPr>
            <w:r>
              <w:rPr>
                <w:rFonts w:hint="eastAsia"/>
                <w:color w:val="000000"/>
                <w:sz w:val="24"/>
              </w:rPr>
              <mc:AlternateContent>
                <mc:Choice Requires="wps">
                  <w:drawing>
                    <wp:anchor distT="0" distB="0" distL="114300" distR="114300" simplePos="0" relativeHeight="251661312" behindDoc="0" locked="0" layoutInCell="1" allowOverlap="1">
                      <wp:simplePos x="0" y="0"/>
                      <wp:positionH relativeFrom="column">
                        <wp:posOffset>1045210</wp:posOffset>
                      </wp:positionH>
                      <wp:positionV relativeFrom="paragraph">
                        <wp:posOffset>4277995</wp:posOffset>
                      </wp:positionV>
                      <wp:extent cx="3255010" cy="218440"/>
                      <wp:effectExtent l="0" t="0" r="22225" b="10795"/>
                      <wp:wrapNone/>
                      <wp:docPr id="85" name="矩形 85"/>
                      <wp:cNvGraphicFramePr/>
                      <a:graphic xmlns:a="http://schemas.openxmlformats.org/drawingml/2006/main">
                        <a:graphicData uri="http://schemas.microsoft.com/office/word/2010/wordprocessingShape">
                          <wps:wsp>
                            <wps:cNvSpPr/>
                            <wps:spPr>
                              <a:xfrm>
                                <a:off x="0" y="0"/>
                                <a:ext cx="3254991" cy="21836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2.3pt;margin-top:336.85pt;height:17.2pt;width:256.3pt;z-index:251661312;v-text-anchor:middle;mso-width-relative:page;mso-height-relative:page;" filled="f" stroked="t" coordsize="21600,21600" o:gfxdata="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KDd322AAAAAsBAAAPAAAAAAAAAAEAIAAAACIAAABkcnMvZG93bnJldi54&#10;bWxQSwECFAAUAAAACACHTuJAw0cjHWwCAADNBAAADgAAAAAAAAABACAAAAAnAQAAZHJzL2Uyb0Rv&#10;Yy54bWxQSwUGAAAAAAYABgBZAQAABQYAAAAA&#10;">
                      <v:fill on="f" focussize="0,0"/>
                      <v:stroke weight="1.5pt" color="#FF0000 [3204]" miterlimit="8" joinstyle="miter"/>
                      <v:imagedata o:title=""/>
                      <o:lock v:ext="edit" aspectratio="f"/>
                    </v:rect>
                  </w:pict>
                </mc:Fallback>
              </mc:AlternateContent>
            </w:r>
            <w:r>
              <w:rPr>
                <w:rFonts w:hint="eastAsia"/>
                <w:color w:val="000000"/>
                <w:sz w:val="24"/>
              </w:rPr>
              <w:drawing>
                <wp:inline distT="0" distB="0" distL="0" distR="0">
                  <wp:extent cx="5442585" cy="5368925"/>
                  <wp:effectExtent l="0" t="0" r="5715" b="317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13">
                            <a:extLst>
                              <a:ext uri="{28A0092B-C50C-407E-A947-70E740481C1C}">
                                <a14:useLocalDpi xmlns:a14="http://schemas.microsoft.com/office/drawing/2010/main" val="0"/>
                              </a:ext>
                            </a:extLst>
                          </a:blip>
                          <a:srcRect b="2313"/>
                          <a:stretch>
                            <a:fillRect/>
                          </a:stretch>
                        </pic:blipFill>
                        <pic:spPr>
                          <a:xfrm>
                            <a:off x="0" y="0"/>
                            <a:ext cx="5442585" cy="5369442"/>
                          </a:xfrm>
                          <a:prstGeom prst="rect">
                            <a:avLst/>
                          </a:prstGeom>
                          <a:ln>
                            <a:noFill/>
                          </a:ln>
                        </pic:spPr>
                      </pic:pic>
                    </a:graphicData>
                  </a:graphic>
                </wp:inline>
              </w:drawing>
            </w:r>
          </w:p>
          <w:p>
            <w:pPr>
              <w:adjustRightInd w:val="0"/>
              <w:snapToGrid w:val="0"/>
              <w:jc w:val="center"/>
              <w:rPr>
                <w:b/>
                <w:color w:val="000000"/>
              </w:rPr>
            </w:pPr>
            <w:r>
              <w:rPr>
                <w:rFonts w:hint="eastAsia"/>
                <w:b/>
                <w:color w:val="000000"/>
              </w:rPr>
              <w:t>图3</w:t>
            </w:r>
            <w:r>
              <w:rPr>
                <w:b/>
                <w:color w:val="000000"/>
              </w:rPr>
              <w:t xml:space="preserve">-1 </w:t>
            </w:r>
            <w:r>
              <w:rPr>
                <w:rFonts w:hint="eastAsia"/>
                <w:b/>
                <w:color w:val="000000"/>
              </w:rPr>
              <w:t>《乐山市地表水水质量月报（2</w:t>
            </w:r>
            <w:r>
              <w:rPr>
                <w:b/>
                <w:color w:val="000000"/>
              </w:rPr>
              <w:t>022</w:t>
            </w:r>
            <w:r>
              <w:rPr>
                <w:rFonts w:hint="eastAsia"/>
                <w:b/>
                <w:color w:val="000000"/>
              </w:rPr>
              <w:t>年7月）》网站截图</w:t>
            </w:r>
          </w:p>
          <w:p>
            <w:pPr>
              <w:wordWrap w:val="0"/>
              <w:adjustRightInd w:val="0"/>
              <w:snapToGrid w:val="0"/>
              <w:spacing w:line="360" w:lineRule="auto"/>
              <w:ind w:firstLine="480" w:firstLineChars="200"/>
              <w:rPr>
                <w:color w:val="000000"/>
                <w:sz w:val="24"/>
              </w:rPr>
            </w:pPr>
            <w:r>
              <w:rPr>
                <w:rFonts w:hint="eastAsia"/>
                <w:color w:val="000000"/>
                <w:sz w:val="24"/>
              </w:rPr>
              <w:t>经过整理2022年5月至10月水质评价，大渡河安谷电站大坝水质情况如下表所示。</w:t>
            </w:r>
          </w:p>
          <w:p>
            <w:pPr>
              <w:adjustRightInd w:val="0"/>
              <w:snapToGrid w:val="0"/>
              <w:jc w:val="center"/>
              <w:rPr>
                <w:b/>
                <w:color w:val="000000"/>
              </w:rPr>
            </w:pPr>
            <w:r>
              <w:rPr>
                <w:rFonts w:hint="eastAsia"/>
                <w:b/>
                <w:color w:val="000000"/>
              </w:rPr>
              <w:t>表3</w:t>
            </w:r>
            <w:r>
              <w:rPr>
                <w:b/>
                <w:color w:val="000000"/>
              </w:rPr>
              <w:t xml:space="preserve">-3 </w:t>
            </w:r>
            <w:r>
              <w:rPr>
                <w:rFonts w:hint="eastAsia"/>
                <w:b/>
                <w:color w:val="000000"/>
              </w:rPr>
              <w:t>水质评价一览表</w:t>
            </w:r>
          </w:p>
          <w:tbl>
            <w:tblPr>
              <w:tblStyle w:val="15"/>
              <w:tblW w:w="856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417"/>
              <w:gridCol w:w="2127"/>
              <w:gridCol w:w="1241"/>
              <w:gridCol w:w="1241"/>
              <w:gridCol w:w="124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293" w:type="dxa"/>
                  <w:vAlign w:val="center"/>
                </w:tcPr>
                <w:p>
                  <w:pPr>
                    <w:widowControl/>
                    <w:adjustRightInd w:val="0"/>
                    <w:snapToGrid w:val="0"/>
                    <w:jc w:val="center"/>
                    <w:rPr>
                      <w:rFonts w:cs="宋体"/>
                      <w:b/>
                      <w:kern w:val="0"/>
                      <w:szCs w:val="21"/>
                    </w:rPr>
                  </w:pPr>
                  <w:r>
                    <w:rPr>
                      <w:rFonts w:hint="eastAsia" w:cs="宋体"/>
                      <w:b/>
                      <w:kern w:val="0"/>
                      <w:szCs w:val="21"/>
                    </w:rPr>
                    <w:t>日期</w:t>
                  </w:r>
                </w:p>
              </w:tc>
              <w:tc>
                <w:tcPr>
                  <w:tcW w:w="1417" w:type="dxa"/>
                  <w:vAlign w:val="center"/>
                </w:tcPr>
                <w:p>
                  <w:pPr>
                    <w:widowControl/>
                    <w:adjustRightInd w:val="0"/>
                    <w:snapToGrid w:val="0"/>
                    <w:jc w:val="center"/>
                    <w:rPr>
                      <w:rFonts w:cs="宋体"/>
                      <w:b/>
                      <w:kern w:val="0"/>
                      <w:szCs w:val="21"/>
                    </w:rPr>
                  </w:pPr>
                  <w:r>
                    <w:rPr>
                      <w:rFonts w:hint="eastAsia" w:cs="宋体"/>
                      <w:b/>
                      <w:kern w:val="0"/>
                      <w:szCs w:val="21"/>
                    </w:rPr>
                    <w:t>河流名称</w:t>
                  </w:r>
                </w:p>
              </w:tc>
              <w:tc>
                <w:tcPr>
                  <w:tcW w:w="2127" w:type="dxa"/>
                  <w:vAlign w:val="center"/>
                </w:tcPr>
                <w:p>
                  <w:pPr>
                    <w:widowControl/>
                    <w:adjustRightInd w:val="0"/>
                    <w:snapToGrid w:val="0"/>
                    <w:jc w:val="center"/>
                    <w:rPr>
                      <w:rFonts w:cs="宋体"/>
                      <w:b/>
                      <w:kern w:val="0"/>
                      <w:szCs w:val="21"/>
                    </w:rPr>
                  </w:pPr>
                  <w:r>
                    <w:rPr>
                      <w:rFonts w:hint="eastAsia" w:cs="宋体"/>
                      <w:b/>
                      <w:kern w:val="0"/>
                      <w:szCs w:val="21"/>
                    </w:rPr>
                    <w:t>断面名称</w:t>
                  </w:r>
                </w:p>
              </w:tc>
              <w:tc>
                <w:tcPr>
                  <w:tcW w:w="1241" w:type="dxa"/>
                  <w:vAlign w:val="center"/>
                </w:tcPr>
                <w:p>
                  <w:pPr>
                    <w:widowControl/>
                    <w:adjustRightInd w:val="0"/>
                    <w:snapToGrid w:val="0"/>
                    <w:jc w:val="center"/>
                    <w:rPr>
                      <w:rFonts w:cs="宋体"/>
                      <w:b/>
                      <w:kern w:val="0"/>
                      <w:szCs w:val="21"/>
                    </w:rPr>
                  </w:pPr>
                  <w:r>
                    <w:rPr>
                      <w:rFonts w:hint="eastAsia" w:cs="宋体"/>
                      <w:b/>
                      <w:kern w:val="0"/>
                      <w:szCs w:val="21"/>
                    </w:rPr>
                    <w:t>考核级别</w:t>
                  </w:r>
                </w:p>
              </w:tc>
              <w:tc>
                <w:tcPr>
                  <w:tcW w:w="1241" w:type="dxa"/>
                  <w:vAlign w:val="center"/>
                </w:tcPr>
                <w:p>
                  <w:pPr>
                    <w:widowControl/>
                    <w:adjustRightInd w:val="0"/>
                    <w:snapToGrid w:val="0"/>
                    <w:jc w:val="center"/>
                    <w:rPr>
                      <w:rFonts w:cs="宋体"/>
                      <w:b/>
                      <w:kern w:val="0"/>
                      <w:szCs w:val="21"/>
                    </w:rPr>
                  </w:pPr>
                  <w:r>
                    <w:rPr>
                      <w:rFonts w:hint="eastAsia" w:cs="宋体"/>
                      <w:b/>
                      <w:kern w:val="0"/>
                      <w:szCs w:val="21"/>
                    </w:rPr>
                    <w:t>实测级别</w:t>
                  </w:r>
                </w:p>
              </w:tc>
              <w:tc>
                <w:tcPr>
                  <w:tcW w:w="1242" w:type="dxa"/>
                  <w:vAlign w:val="center"/>
                </w:tcPr>
                <w:p>
                  <w:pPr>
                    <w:widowControl/>
                    <w:adjustRightInd w:val="0"/>
                    <w:snapToGrid w:val="0"/>
                    <w:jc w:val="center"/>
                    <w:rPr>
                      <w:rFonts w:cs="宋体"/>
                      <w:b/>
                      <w:kern w:val="0"/>
                      <w:szCs w:val="21"/>
                    </w:rPr>
                  </w:pPr>
                  <w:r>
                    <w:rPr>
                      <w:rFonts w:hint="eastAsia" w:cs="宋体"/>
                      <w:b/>
                      <w:kern w:val="0"/>
                      <w:szCs w:val="21"/>
                    </w:rPr>
                    <w:t>是否达标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293" w:type="dxa"/>
                  <w:vAlign w:val="center"/>
                </w:tcPr>
                <w:p>
                  <w:pPr>
                    <w:widowControl/>
                    <w:adjustRightInd w:val="0"/>
                    <w:snapToGrid w:val="0"/>
                    <w:jc w:val="center"/>
                    <w:rPr>
                      <w:rFonts w:cs="宋体"/>
                      <w:kern w:val="0"/>
                      <w:szCs w:val="21"/>
                    </w:rPr>
                  </w:pPr>
                  <w:r>
                    <w:rPr>
                      <w:rFonts w:hint="eastAsia" w:cs="宋体"/>
                      <w:kern w:val="0"/>
                      <w:szCs w:val="21"/>
                    </w:rPr>
                    <w:t>2</w:t>
                  </w:r>
                  <w:r>
                    <w:rPr>
                      <w:rFonts w:cs="宋体"/>
                      <w:kern w:val="0"/>
                      <w:szCs w:val="21"/>
                    </w:rPr>
                    <w:t>022.5</w:t>
                  </w:r>
                </w:p>
              </w:tc>
              <w:tc>
                <w:tcPr>
                  <w:tcW w:w="1417" w:type="dxa"/>
                  <w:vAlign w:val="center"/>
                </w:tcPr>
                <w:p>
                  <w:pPr>
                    <w:widowControl/>
                    <w:adjustRightInd w:val="0"/>
                    <w:snapToGrid w:val="0"/>
                    <w:jc w:val="center"/>
                    <w:rPr>
                      <w:rFonts w:cs="宋体"/>
                      <w:kern w:val="0"/>
                      <w:szCs w:val="21"/>
                    </w:rPr>
                  </w:pPr>
                  <w:r>
                    <w:rPr>
                      <w:rFonts w:hint="eastAsia" w:cs="宋体"/>
                      <w:kern w:val="0"/>
                      <w:szCs w:val="21"/>
                    </w:rPr>
                    <w:t>大渡河</w:t>
                  </w:r>
                </w:p>
              </w:tc>
              <w:tc>
                <w:tcPr>
                  <w:tcW w:w="2127" w:type="dxa"/>
                  <w:vAlign w:val="center"/>
                </w:tcPr>
                <w:p>
                  <w:pPr>
                    <w:rPr>
                      <w:rFonts w:cs="宋体"/>
                      <w:kern w:val="0"/>
                      <w:szCs w:val="21"/>
                    </w:rPr>
                  </w:pPr>
                  <w:r>
                    <w:rPr>
                      <w:rFonts w:hint="eastAsia" w:cs="宋体"/>
                      <w:kern w:val="0"/>
                      <w:szCs w:val="21"/>
                    </w:rPr>
                    <w:t>大渡河安谷电站大坝</w:t>
                  </w:r>
                </w:p>
              </w:tc>
              <w:tc>
                <w:tcPr>
                  <w:tcW w:w="1241" w:type="dxa"/>
                  <w:vAlign w:val="center"/>
                </w:tcPr>
                <w:p>
                  <w:pPr>
                    <w:widowControl/>
                    <w:adjustRightInd w:val="0"/>
                    <w:snapToGrid w:val="0"/>
                    <w:jc w:val="center"/>
                    <w:rPr>
                      <w:rFonts w:cs="宋体"/>
                      <w:kern w:val="0"/>
                      <w:szCs w:val="21"/>
                    </w:rPr>
                  </w:pPr>
                  <w:r>
                    <w:rPr>
                      <w:rFonts w:hint="eastAsia" w:cs="宋体"/>
                      <w:kern w:val="0"/>
                      <w:szCs w:val="21"/>
                    </w:rPr>
                    <w:t>省考</w:t>
                  </w:r>
                </w:p>
              </w:tc>
              <w:tc>
                <w:tcPr>
                  <w:tcW w:w="1241" w:type="dxa"/>
                  <w:vAlign w:val="center"/>
                </w:tcPr>
                <w:p>
                  <w:pPr>
                    <w:widowControl/>
                    <w:adjustRightInd w:val="0"/>
                    <w:snapToGrid w:val="0"/>
                    <w:jc w:val="center"/>
                    <w:rPr>
                      <w:kern w:val="0"/>
                      <w:szCs w:val="21"/>
                    </w:rPr>
                  </w:pPr>
                  <w:r>
                    <w:rPr>
                      <w:kern w:val="0"/>
                      <w:szCs w:val="21"/>
                    </w:rPr>
                    <w:t>Ⅱ</w:t>
                  </w:r>
                </w:p>
              </w:tc>
              <w:tc>
                <w:tcPr>
                  <w:tcW w:w="1242" w:type="dxa"/>
                  <w:vAlign w:val="center"/>
                </w:tcPr>
                <w:p>
                  <w:pPr>
                    <w:widowControl/>
                    <w:adjustRightInd w:val="0"/>
                    <w:snapToGrid w:val="0"/>
                    <w:jc w:val="center"/>
                    <w:rPr>
                      <w:rFonts w:cs="宋体"/>
                      <w:kern w:val="0"/>
                      <w:szCs w:val="21"/>
                    </w:rPr>
                  </w:pPr>
                  <w:r>
                    <w:rPr>
                      <w:rFonts w:hint="eastAsia" w:cs="宋体"/>
                      <w:kern w:val="0"/>
                      <w:szCs w:val="21"/>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293" w:type="dxa"/>
                  <w:vAlign w:val="center"/>
                </w:tcPr>
                <w:p>
                  <w:pPr>
                    <w:widowControl/>
                    <w:adjustRightInd w:val="0"/>
                    <w:snapToGrid w:val="0"/>
                    <w:jc w:val="center"/>
                    <w:rPr>
                      <w:rFonts w:cs="宋体"/>
                      <w:kern w:val="0"/>
                      <w:szCs w:val="21"/>
                    </w:rPr>
                  </w:pPr>
                  <w:r>
                    <w:rPr>
                      <w:rFonts w:hint="eastAsia" w:cs="宋体"/>
                      <w:kern w:val="0"/>
                      <w:szCs w:val="21"/>
                    </w:rPr>
                    <w:t>2</w:t>
                  </w:r>
                  <w:r>
                    <w:rPr>
                      <w:rFonts w:cs="宋体"/>
                      <w:kern w:val="0"/>
                      <w:szCs w:val="21"/>
                    </w:rPr>
                    <w:t>022.6</w:t>
                  </w:r>
                </w:p>
              </w:tc>
              <w:tc>
                <w:tcPr>
                  <w:tcW w:w="1417" w:type="dxa"/>
                  <w:vAlign w:val="center"/>
                </w:tcPr>
                <w:p>
                  <w:pPr>
                    <w:widowControl/>
                    <w:adjustRightInd w:val="0"/>
                    <w:snapToGrid w:val="0"/>
                    <w:jc w:val="center"/>
                    <w:rPr>
                      <w:rFonts w:cs="宋体"/>
                      <w:kern w:val="0"/>
                      <w:szCs w:val="21"/>
                    </w:rPr>
                  </w:pPr>
                  <w:r>
                    <w:rPr>
                      <w:rFonts w:hint="eastAsia" w:cs="宋体"/>
                      <w:kern w:val="0"/>
                      <w:szCs w:val="21"/>
                    </w:rPr>
                    <w:t>大渡河</w:t>
                  </w:r>
                </w:p>
              </w:tc>
              <w:tc>
                <w:tcPr>
                  <w:tcW w:w="2127" w:type="dxa"/>
                  <w:vAlign w:val="center"/>
                </w:tcPr>
                <w:p>
                  <w:pPr>
                    <w:rPr>
                      <w:rFonts w:cs="宋体"/>
                      <w:kern w:val="0"/>
                      <w:szCs w:val="21"/>
                    </w:rPr>
                  </w:pPr>
                  <w:r>
                    <w:rPr>
                      <w:rFonts w:hint="eastAsia" w:cs="宋体"/>
                      <w:kern w:val="0"/>
                      <w:szCs w:val="21"/>
                    </w:rPr>
                    <w:t>大渡河安谷电站大坝</w:t>
                  </w:r>
                </w:p>
              </w:tc>
              <w:tc>
                <w:tcPr>
                  <w:tcW w:w="1241" w:type="dxa"/>
                  <w:vAlign w:val="center"/>
                </w:tcPr>
                <w:p>
                  <w:pPr>
                    <w:widowControl/>
                    <w:adjustRightInd w:val="0"/>
                    <w:snapToGrid w:val="0"/>
                    <w:jc w:val="center"/>
                    <w:rPr>
                      <w:rFonts w:cs="宋体"/>
                      <w:kern w:val="0"/>
                      <w:szCs w:val="21"/>
                    </w:rPr>
                  </w:pPr>
                  <w:r>
                    <w:rPr>
                      <w:rFonts w:hint="eastAsia" w:cs="宋体"/>
                      <w:kern w:val="0"/>
                      <w:szCs w:val="21"/>
                    </w:rPr>
                    <w:t>省考</w:t>
                  </w:r>
                </w:p>
              </w:tc>
              <w:tc>
                <w:tcPr>
                  <w:tcW w:w="1241" w:type="dxa"/>
                  <w:vAlign w:val="center"/>
                </w:tcPr>
                <w:p>
                  <w:pPr>
                    <w:widowControl/>
                    <w:adjustRightInd w:val="0"/>
                    <w:snapToGrid w:val="0"/>
                    <w:jc w:val="center"/>
                    <w:rPr>
                      <w:rFonts w:cs="宋体"/>
                      <w:kern w:val="0"/>
                      <w:szCs w:val="21"/>
                    </w:rPr>
                  </w:pPr>
                  <w:r>
                    <w:rPr>
                      <w:kern w:val="0"/>
                      <w:szCs w:val="21"/>
                    </w:rPr>
                    <w:t>Ⅱ</w:t>
                  </w:r>
                </w:p>
              </w:tc>
              <w:tc>
                <w:tcPr>
                  <w:tcW w:w="1242" w:type="dxa"/>
                  <w:vAlign w:val="center"/>
                </w:tcPr>
                <w:p>
                  <w:pPr>
                    <w:widowControl/>
                    <w:adjustRightInd w:val="0"/>
                    <w:snapToGrid w:val="0"/>
                    <w:jc w:val="center"/>
                    <w:rPr>
                      <w:rFonts w:cs="宋体"/>
                      <w:kern w:val="0"/>
                      <w:szCs w:val="21"/>
                    </w:rPr>
                  </w:pPr>
                  <w:r>
                    <w:rPr>
                      <w:rFonts w:hint="eastAsia" w:cs="宋体"/>
                      <w:kern w:val="0"/>
                      <w:szCs w:val="21"/>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293" w:type="dxa"/>
                  <w:vAlign w:val="center"/>
                </w:tcPr>
                <w:p>
                  <w:pPr>
                    <w:widowControl/>
                    <w:adjustRightInd w:val="0"/>
                    <w:snapToGrid w:val="0"/>
                    <w:jc w:val="center"/>
                    <w:rPr>
                      <w:rFonts w:cs="宋体"/>
                      <w:kern w:val="0"/>
                      <w:szCs w:val="21"/>
                    </w:rPr>
                  </w:pPr>
                  <w:r>
                    <w:rPr>
                      <w:rFonts w:hint="eastAsia" w:cs="宋体"/>
                      <w:kern w:val="0"/>
                      <w:szCs w:val="21"/>
                    </w:rPr>
                    <w:t>2</w:t>
                  </w:r>
                  <w:r>
                    <w:rPr>
                      <w:rFonts w:cs="宋体"/>
                      <w:kern w:val="0"/>
                      <w:szCs w:val="21"/>
                    </w:rPr>
                    <w:t>022.7</w:t>
                  </w:r>
                </w:p>
              </w:tc>
              <w:tc>
                <w:tcPr>
                  <w:tcW w:w="1417" w:type="dxa"/>
                  <w:vAlign w:val="center"/>
                </w:tcPr>
                <w:p>
                  <w:pPr>
                    <w:widowControl/>
                    <w:adjustRightInd w:val="0"/>
                    <w:snapToGrid w:val="0"/>
                    <w:jc w:val="center"/>
                    <w:rPr>
                      <w:rFonts w:cs="宋体"/>
                      <w:kern w:val="0"/>
                      <w:szCs w:val="21"/>
                    </w:rPr>
                  </w:pPr>
                  <w:r>
                    <w:rPr>
                      <w:rFonts w:hint="eastAsia" w:cs="宋体"/>
                      <w:kern w:val="0"/>
                      <w:szCs w:val="21"/>
                    </w:rPr>
                    <w:t>大渡河</w:t>
                  </w:r>
                </w:p>
              </w:tc>
              <w:tc>
                <w:tcPr>
                  <w:tcW w:w="2127" w:type="dxa"/>
                  <w:vAlign w:val="center"/>
                </w:tcPr>
                <w:p>
                  <w:pPr>
                    <w:rPr>
                      <w:rFonts w:cs="宋体"/>
                      <w:kern w:val="0"/>
                      <w:szCs w:val="21"/>
                    </w:rPr>
                  </w:pPr>
                  <w:r>
                    <w:rPr>
                      <w:rFonts w:hint="eastAsia" w:cs="宋体"/>
                      <w:kern w:val="0"/>
                      <w:szCs w:val="21"/>
                    </w:rPr>
                    <w:t>大渡河安谷电站大坝</w:t>
                  </w:r>
                </w:p>
              </w:tc>
              <w:tc>
                <w:tcPr>
                  <w:tcW w:w="1241" w:type="dxa"/>
                  <w:vAlign w:val="center"/>
                </w:tcPr>
                <w:p>
                  <w:pPr>
                    <w:widowControl/>
                    <w:adjustRightInd w:val="0"/>
                    <w:snapToGrid w:val="0"/>
                    <w:jc w:val="center"/>
                    <w:rPr>
                      <w:rFonts w:cs="宋体"/>
                      <w:kern w:val="0"/>
                      <w:szCs w:val="21"/>
                    </w:rPr>
                  </w:pPr>
                  <w:r>
                    <w:rPr>
                      <w:rFonts w:hint="eastAsia" w:cs="宋体"/>
                      <w:kern w:val="0"/>
                      <w:szCs w:val="21"/>
                    </w:rPr>
                    <w:t>省考</w:t>
                  </w:r>
                </w:p>
              </w:tc>
              <w:tc>
                <w:tcPr>
                  <w:tcW w:w="1241" w:type="dxa"/>
                  <w:vAlign w:val="center"/>
                </w:tcPr>
                <w:p>
                  <w:pPr>
                    <w:widowControl/>
                    <w:adjustRightInd w:val="0"/>
                    <w:snapToGrid w:val="0"/>
                    <w:jc w:val="center"/>
                    <w:rPr>
                      <w:kern w:val="0"/>
                      <w:szCs w:val="21"/>
                    </w:rPr>
                  </w:pPr>
                  <w:r>
                    <w:rPr>
                      <w:kern w:val="0"/>
                      <w:szCs w:val="21"/>
                    </w:rPr>
                    <w:t>Ⅱ</w:t>
                  </w:r>
                </w:p>
              </w:tc>
              <w:tc>
                <w:tcPr>
                  <w:tcW w:w="1242" w:type="dxa"/>
                  <w:vAlign w:val="center"/>
                </w:tcPr>
                <w:p>
                  <w:pPr>
                    <w:widowControl/>
                    <w:adjustRightInd w:val="0"/>
                    <w:snapToGrid w:val="0"/>
                    <w:jc w:val="center"/>
                    <w:rPr>
                      <w:rFonts w:cs="宋体"/>
                      <w:kern w:val="0"/>
                      <w:szCs w:val="21"/>
                    </w:rPr>
                  </w:pPr>
                  <w:r>
                    <w:rPr>
                      <w:rFonts w:hint="eastAsia" w:cs="宋体"/>
                      <w:kern w:val="0"/>
                      <w:szCs w:val="21"/>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293" w:type="dxa"/>
                  <w:vAlign w:val="center"/>
                </w:tcPr>
                <w:p>
                  <w:pPr>
                    <w:widowControl/>
                    <w:adjustRightInd w:val="0"/>
                    <w:snapToGrid w:val="0"/>
                    <w:jc w:val="center"/>
                    <w:rPr>
                      <w:rFonts w:cs="宋体"/>
                      <w:kern w:val="0"/>
                      <w:szCs w:val="21"/>
                    </w:rPr>
                  </w:pPr>
                  <w:r>
                    <w:rPr>
                      <w:rFonts w:hint="eastAsia" w:cs="宋体"/>
                      <w:kern w:val="0"/>
                      <w:szCs w:val="21"/>
                    </w:rPr>
                    <w:t>2</w:t>
                  </w:r>
                  <w:r>
                    <w:rPr>
                      <w:rFonts w:cs="宋体"/>
                      <w:kern w:val="0"/>
                      <w:szCs w:val="21"/>
                    </w:rPr>
                    <w:t>022.8</w:t>
                  </w:r>
                </w:p>
              </w:tc>
              <w:tc>
                <w:tcPr>
                  <w:tcW w:w="1417" w:type="dxa"/>
                  <w:vAlign w:val="center"/>
                </w:tcPr>
                <w:p>
                  <w:pPr>
                    <w:widowControl/>
                    <w:adjustRightInd w:val="0"/>
                    <w:snapToGrid w:val="0"/>
                    <w:jc w:val="center"/>
                    <w:rPr>
                      <w:rFonts w:cs="宋体"/>
                      <w:kern w:val="0"/>
                      <w:szCs w:val="21"/>
                    </w:rPr>
                  </w:pPr>
                  <w:r>
                    <w:rPr>
                      <w:rFonts w:hint="eastAsia" w:cs="宋体"/>
                      <w:kern w:val="0"/>
                      <w:szCs w:val="21"/>
                    </w:rPr>
                    <w:t>大渡河</w:t>
                  </w:r>
                </w:p>
              </w:tc>
              <w:tc>
                <w:tcPr>
                  <w:tcW w:w="2127" w:type="dxa"/>
                  <w:vAlign w:val="center"/>
                </w:tcPr>
                <w:p>
                  <w:pPr>
                    <w:rPr>
                      <w:rFonts w:cs="宋体"/>
                      <w:kern w:val="0"/>
                      <w:szCs w:val="21"/>
                    </w:rPr>
                  </w:pPr>
                  <w:r>
                    <w:rPr>
                      <w:rFonts w:hint="eastAsia" w:cs="宋体"/>
                      <w:kern w:val="0"/>
                      <w:szCs w:val="21"/>
                    </w:rPr>
                    <w:t>大渡河安谷电站大坝</w:t>
                  </w:r>
                </w:p>
              </w:tc>
              <w:tc>
                <w:tcPr>
                  <w:tcW w:w="1241" w:type="dxa"/>
                  <w:vAlign w:val="center"/>
                </w:tcPr>
                <w:p>
                  <w:pPr>
                    <w:widowControl/>
                    <w:adjustRightInd w:val="0"/>
                    <w:snapToGrid w:val="0"/>
                    <w:jc w:val="center"/>
                    <w:rPr>
                      <w:rFonts w:cs="宋体"/>
                      <w:kern w:val="0"/>
                      <w:szCs w:val="21"/>
                    </w:rPr>
                  </w:pPr>
                  <w:r>
                    <w:rPr>
                      <w:rFonts w:hint="eastAsia" w:cs="宋体"/>
                      <w:kern w:val="0"/>
                      <w:szCs w:val="21"/>
                    </w:rPr>
                    <w:t>省考</w:t>
                  </w:r>
                </w:p>
              </w:tc>
              <w:tc>
                <w:tcPr>
                  <w:tcW w:w="1241" w:type="dxa"/>
                  <w:vAlign w:val="center"/>
                </w:tcPr>
                <w:p>
                  <w:pPr>
                    <w:widowControl/>
                    <w:adjustRightInd w:val="0"/>
                    <w:snapToGrid w:val="0"/>
                    <w:jc w:val="center"/>
                    <w:rPr>
                      <w:kern w:val="0"/>
                      <w:szCs w:val="21"/>
                    </w:rPr>
                  </w:pPr>
                  <w:r>
                    <w:rPr>
                      <w:kern w:val="0"/>
                      <w:szCs w:val="21"/>
                    </w:rPr>
                    <w:t>Ⅱ</w:t>
                  </w:r>
                </w:p>
              </w:tc>
              <w:tc>
                <w:tcPr>
                  <w:tcW w:w="1242" w:type="dxa"/>
                  <w:vAlign w:val="center"/>
                </w:tcPr>
                <w:p>
                  <w:pPr>
                    <w:widowControl/>
                    <w:adjustRightInd w:val="0"/>
                    <w:snapToGrid w:val="0"/>
                    <w:jc w:val="center"/>
                    <w:rPr>
                      <w:rFonts w:cs="宋体"/>
                      <w:kern w:val="0"/>
                      <w:szCs w:val="21"/>
                    </w:rPr>
                  </w:pPr>
                  <w:r>
                    <w:rPr>
                      <w:rFonts w:hint="eastAsia" w:cs="宋体"/>
                      <w:kern w:val="0"/>
                      <w:szCs w:val="21"/>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293" w:type="dxa"/>
                  <w:vAlign w:val="center"/>
                </w:tcPr>
                <w:p>
                  <w:pPr>
                    <w:widowControl/>
                    <w:adjustRightInd w:val="0"/>
                    <w:snapToGrid w:val="0"/>
                    <w:jc w:val="center"/>
                    <w:rPr>
                      <w:rFonts w:cs="宋体"/>
                      <w:kern w:val="0"/>
                      <w:szCs w:val="21"/>
                    </w:rPr>
                  </w:pPr>
                  <w:r>
                    <w:rPr>
                      <w:rFonts w:hint="eastAsia" w:cs="宋体"/>
                      <w:kern w:val="0"/>
                      <w:szCs w:val="21"/>
                    </w:rPr>
                    <w:t>2</w:t>
                  </w:r>
                  <w:r>
                    <w:rPr>
                      <w:rFonts w:cs="宋体"/>
                      <w:kern w:val="0"/>
                      <w:szCs w:val="21"/>
                    </w:rPr>
                    <w:t>022.9</w:t>
                  </w:r>
                </w:p>
              </w:tc>
              <w:tc>
                <w:tcPr>
                  <w:tcW w:w="1417" w:type="dxa"/>
                  <w:vAlign w:val="center"/>
                </w:tcPr>
                <w:p>
                  <w:pPr>
                    <w:widowControl/>
                    <w:adjustRightInd w:val="0"/>
                    <w:snapToGrid w:val="0"/>
                    <w:jc w:val="center"/>
                    <w:rPr>
                      <w:rFonts w:cs="宋体"/>
                      <w:kern w:val="0"/>
                      <w:szCs w:val="21"/>
                    </w:rPr>
                  </w:pPr>
                  <w:r>
                    <w:rPr>
                      <w:rFonts w:hint="eastAsia" w:cs="宋体"/>
                      <w:kern w:val="0"/>
                      <w:szCs w:val="21"/>
                    </w:rPr>
                    <w:t>大渡河</w:t>
                  </w:r>
                </w:p>
              </w:tc>
              <w:tc>
                <w:tcPr>
                  <w:tcW w:w="2127" w:type="dxa"/>
                  <w:vAlign w:val="center"/>
                </w:tcPr>
                <w:p>
                  <w:pPr>
                    <w:rPr>
                      <w:rFonts w:cs="宋体"/>
                      <w:kern w:val="0"/>
                      <w:szCs w:val="21"/>
                    </w:rPr>
                  </w:pPr>
                  <w:r>
                    <w:rPr>
                      <w:rFonts w:hint="eastAsia" w:cs="宋体"/>
                      <w:kern w:val="0"/>
                      <w:szCs w:val="21"/>
                    </w:rPr>
                    <w:t>大渡河安谷电站大坝</w:t>
                  </w:r>
                </w:p>
              </w:tc>
              <w:tc>
                <w:tcPr>
                  <w:tcW w:w="1241" w:type="dxa"/>
                  <w:vAlign w:val="center"/>
                </w:tcPr>
                <w:p>
                  <w:pPr>
                    <w:widowControl/>
                    <w:adjustRightInd w:val="0"/>
                    <w:snapToGrid w:val="0"/>
                    <w:jc w:val="center"/>
                    <w:rPr>
                      <w:rFonts w:cs="宋体"/>
                      <w:kern w:val="0"/>
                      <w:szCs w:val="21"/>
                    </w:rPr>
                  </w:pPr>
                  <w:r>
                    <w:rPr>
                      <w:rFonts w:hint="eastAsia" w:cs="宋体"/>
                      <w:kern w:val="0"/>
                      <w:szCs w:val="21"/>
                    </w:rPr>
                    <w:t>省考</w:t>
                  </w:r>
                </w:p>
              </w:tc>
              <w:tc>
                <w:tcPr>
                  <w:tcW w:w="1241" w:type="dxa"/>
                  <w:vAlign w:val="center"/>
                </w:tcPr>
                <w:p>
                  <w:pPr>
                    <w:widowControl/>
                    <w:adjustRightInd w:val="0"/>
                    <w:snapToGrid w:val="0"/>
                    <w:jc w:val="center"/>
                    <w:rPr>
                      <w:kern w:val="0"/>
                      <w:szCs w:val="21"/>
                    </w:rPr>
                  </w:pPr>
                  <w:r>
                    <w:rPr>
                      <w:kern w:val="0"/>
                      <w:szCs w:val="21"/>
                    </w:rPr>
                    <w:t>Ⅱ</w:t>
                  </w:r>
                </w:p>
              </w:tc>
              <w:tc>
                <w:tcPr>
                  <w:tcW w:w="1242" w:type="dxa"/>
                  <w:vAlign w:val="center"/>
                </w:tcPr>
                <w:p>
                  <w:pPr>
                    <w:widowControl/>
                    <w:adjustRightInd w:val="0"/>
                    <w:snapToGrid w:val="0"/>
                    <w:jc w:val="center"/>
                    <w:rPr>
                      <w:rFonts w:cs="宋体"/>
                      <w:kern w:val="0"/>
                      <w:szCs w:val="21"/>
                    </w:rPr>
                  </w:pPr>
                  <w:r>
                    <w:rPr>
                      <w:rFonts w:hint="eastAsia" w:cs="宋体"/>
                      <w:kern w:val="0"/>
                      <w:szCs w:val="21"/>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293" w:type="dxa"/>
                  <w:vAlign w:val="center"/>
                </w:tcPr>
                <w:p>
                  <w:pPr>
                    <w:widowControl/>
                    <w:adjustRightInd w:val="0"/>
                    <w:snapToGrid w:val="0"/>
                    <w:jc w:val="center"/>
                    <w:rPr>
                      <w:rFonts w:cs="宋体"/>
                      <w:kern w:val="0"/>
                      <w:szCs w:val="21"/>
                    </w:rPr>
                  </w:pPr>
                  <w:r>
                    <w:rPr>
                      <w:rFonts w:hint="eastAsia" w:cs="宋体"/>
                      <w:kern w:val="0"/>
                      <w:szCs w:val="21"/>
                    </w:rPr>
                    <w:t>2</w:t>
                  </w:r>
                  <w:r>
                    <w:rPr>
                      <w:rFonts w:cs="宋体"/>
                      <w:kern w:val="0"/>
                      <w:szCs w:val="21"/>
                    </w:rPr>
                    <w:t>022.10</w:t>
                  </w:r>
                </w:p>
              </w:tc>
              <w:tc>
                <w:tcPr>
                  <w:tcW w:w="1417" w:type="dxa"/>
                  <w:vAlign w:val="center"/>
                </w:tcPr>
                <w:p>
                  <w:pPr>
                    <w:widowControl/>
                    <w:adjustRightInd w:val="0"/>
                    <w:snapToGrid w:val="0"/>
                    <w:jc w:val="center"/>
                    <w:rPr>
                      <w:rFonts w:cs="宋体"/>
                      <w:kern w:val="0"/>
                      <w:szCs w:val="21"/>
                    </w:rPr>
                  </w:pPr>
                  <w:r>
                    <w:rPr>
                      <w:rFonts w:hint="eastAsia" w:cs="宋体"/>
                      <w:kern w:val="0"/>
                      <w:szCs w:val="21"/>
                    </w:rPr>
                    <w:t>大渡河</w:t>
                  </w:r>
                </w:p>
              </w:tc>
              <w:tc>
                <w:tcPr>
                  <w:tcW w:w="2127" w:type="dxa"/>
                  <w:vAlign w:val="center"/>
                </w:tcPr>
                <w:p>
                  <w:pPr>
                    <w:rPr>
                      <w:rFonts w:cs="宋体"/>
                      <w:kern w:val="0"/>
                      <w:szCs w:val="21"/>
                    </w:rPr>
                  </w:pPr>
                  <w:r>
                    <w:rPr>
                      <w:rFonts w:hint="eastAsia" w:cs="宋体"/>
                      <w:kern w:val="0"/>
                      <w:szCs w:val="21"/>
                    </w:rPr>
                    <w:t>大渡河安谷电站大坝</w:t>
                  </w:r>
                </w:p>
              </w:tc>
              <w:tc>
                <w:tcPr>
                  <w:tcW w:w="1241" w:type="dxa"/>
                  <w:vAlign w:val="center"/>
                </w:tcPr>
                <w:p>
                  <w:pPr>
                    <w:widowControl/>
                    <w:adjustRightInd w:val="0"/>
                    <w:snapToGrid w:val="0"/>
                    <w:jc w:val="center"/>
                    <w:rPr>
                      <w:rFonts w:cs="宋体"/>
                      <w:kern w:val="0"/>
                      <w:szCs w:val="21"/>
                    </w:rPr>
                  </w:pPr>
                  <w:r>
                    <w:rPr>
                      <w:rFonts w:hint="eastAsia" w:cs="宋体"/>
                      <w:kern w:val="0"/>
                      <w:szCs w:val="21"/>
                    </w:rPr>
                    <w:t>省考</w:t>
                  </w:r>
                </w:p>
              </w:tc>
              <w:tc>
                <w:tcPr>
                  <w:tcW w:w="1241" w:type="dxa"/>
                  <w:vAlign w:val="center"/>
                </w:tcPr>
                <w:p>
                  <w:pPr>
                    <w:widowControl/>
                    <w:adjustRightInd w:val="0"/>
                    <w:snapToGrid w:val="0"/>
                    <w:jc w:val="center"/>
                    <w:rPr>
                      <w:kern w:val="0"/>
                      <w:szCs w:val="21"/>
                    </w:rPr>
                  </w:pPr>
                  <w:r>
                    <w:rPr>
                      <w:kern w:val="0"/>
                      <w:szCs w:val="21"/>
                    </w:rPr>
                    <w:t>Ⅱ</w:t>
                  </w:r>
                </w:p>
              </w:tc>
              <w:tc>
                <w:tcPr>
                  <w:tcW w:w="1242" w:type="dxa"/>
                  <w:vAlign w:val="center"/>
                </w:tcPr>
                <w:p>
                  <w:pPr>
                    <w:widowControl/>
                    <w:adjustRightInd w:val="0"/>
                    <w:snapToGrid w:val="0"/>
                    <w:jc w:val="center"/>
                    <w:rPr>
                      <w:rFonts w:cs="宋体"/>
                      <w:kern w:val="0"/>
                      <w:szCs w:val="21"/>
                    </w:rPr>
                  </w:pPr>
                  <w:r>
                    <w:rPr>
                      <w:rFonts w:hint="eastAsia" w:cs="宋体"/>
                      <w:kern w:val="0"/>
                      <w:szCs w:val="21"/>
                    </w:rPr>
                    <w:t>是</w:t>
                  </w:r>
                </w:p>
              </w:tc>
            </w:tr>
          </w:tbl>
          <w:p>
            <w:pPr>
              <w:widowControl/>
              <w:adjustRightInd w:val="0"/>
              <w:snapToGrid w:val="0"/>
              <w:spacing w:before="120" w:beforeLines="50" w:line="360" w:lineRule="auto"/>
              <w:ind w:firstLine="480" w:firstLineChars="200"/>
              <w:rPr>
                <w:rFonts w:cs="宋体"/>
                <w:kern w:val="0"/>
                <w:sz w:val="24"/>
                <w:szCs w:val="21"/>
              </w:rPr>
            </w:pPr>
            <w:r>
              <w:rPr>
                <w:rFonts w:hint="eastAsia" w:cs="宋体"/>
                <w:kern w:val="0"/>
                <w:sz w:val="24"/>
                <w:szCs w:val="21"/>
              </w:rPr>
              <w:t>由上表可知，</w:t>
            </w:r>
            <w:r>
              <w:rPr>
                <w:rFonts w:cs="宋体"/>
                <w:kern w:val="0"/>
                <w:sz w:val="24"/>
                <w:szCs w:val="21"/>
              </w:rPr>
              <w:t>2022</w:t>
            </w:r>
            <w:r>
              <w:rPr>
                <w:rFonts w:hint="eastAsia" w:cs="宋体"/>
                <w:kern w:val="0"/>
                <w:sz w:val="24"/>
                <w:szCs w:val="21"/>
              </w:rPr>
              <w:t>年5月至1</w:t>
            </w:r>
            <w:r>
              <w:rPr>
                <w:rFonts w:cs="宋体"/>
                <w:kern w:val="0"/>
                <w:sz w:val="24"/>
                <w:szCs w:val="21"/>
              </w:rPr>
              <w:t>0</w:t>
            </w:r>
            <w:r>
              <w:rPr>
                <w:rFonts w:hint="eastAsia" w:cs="宋体"/>
                <w:kern w:val="0"/>
                <w:sz w:val="24"/>
                <w:szCs w:val="21"/>
              </w:rPr>
              <w:t>月期间大渡河安谷电站大坝断面水质评价均为</w:t>
            </w:r>
            <w:r>
              <w:rPr>
                <w:kern w:val="0"/>
                <w:sz w:val="24"/>
                <w:szCs w:val="21"/>
              </w:rPr>
              <w:t>Ⅱ</w:t>
            </w:r>
            <w:r>
              <w:rPr>
                <w:rFonts w:hint="eastAsia" w:cs="宋体"/>
                <w:kern w:val="0"/>
                <w:sz w:val="24"/>
                <w:szCs w:val="21"/>
              </w:rPr>
              <w:t>类水质。</w:t>
            </w:r>
          </w:p>
          <w:p>
            <w:pPr>
              <w:spacing w:line="360" w:lineRule="auto"/>
              <w:ind w:firstLine="482" w:firstLineChars="200"/>
              <w:rPr>
                <w:b/>
                <w:sz w:val="24"/>
              </w:rPr>
            </w:pPr>
            <w:r>
              <w:rPr>
                <w:rFonts w:hint="eastAsia"/>
                <w:b/>
                <w:sz w:val="24"/>
              </w:rPr>
              <w:t>三、声环境质量</w:t>
            </w:r>
          </w:p>
          <w:p>
            <w:pPr>
              <w:widowControl/>
              <w:adjustRightInd w:val="0"/>
              <w:snapToGrid w:val="0"/>
              <w:spacing w:line="360" w:lineRule="auto"/>
              <w:ind w:firstLine="480" w:firstLineChars="200"/>
              <w:rPr>
                <w:rFonts w:cs="宋体"/>
                <w:kern w:val="0"/>
                <w:sz w:val="24"/>
                <w:szCs w:val="21"/>
              </w:rPr>
            </w:pPr>
            <w:r>
              <w:rPr>
                <w:rFonts w:hint="eastAsia" w:cs="宋体"/>
                <w:kern w:val="0"/>
                <w:sz w:val="24"/>
                <w:szCs w:val="21"/>
              </w:rPr>
              <w:t>本项目为新建目项目，建设地点位于</w:t>
            </w:r>
            <w:r>
              <w:rPr>
                <w:rFonts w:hint="eastAsia" w:cs="宋体"/>
                <w:sz w:val="24"/>
              </w:rPr>
              <w:t>乐山市沙湾区嘉农镇王场村</w:t>
            </w:r>
            <w:r>
              <w:rPr>
                <w:sz w:val="24"/>
              </w:rPr>
              <w:t>民生不锈钢产业园嘉农组团</w:t>
            </w:r>
            <w:r>
              <w:rPr>
                <w:rFonts w:hint="eastAsia" w:cs="宋体"/>
                <w:kern w:val="0"/>
                <w:sz w:val="24"/>
                <w:szCs w:val="21"/>
              </w:rPr>
              <w:t>，区域周边为工业园区和农村，项目南面为苏沙路。本项目噪声主要来自设备噪声（破碎机、筛分机、洗砂机、进出车辆噪声），通过使用低噪声设备、基础减震、隔声、车辆减速等降噪措施后能实现达标排放，不会改变区域声环境质量，区域环境噪声值在苏沙路</w:t>
            </w:r>
            <w:r>
              <w:rPr>
                <w:rFonts w:hint="eastAsia"/>
                <w:sz w:val="24"/>
              </w:rPr>
              <w:t>边界</w:t>
            </w:r>
            <w:r>
              <w:rPr>
                <w:sz w:val="24"/>
              </w:rPr>
              <w:t>20</w:t>
            </w:r>
            <w:r>
              <w:rPr>
                <w:rFonts w:hint="eastAsia"/>
                <w:sz w:val="24"/>
              </w:rPr>
              <w:t>m范围内</w:t>
            </w:r>
            <w:r>
              <w:rPr>
                <w:rFonts w:hint="eastAsia" w:cs="宋体"/>
                <w:kern w:val="0"/>
                <w:sz w:val="24"/>
                <w:szCs w:val="21"/>
              </w:rPr>
              <w:t>可满足</w:t>
            </w:r>
            <w:r>
              <w:rPr>
                <w:rFonts w:hint="eastAsia"/>
                <w:sz w:val="24"/>
              </w:rPr>
              <w:t>《声环境质量标准》（</w:t>
            </w:r>
            <w:r>
              <w:rPr>
                <w:sz w:val="24"/>
              </w:rPr>
              <w:t>GB3096-2008</w:t>
            </w:r>
            <w:r>
              <w:rPr>
                <w:rFonts w:hint="eastAsia"/>
                <w:sz w:val="24"/>
              </w:rPr>
              <w:t>）中</w:t>
            </w:r>
            <w:r>
              <w:rPr>
                <w:sz w:val="24"/>
              </w:rPr>
              <w:t>4</w:t>
            </w:r>
            <w:r>
              <w:rPr>
                <w:rFonts w:hint="eastAsia"/>
                <w:sz w:val="24"/>
              </w:rPr>
              <w:t>a类标准，其余</w:t>
            </w:r>
            <w:r>
              <w:rPr>
                <w:rFonts w:hint="eastAsia" w:cs="宋体"/>
                <w:kern w:val="0"/>
                <w:sz w:val="24"/>
                <w:szCs w:val="21"/>
              </w:rPr>
              <w:t>均可满足3类标准。</w:t>
            </w:r>
          </w:p>
          <w:p>
            <w:pPr>
              <w:widowControl/>
              <w:adjustRightInd w:val="0"/>
              <w:snapToGrid w:val="0"/>
              <w:spacing w:line="360" w:lineRule="auto"/>
              <w:ind w:firstLine="480" w:firstLineChars="200"/>
              <w:rPr>
                <w:rFonts w:cs="宋体"/>
                <w:kern w:val="0"/>
                <w:sz w:val="24"/>
                <w:szCs w:val="21"/>
              </w:rPr>
            </w:pPr>
            <w:r>
              <w:rPr>
                <w:rFonts w:hint="eastAsia" w:cs="宋体"/>
                <w:kern w:val="0"/>
                <w:sz w:val="24"/>
                <w:szCs w:val="21"/>
              </w:rPr>
              <w:t>经过现场勘探，项目厂界周围</w:t>
            </w:r>
            <w:r>
              <w:rPr>
                <w:rFonts w:cs="宋体"/>
                <w:kern w:val="0"/>
                <w:sz w:val="24"/>
                <w:szCs w:val="21"/>
              </w:rPr>
              <w:t>50</w:t>
            </w:r>
            <w:r>
              <w:rPr>
                <w:rFonts w:hint="eastAsia" w:cs="宋体"/>
                <w:kern w:val="0"/>
                <w:sz w:val="24"/>
                <w:szCs w:val="21"/>
              </w:rPr>
              <w:t>m范围内不存在住户等噪声敏感点位，因此本次评价不需要对噪声质量做补充检测。</w:t>
            </w:r>
          </w:p>
          <w:p>
            <w:pPr>
              <w:spacing w:line="360" w:lineRule="auto"/>
              <w:ind w:firstLine="482" w:firstLineChars="200"/>
              <w:rPr>
                <w:b/>
                <w:sz w:val="24"/>
              </w:rPr>
            </w:pPr>
            <w:r>
              <w:rPr>
                <w:rFonts w:hint="eastAsia"/>
                <w:b/>
                <w:sz w:val="24"/>
              </w:rPr>
              <w:t>四、生态环境质量</w:t>
            </w:r>
          </w:p>
          <w:p>
            <w:pPr>
              <w:spacing w:line="360" w:lineRule="auto"/>
              <w:ind w:firstLine="480" w:firstLineChars="200"/>
              <w:rPr>
                <w:sz w:val="24"/>
              </w:rPr>
            </w:pPr>
            <w:r>
              <w:rPr>
                <w:rFonts w:hint="eastAsia"/>
                <w:sz w:val="24"/>
              </w:rPr>
              <w:t>本项目为新建项目，项目建设运营将对当地生态造成一定影响。但是，项目所在地为</w:t>
            </w:r>
            <w:r>
              <w:rPr>
                <w:rFonts w:hint="eastAsia" w:cs="宋体"/>
                <w:bCs/>
                <w:sz w:val="24"/>
              </w:rPr>
              <w:t>“乐山市沙湾区铜河资源绿色建材加工厂项目</w:t>
            </w:r>
            <w:r>
              <w:rPr>
                <w:rFonts w:cs="宋体"/>
                <w:bCs/>
                <w:sz w:val="24"/>
              </w:rPr>
              <w:t>-</w:t>
            </w:r>
            <w:r>
              <w:rPr>
                <w:rFonts w:hint="eastAsia" w:cs="宋体"/>
                <w:bCs/>
                <w:sz w:val="24"/>
              </w:rPr>
              <w:t>土石方工程”建设原弃方堆放地</w:t>
            </w:r>
            <w:r>
              <w:rPr>
                <w:rFonts w:hint="eastAsia"/>
                <w:sz w:val="24"/>
              </w:rPr>
              <w:t>，且本项目位于</w:t>
            </w:r>
            <w:r>
              <w:rPr>
                <w:rFonts w:hint="eastAsia"/>
                <w:bCs/>
                <w:sz w:val="24"/>
              </w:rPr>
              <w:t>乐山市沙湾区嘉农镇王场村民生不锈钢产业园嘉农组团</w:t>
            </w:r>
            <w:r>
              <w:rPr>
                <w:rFonts w:hint="eastAsia"/>
                <w:sz w:val="24"/>
              </w:rPr>
              <w:t>内，所在地用地性质为工业用地，周围主要为已建工业企业和农村，受人类活动影响较大，涉及区域内无珍稀动植物，也无古稀树木和保护树种，因此区域生态系统敏感程度低。</w:t>
            </w:r>
          </w:p>
          <w:p>
            <w:pPr>
              <w:spacing w:line="360" w:lineRule="auto"/>
              <w:ind w:firstLine="482" w:firstLineChars="200"/>
              <w:rPr>
                <w:b/>
                <w:sz w:val="24"/>
              </w:rPr>
            </w:pPr>
            <w:r>
              <w:rPr>
                <w:rFonts w:hint="eastAsia"/>
                <w:b/>
                <w:sz w:val="24"/>
              </w:rPr>
              <w:t>五、地下水、土壤环境</w:t>
            </w:r>
          </w:p>
          <w:p>
            <w:pPr>
              <w:spacing w:line="360" w:lineRule="auto"/>
              <w:ind w:firstLine="480" w:firstLineChars="200"/>
              <w:rPr>
                <w:sz w:val="24"/>
              </w:rPr>
            </w:pPr>
            <w:r>
              <w:rPr>
                <w:rFonts w:hint="eastAsia"/>
                <w:sz w:val="24"/>
              </w:rPr>
              <w:t>根据《建设项目环境影响报告表编制技术指南（污染影响类）（试行）》（环办环评[2020]33号）规定，“原则上不开展环境质量现状调查。建设项目存在土壤、地下水环境污染途径的，应结合污染源、保护目标分布情况开展现状调查以留作背景值”。</w:t>
            </w:r>
          </w:p>
          <w:p>
            <w:pPr>
              <w:spacing w:line="360" w:lineRule="auto"/>
              <w:ind w:firstLine="480" w:firstLineChars="200"/>
              <w:rPr>
                <w:sz w:val="24"/>
              </w:rPr>
            </w:pPr>
            <w:r>
              <w:rPr>
                <w:rFonts w:hint="eastAsia"/>
                <w:sz w:val="24"/>
              </w:rPr>
              <w:t>本项目为砂石加工项目，营运期废水不外排，废气为砂石加工过程产生的粉尘，不涉及重金属物质排放，生产车间封闭，粉尘经喷雾降尘处理后，其沉降量较小，同时对地面进行硬化和防腐防渗后，项目对地下水、土壤环境影响很小，本次不对项目地下水、土壤环境质量进行补充监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2400" w:hRule="atLeast"/>
          <w:jc w:val="center"/>
        </w:trPr>
        <w:tc>
          <w:tcPr>
            <w:tcW w:w="699" w:type="dxa"/>
            <w:vAlign w:val="center"/>
          </w:tcPr>
          <w:p>
            <w:pPr>
              <w:adjustRightInd w:val="0"/>
              <w:snapToGrid w:val="0"/>
              <w:jc w:val="center"/>
              <w:rPr>
                <w:rFonts w:cs="宋体"/>
                <w:kern w:val="0"/>
                <w:sz w:val="24"/>
              </w:rPr>
            </w:pPr>
            <w:r>
              <w:rPr>
                <w:rFonts w:hint="eastAsia" w:cs="宋体"/>
                <w:kern w:val="0"/>
                <w:sz w:val="24"/>
              </w:rPr>
              <w:t>环境</w:t>
            </w:r>
          </w:p>
          <w:p>
            <w:pPr>
              <w:adjustRightInd w:val="0"/>
              <w:snapToGrid w:val="0"/>
              <w:jc w:val="center"/>
              <w:rPr>
                <w:rFonts w:cs="宋体"/>
                <w:kern w:val="0"/>
                <w:sz w:val="24"/>
              </w:rPr>
            </w:pPr>
            <w:r>
              <w:rPr>
                <w:rFonts w:hint="eastAsia" w:cs="宋体"/>
                <w:kern w:val="0"/>
                <w:sz w:val="24"/>
              </w:rPr>
              <w:t>保护</w:t>
            </w:r>
          </w:p>
          <w:p>
            <w:pPr>
              <w:adjustRightInd w:val="0"/>
              <w:snapToGrid w:val="0"/>
              <w:jc w:val="center"/>
              <w:rPr>
                <w:rFonts w:cs="宋体"/>
                <w:kern w:val="0"/>
                <w:sz w:val="24"/>
              </w:rPr>
            </w:pPr>
            <w:r>
              <w:rPr>
                <w:rFonts w:hint="eastAsia" w:cs="宋体"/>
                <w:kern w:val="0"/>
                <w:sz w:val="24"/>
              </w:rPr>
              <w:t>目标</w:t>
            </w:r>
          </w:p>
        </w:tc>
        <w:tc>
          <w:tcPr>
            <w:tcW w:w="8787" w:type="dxa"/>
          </w:tcPr>
          <w:p>
            <w:pPr>
              <w:pStyle w:val="38"/>
              <w:ind w:firstLine="482"/>
              <w:rPr>
                <w:color w:val="000000"/>
              </w:rPr>
            </w:pPr>
            <w:r>
              <w:rPr>
                <w:rFonts w:hint="eastAsia"/>
                <w:b/>
                <w:color w:val="000000"/>
              </w:rPr>
              <w:t>一、外环境关系</w:t>
            </w:r>
          </w:p>
          <w:p>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sz w:val="24"/>
              </w:rPr>
              <w:t>本项目位于</w:t>
            </w:r>
            <w:r>
              <w:rPr>
                <w:rFonts w:hint="eastAsia" w:cs="宋体"/>
                <w:sz w:val="24"/>
              </w:rPr>
              <w:t>乐山市沙湾区嘉农镇王场村</w:t>
            </w:r>
            <w:r>
              <w:rPr>
                <w:sz w:val="24"/>
              </w:rPr>
              <w:t>民生不锈钢产业园嘉农组团</w:t>
            </w:r>
            <w:r>
              <w:rPr>
                <w:rFonts w:hint="eastAsia"/>
                <w:color w:val="000000"/>
                <w:sz w:val="24"/>
              </w:rPr>
              <w:t>，在</w:t>
            </w:r>
            <w:r>
              <w:rPr>
                <w:rFonts w:hint="eastAsia" w:cs="宋体"/>
                <w:bCs/>
                <w:sz w:val="24"/>
              </w:rPr>
              <w:t>“乐山市沙湾区铜河资源绿色建材加工厂项目</w:t>
            </w:r>
            <w:r>
              <w:rPr>
                <w:rFonts w:cs="宋体"/>
                <w:bCs/>
                <w:sz w:val="24"/>
              </w:rPr>
              <w:t>-</w:t>
            </w:r>
            <w:r>
              <w:rPr>
                <w:rFonts w:hint="eastAsia" w:cs="宋体"/>
                <w:bCs/>
                <w:sz w:val="24"/>
              </w:rPr>
              <w:t>土石方工程”原弃方堆放地内建设</w:t>
            </w:r>
            <w:r>
              <w:rPr>
                <w:rFonts w:hint="eastAsia"/>
                <w:color w:val="000000"/>
                <w:sz w:val="24"/>
              </w:rPr>
              <w:t>。根据现场踏勘，本项目所在厂区周边为已建、在建或待建企业和农村，外环境关系简单，本项目具体外环境关系为：项目东北面为齐安村（距本项目厂界约5</w:t>
            </w:r>
            <w:r>
              <w:rPr>
                <w:color w:val="000000"/>
                <w:sz w:val="24"/>
              </w:rPr>
              <w:t>32</w:t>
            </w:r>
            <w:r>
              <w:rPr>
                <w:rFonts w:hint="eastAsia"/>
                <w:color w:val="000000"/>
                <w:sz w:val="24"/>
              </w:rPr>
              <w:t>m）四川钢联不锈钢有限公司（2</w:t>
            </w:r>
            <w:r>
              <w:rPr>
                <w:color w:val="000000"/>
                <w:sz w:val="24"/>
              </w:rPr>
              <w:t>76</w:t>
            </w:r>
            <w:r>
              <w:rPr>
                <w:rFonts w:hint="eastAsia"/>
                <w:color w:val="000000"/>
                <w:sz w:val="24"/>
              </w:rPr>
              <w:t>m）；东面为乐山市嘉蓝图科技有限公司（5</w:t>
            </w:r>
            <w:r>
              <w:rPr>
                <w:color w:val="000000"/>
                <w:sz w:val="24"/>
              </w:rPr>
              <w:t>16</w:t>
            </w:r>
            <w:r>
              <w:rPr>
                <w:rFonts w:hint="eastAsia"/>
                <w:color w:val="000000"/>
                <w:sz w:val="24"/>
              </w:rPr>
              <w:t>m）和升源灯具安装工程有限公司（6</w:t>
            </w:r>
            <w:r>
              <w:rPr>
                <w:color w:val="000000"/>
                <w:sz w:val="24"/>
              </w:rPr>
              <w:t>17</w:t>
            </w:r>
            <w:r>
              <w:rPr>
                <w:rFonts w:hint="eastAsia"/>
                <w:color w:val="000000"/>
                <w:sz w:val="24"/>
              </w:rPr>
              <w:t>m）；项目东南面往南面依次为乐艺非金属有限责任公司（3</w:t>
            </w:r>
            <w:r>
              <w:rPr>
                <w:color w:val="000000"/>
                <w:sz w:val="24"/>
              </w:rPr>
              <w:t>72</w:t>
            </w:r>
            <w:r>
              <w:rPr>
                <w:rFonts w:hint="eastAsia"/>
                <w:color w:val="000000"/>
                <w:sz w:val="24"/>
              </w:rPr>
              <w:t>m）、星辰机械设备有限公司（3</w:t>
            </w:r>
            <w:r>
              <w:rPr>
                <w:color w:val="000000"/>
                <w:sz w:val="24"/>
              </w:rPr>
              <w:t>31</w:t>
            </w:r>
            <w:r>
              <w:rPr>
                <w:rFonts w:hint="eastAsia"/>
                <w:color w:val="000000"/>
                <w:sz w:val="24"/>
              </w:rPr>
              <w:t>m）、乐山四海迈城建材有限公司（3</w:t>
            </w:r>
            <w:r>
              <w:rPr>
                <w:color w:val="000000"/>
                <w:sz w:val="24"/>
              </w:rPr>
              <w:t>32</w:t>
            </w:r>
            <w:r>
              <w:rPr>
                <w:rFonts w:hint="eastAsia"/>
                <w:color w:val="000000"/>
                <w:sz w:val="24"/>
              </w:rPr>
              <w:t>m）和王场村（3</w:t>
            </w:r>
            <w:r>
              <w:rPr>
                <w:color w:val="000000"/>
                <w:sz w:val="24"/>
              </w:rPr>
              <w:t>55</w:t>
            </w:r>
            <w:r>
              <w:rPr>
                <w:rFonts w:hint="eastAsia"/>
                <w:color w:val="000000"/>
                <w:sz w:val="24"/>
              </w:rPr>
              <w:t>m），由一条苏沙路（3</w:t>
            </w:r>
            <w:r>
              <w:rPr>
                <w:color w:val="000000"/>
                <w:sz w:val="24"/>
              </w:rPr>
              <w:t>12</w:t>
            </w:r>
            <w:r>
              <w:rPr>
                <w:rFonts w:hint="eastAsia"/>
                <w:color w:val="000000"/>
                <w:sz w:val="24"/>
              </w:rPr>
              <w:t>m）隔开；项目南面约8</w:t>
            </w:r>
            <w:r>
              <w:rPr>
                <w:color w:val="000000"/>
                <w:sz w:val="24"/>
              </w:rPr>
              <w:t>00</w:t>
            </w:r>
            <w:r>
              <w:rPr>
                <w:rFonts w:hint="eastAsia"/>
                <w:color w:val="000000"/>
                <w:sz w:val="24"/>
              </w:rPr>
              <w:t>m为大渡河，由厂区西南流向东北方向；项目西南面往西面依次为乐山市放大工业发展有限公司（3</w:t>
            </w:r>
            <w:r>
              <w:rPr>
                <w:color w:val="000000"/>
                <w:sz w:val="24"/>
              </w:rPr>
              <w:t>06</w:t>
            </w:r>
            <w:r>
              <w:rPr>
                <w:rFonts w:hint="eastAsia"/>
                <w:color w:val="000000"/>
                <w:sz w:val="24"/>
              </w:rPr>
              <w:t>m）、乐山永丰机械制造有限公司（5</w:t>
            </w:r>
            <w:r>
              <w:rPr>
                <w:color w:val="000000"/>
                <w:sz w:val="24"/>
              </w:rPr>
              <w:t>19</w:t>
            </w:r>
            <w:r>
              <w:rPr>
                <w:rFonts w:hint="eastAsia"/>
                <w:color w:val="000000"/>
                <w:sz w:val="24"/>
              </w:rPr>
              <w:t>m）、乐山祥和机械制造有限公司（4</w:t>
            </w:r>
            <w:r>
              <w:rPr>
                <w:color w:val="000000"/>
                <w:sz w:val="24"/>
              </w:rPr>
              <w:t>87</w:t>
            </w:r>
            <w:r>
              <w:rPr>
                <w:rFonts w:hint="eastAsia"/>
                <w:color w:val="000000"/>
                <w:sz w:val="24"/>
              </w:rPr>
              <w:t>m）、新兴村（5</w:t>
            </w:r>
            <w:r>
              <w:rPr>
                <w:color w:val="000000"/>
                <w:sz w:val="24"/>
              </w:rPr>
              <w:t>58</w:t>
            </w:r>
            <w:r>
              <w:rPr>
                <w:rFonts w:hint="eastAsia"/>
                <w:color w:val="000000"/>
                <w:sz w:val="24"/>
              </w:rPr>
              <w:t>m）和散居住户约1</w:t>
            </w:r>
            <w:r>
              <w:rPr>
                <w:color w:val="000000"/>
                <w:sz w:val="24"/>
              </w:rPr>
              <w:t>8</w:t>
            </w:r>
            <w:r>
              <w:rPr>
                <w:rFonts w:hint="eastAsia"/>
                <w:color w:val="000000"/>
                <w:sz w:val="24"/>
              </w:rPr>
              <w:t>户（2</w:t>
            </w:r>
            <w:r>
              <w:rPr>
                <w:color w:val="000000"/>
                <w:sz w:val="24"/>
              </w:rPr>
              <w:t>24</w:t>
            </w:r>
            <w:r>
              <w:rPr>
                <w:rFonts w:hint="eastAsia"/>
                <w:color w:val="000000"/>
                <w:sz w:val="24"/>
              </w:rPr>
              <w:t>m），；项目西北面分布有少量散居住户，有散居住户2户（1</w:t>
            </w:r>
            <w:r>
              <w:rPr>
                <w:color w:val="000000"/>
                <w:sz w:val="24"/>
              </w:rPr>
              <w:t>60</w:t>
            </w:r>
            <w:r>
              <w:rPr>
                <w:rFonts w:hint="eastAsia"/>
                <w:color w:val="000000"/>
                <w:sz w:val="24"/>
              </w:rPr>
              <w:t>m）、散居住户1户（4</w:t>
            </w:r>
            <w:r>
              <w:rPr>
                <w:color w:val="000000"/>
                <w:sz w:val="24"/>
              </w:rPr>
              <w:t>40</w:t>
            </w:r>
            <w:r>
              <w:rPr>
                <w:rFonts w:hint="eastAsia"/>
                <w:color w:val="000000"/>
                <w:sz w:val="24"/>
              </w:rPr>
              <w:t>m）和散居住户1户（5</w:t>
            </w:r>
            <w:r>
              <w:rPr>
                <w:color w:val="000000"/>
                <w:sz w:val="24"/>
              </w:rPr>
              <w:t>20</w:t>
            </w:r>
            <w:r>
              <w:rPr>
                <w:rFonts w:hint="eastAsia"/>
                <w:color w:val="000000"/>
                <w:sz w:val="24"/>
              </w:rPr>
              <w:t>m）。</w:t>
            </w:r>
            <w:r>
              <w:rPr>
                <w:color w:val="000000" w:themeColor="text1"/>
                <w:sz w:val="24"/>
                <w14:textFill>
                  <w14:solidFill>
                    <w14:schemeClr w14:val="tx1"/>
                  </w14:solidFill>
                </w14:textFill>
              </w:rPr>
              <w:t>项目外环境关系见下表。</w:t>
            </w:r>
          </w:p>
          <w:p>
            <w:pPr>
              <w:autoSpaceDE w:val="0"/>
              <w:autoSpaceDN w:val="0"/>
              <w:adjustRightInd w:val="0"/>
              <w:snapToGrid w:val="0"/>
              <w:jc w:val="center"/>
              <w:rPr>
                <w:rFonts w:cs="宋体"/>
                <w:b/>
                <w:kern w:val="0"/>
              </w:rPr>
            </w:pPr>
            <w:r>
              <w:rPr>
                <w:rFonts w:hint="eastAsia"/>
                <w:b/>
                <w:color w:val="000000" w:themeColor="text1"/>
                <w14:textFill>
                  <w14:solidFill>
                    <w14:schemeClr w14:val="tx1"/>
                  </w14:solidFill>
                </w14:textFill>
              </w:rPr>
              <w:t>表</w:t>
            </w:r>
            <w:r>
              <w:rPr>
                <w:b/>
                <w:color w:val="000000" w:themeColor="text1"/>
                <w14:textFill>
                  <w14:solidFill>
                    <w14:schemeClr w14:val="tx1"/>
                  </w14:solidFill>
                </w14:textFill>
              </w:rPr>
              <w:t>3-4</w:t>
            </w:r>
            <w:r>
              <w:rPr>
                <w:rFonts w:hint="eastAsia"/>
                <w:b/>
                <w:color w:val="000000" w:themeColor="text1"/>
                <w14:textFill>
                  <w14:solidFill>
                    <w14:schemeClr w14:val="tx1"/>
                  </w14:solidFill>
                </w14:textFill>
              </w:rPr>
              <w:t xml:space="preserve"> 项目外环境关系一览表</w:t>
            </w:r>
          </w:p>
          <w:tbl>
            <w:tblPr>
              <w:tblStyle w:val="1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5"/>
              <w:gridCol w:w="3535"/>
              <w:gridCol w:w="2140"/>
              <w:gridCol w:w="214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b/>
                      <w:kern w:val="0"/>
                      <w:szCs w:val="21"/>
                    </w:rPr>
                  </w:pPr>
                  <w:r>
                    <w:rPr>
                      <w:rFonts w:hint="eastAsia" w:cs="宋体"/>
                      <w:b/>
                      <w:kern w:val="0"/>
                      <w:szCs w:val="21"/>
                    </w:rPr>
                    <w:t>序号</w:t>
                  </w:r>
                </w:p>
              </w:tc>
              <w:tc>
                <w:tcPr>
                  <w:tcW w:w="3535" w:type="dxa"/>
                  <w:vAlign w:val="center"/>
                </w:tcPr>
                <w:p>
                  <w:pPr>
                    <w:autoSpaceDE w:val="0"/>
                    <w:autoSpaceDN w:val="0"/>
                    <w:adjustRightInd w:val="0"/>
                    <w:snapToGrid w:val="0"/>
                    <w:jc w:val="center"/>
                    <w:rPr>
                      <w:rFonts w:cs="宋体"/>
                      <w:b/>
                      <w:kern w:val="0"/>
                      <w:szCs w:val="21"/>
                    </w:rPr>
                  </w:pPr>
                  <w:r>
                    <w:rPr>
                      <w:rFonts w:hint="eastAsia" w:cs="宋体"/>
                      <w:b/>
                      <w:kern w:val="0"/>
                      <w:szCs w:val="21"/>
                    </w:rPr>
                    <w:t>名称</w:t>
                  </w:r>
                </w:p>
              </w:tc>
              <w:tc>
                <w:tcPr>
                  <w:tcW w:w="2140" w:type="dxa"/>
                  <w:vAlign w:val="center"/>
                </w:tcPr>
                <w:p>
                  <w:pPr>
                    <w:autoSpaceDE w:val="0"/>
                    <w:autoSpaceDN w:val="0"/>
                    <w:adjustRightInd w:val="0"/>
                    <w:snapToGrid w:val="0"/>
                    <w:jc w:val="center"/>
                    <w:rPr>
                      <w:rFonts w:cs="宋体"/>
                      <w:b/>
                      <w:kern w:val="0"/>
                      <w:szCs w:val="21"/>
                    </w:rPr>
                  </w:pPr>
                  <w:r>
                    <w:rPr>
                      <w:rFonts w:hint="eastAsia" w:cs="宋体"/>
                      <w:b/>
                      <w:kern w:val="0"/>
                      <w:szCs w:val="21"/>
                    </w:rPr>
                    <w:t>方位</w:t>
                  </w:r>
                </w:p>
              </w:tc>
              <w:tc>
                <w:tcPr>
                  <w:tcW w:w="2141" w:type="dxa"/>
                  <w:vAlign w:val="center"/>
                </w:tcPr>
                <w:p>
                  <w:pPr>
                    <w:autoSpaceDE w:val="0"/>
                    <w:autoSpaceDN w:val="0"/>
                    <w:adjustRightInd w:val="0"/>
                    <w:snapToGrid w:val="0"/>
                    <w:jc w:val="center"/>
                    <w:rPr>
                      <w:rFonts w:cs="宋体"/>
                      <w:b/>
                      <w:kern w:val="0"/>
                      <w:szCs w:val="21"/>
                    </w:rPr>
                  </w:pPr>
                  <w:r>
                    <w:rPr>
                      <w:rFonts w:hint="eastAsia" w:cs="宋体"/>
                      <w:b/>
                      <w:kern w:val="0"/>
                      <w:szCs w:val="21"/>
                    </w:rPr>
                    <w:t>距离（m）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齐安村</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NE</w:t>
                  </w:r>
                </w:p>
              </w:tc>
              <w:tc>
                <w:tcPr>
                  <w:tcW w:w="2141" w:type="dxa"/>
                  <w:vAlign w:val="center"/>
                </w:tcPr>
                <w:p>
                  <w:pPr>
                    <w:autoSpaceDE w:val="0"/>
                    <w:autoSpaceDN w:val="0"/>
                    <w:adjustRightInd w:val="0"/>
                    <w:snapToGrid w:val="0"/>
                    <w:jc w:val="center"/>
                    <w:rPr>
                      <w:rFonts w:cs="宋体"/>
                      <w:kern w:val="0"/>
                      <w:szCs w:val="21"/>
                    </w:rPr>
                  </w:pPr>
                  <w:r>
                    <w:rPr>
                      <w:rFonts w:hint="eastAsia"/>
                      <w:color w:val="000000"/>
                      <w:szCs w:val="21"/>
                    </w:rPr>
                    <w:t>5</w:t>
                  </w:r>
                  <w:r>
                    <w:rPr>
                      <w:color w:val="000000"/>
                      <w:szCs w:val="21"/>
                    </w:rPr>
                    <w:t>32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2</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四川钢联不锈钢有限公司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NE</w:t>
                  </w:r>
                </w:p>
              </w:tc>
              <w:tc>
                <w:tcPr>
                  <w:tcW w:w="2141" w:type="dxa"/>
                  <w:vAlign w:val="center"/>
                </w:tcPr>
                <w:p>
                  <w:pPr>
                    <w:autoSpaceDE w:val="0"/>
                    <w:autoSpaceDN w:val="0"/>
                    <w:adjustRightInd w:val="0"/>
                    <w:snapToGrid w:val="0"/>
                    <w:jc w:val="center"/>
                    <w:rPr>
                      <w:rFonts w:cs="宋体"/>
                      <w:kern w:val="0"/>
                      <w:szCs w:val="21"/>
                    </w:rPr>
                  </w:pPr>
                  <w:r>
                    <w:rPr>
                      <w:rFonts w:cs="宋体"/>
                      <w:kern w:val="0"/>
                      <w:szCs w:val="21"/>
                    </w:rPr>
                    <w:t>276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3</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乐山市嘉蓝图科技有限公司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E</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5</w:t>
                  </w:r>
                  <w:r>
                    <w:rPr>
                      <w:rFonts w:cs="宋体"/>
                      <w:kern w:val="0"/>
                      <w:szCs w:val="21"/>
                    </w:rPr>
                    <w:t>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4</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升源灯具安装工程有限公司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E</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6</w:t>
                  </w:r>
                  <w:r>
                    <w:rPr>
                      <w:rFonts w:cs="宋体"/>
                      <w:kern w:val="0"/>
                      <w:szCs w:val="21"/>
                    </w:rPr>
                    <w:t>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5</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乐艺非金属有限责任公司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SE</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72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6</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星辰机械设备有限公司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SE</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31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7</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乐山四海迈城建材有限公司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SE</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32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8</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王场村</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9</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苏沙路</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0</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乐山市方大工业发展有限公司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3</w:t>
                  </w:r>
                  <w:r>
                    <w:rPr>
                      <w:rFonts w:cs="宋体"/>
                      <w:kern w:val="0"/>
                      <w:szCs w:val="21"/>
                    </w:rPr>
                    <w:t>06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1</w:t>
                  </w:r>
                </w:p>
              </w:tc>
              <w:tc>
                <w:tcPr>
                  <w:tcW w:w="3535" w:type="dxa"/>
                  <w:vAlign w:val="center"/>
                </w:tcPr>
                <w:p>
                  <w:pPr>
                    <w:autoSpaceDE w:val="0"/>
                    <w:autoSpaceDN w:val="0"/>
                    <w:adjustRightInd w:val="0"/>
                    <w:snapToGrid w:val="0"/>
                    <w:jc w:val="center"/>
                    <w:rPr>
                      <w:rFonts w:cs="宋体"/>
                      <w:kern w:val="0"/>
                      <w:szCs w:val="21"/>
                    </w:rPr>
                  </w:pPr>
                  <w:r>
                    <w:rPr>
                      <w:rFonts w:hint="eastAsia"/>
                      <w:color w:val="000000"/>
                      <w:szCs w:val="21"/>
                    </w:rPr>
                    <w:t>乐山永丰机械制造有限公司</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5</w:t>
                  </w:r>
                  <w:r>
                    <w:rPr>
                      <w:rFonts w:cs="宋体"/>
                      <w:kern w:val="0"/>
                      <w:szCs w:val="21"/>
                    </w:rPr>
                    <w:t>19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2</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新兴村</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SW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5</w:t>
                  </w:r>
                  <w:r>
                    <w:rPr>
                      <w:rFonts w:cs="宋体"/>
                      <w:kern w:val="0"/>
                      <w:szCs w:val="21"/>
                    </w:rPr>
                    <w:t>58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cs="宋体"/>
                      <w:kern w:val="0"/>
                      <w:szCs w:val="21"/>
                    </w:rPr>
                    <w:t>13</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散居住户约1</w:t>
                  </w:r>
                  <w:r>
                    <w:rPr>
                      <w:color w:val="000000"/>
                      <w:szCs w:val="21"/>
                    </w:rPr>
                    <w:t>8</w:t>
                  </w:r>
                  <w:r>
                    <w:rPr>
                      <w:rFonts w:hint="eastAsia"/>
                      <w:color w:val="000000"/>
                      <w:szCs w:val="21"/>
                    </w:rPr>
                    <w:t>户</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2</w:t>
                  </w:r>
                  <w:r>
                    <w:rPr>
                      <w:rFonts w:cs="宋体"/>
                      <w:kern w:val="0"/>
                      <w:szCs w:val="21"/>
                    </w:rPr>
                    <w:t>24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4</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散居住户2户</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NW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5</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散居住户1户</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NW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4</w:t>
                  </w:r>
                  <w:r>
                    <w:rPr>
                      <w:rFonts w:cs="宋体"/>
                      <w:kern w:val="0"/>
                      <w:szCs w:val="21"/>
                    </w:rPr>
                    <w:t>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6</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散居住户1户</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NW</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5</w:t>
                  </w:r>
                  <w:r>
                    <w:rPr>
                      <w:rFonts w:cs="宋体"/>
                      <w:kern w:val="0"/>
                      <w:szCs w:val="21"/>
                    </w:rP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45" w:type="dxa"/>
                  <w:vAlign w:val="center"/>
                </w:tcPr>
                <w:p>
                  <w:pPr>
                    <w:autoSpaceDE w:val="0"/>
                    <w:autoSpaceDN w:val="0"/>
                    <w:adjustRightInd w:val="0"/>
                    <w:snapToGrid w:val="0"/>
                    <w:jc w:val="center"/>
                    <w:rPr>
                      <w:rFonts w:cs="宋体"/>
                      <w:kern w:val="0"/>
                      <w:szCs w:val="21"/>
                    </w:rPr>
                  </w:pPr>
                  <w:r>
                    <w:rPr>
                      <w:rFonts w:hint="eastAsia" w:cs="宋体"/>
                      <w:kern w:val="0"/>
                      <w:szCs w:val="21"/>
                    </w:rPr>
                    <w:t>1</w:t>
                  </w:r>
                  <w:r>
                    <w:rPr>
                      <w:rFonts w:cs="宋体"/>
                      <w:kern w:val="0"/>
                      <w:szCs w:val="21"/>
                    </w:rPr>
                    <w:t>7</w:t>
                  </w:r>
                </w:p>
              </w:tc>
              <w:tc>
                <w:tcPr>
                  <w:tcW w:w="3535" w:type="dxa"/>
                  <w:vAlign w:val="center"/>
                </w:tcPr>
                <w:p>
                  <w:pPr>
                    <w:autoSpaceDE w:val="0"/>
                    <w:autoSpaceDN w:val="0"/>
                    <w:adjustRightInd w:val="0"/>
                    <w:snapToGrid w:val="0"/>
                    <w:jc w:val="center"/>
                    <w:rPr>
                      <w:color w:val="000000"/>
                      <w:szCs w:val="21"/>
                    </w:rPr>
                  </w:pPr>
                  <w:r>
                    <w:rPr>
                      <w:rFonts w:hint="eastAsia"/>
                      <w:color w:val="000000"/>
                      <w:szCs w:val="21"/>
                    </w:rPr>
                    <w:t>大渡河</w:t>
                  </w:r>
                </w:p>
              </w:tc>
              <w:tc>
                <w:tcPr>
                  <w:tcW w:w="2140" w:type="dxa"/>
                  <w:vAlign w:val="center"/>
                </w:tcPr>
                <w:p>
                  <w:pPr>
                    <w:autoSpaceDE w:val="0"/>
                    <w:autoSpaceDN w:val="0"/>
                    <w:adjustRightInd w:val="0"/>
                    <w:snapToGrid w:val="0"/>
                    <w:jc w:val="center"/>
                    <w:rPr>
                      <w:rFonts w:cs="宋体"/>
                      <w:kern w:val="0"/>
                      <w:szCs w:val="21"/>
                    </w:rPr>
                  </w:pPr>
                  <w:r>
                    <w:rPr>
                      <w:rFonts w:hint="eastAsia" w:cs="宋体"/>
                      <w:kern w:val="0"/>
                      <w:szCs w:val="21"/>
                    </w:rPr>
                    <w:t>N</w:t>
                  </w:r>
                </w:p>
              </w:tc>
              <w:tc>
                <w:tcPr>
                  <w:tcW w:w="2141" w:type="dxa"/>
                  <w:vAlign w:val="center"/>
                </w:tcPr>
                <w:p>
                  <w:pPr>
                    <w:autoSpaceDE w:val="0"/>
                    <w:autoSpaceDN w:val="0"/>
                    <w:adjustRightInd w:val="0"/>
                    <w:snapToGrid w:val="0"/>
                    <w:jc w:val="center"/>
                    <w:rPr>
                      <w:rFonts w:cs="宋体"/>
                      <w:kern w:val="0"/>
                      <w:szCs w:val="21"/>
                    </w:rPr>
                  </w:pPr>
                  <w:r>
                    <w:rPr>
                      <w:rFonts w:hint="eastAsia" w:cs="宋体"/>
                      <w:kern w:val="0"/>
                      <w:szCs w:val="21"/>
                    </w:rPr>
                    <w:t>8</w:t>
                  </w:r>
                  <w:r>
                    <w:rPr>
                      <w:rFonts w:cs="宋体"/>
                      <w:kern w:val="0"/>
                      <w:szCs w:val="21"/>
                    </w:rPr>
                    <w:t>00</w:t>
                  </w:r>
                </w:p>
              </w:tc>
            </w:tr>
          </w:tbl>
          <w:p>
            <w:pPr>
              <w:spacing w:before="120" w:beforeLines="50" w:line="360" w:lineRule="auto"/>
              <w:ind w:firstLine="480" w:firstLineChars="200"/>
              <w:rPr>
                <w:color w:val="000000"/>
                <w:sz w:val="24"/>
              </w:rPr>
            </w:pPr>
            <w:r>
              <w:rPr>
                <w:rFonts w:hint="eastAsia"/>
                <w:color w:val="000000"/>
                <w:sz w:val="24"/>
              </w:rPr>
              <w:t>同时，厂址周围没有自然保护区、风景游览区、名胜古迹、生活饮用水源地、生态脆弱敏感区和其他需要特别保护的敏感目标。</w:t>
            </w:r>
          </w:p>
          <w:p>
            <w:pPr>
              <w:pStyle w:val="38"/>
              <w:ind w:firstLine="482"/>
              <w:rPr>
                <w:b/>
                <w:color w:val="000000"/>
              </w:rPr>
            </w:pPr>
            <w:r>
              <w:rPr>
                <w:rFonts w:hint="eastAsia"/>
                <w:b/>
                <w:color w:val="000000"/>
              </w:rPr>
              <w:t>二、环境保护目标</w:t>
            </w:r>
          </w:p>
          <w:p>
            <w:pPr>
              <w:pStyle w:val="38"/>
              <w:ind w:firstLine="480"/>
              <w:rPr>
                <w:color w:val="000000"/>
              </w:rPr>
            </w:pPr>
            <w:r>
              <w:rPr>
                <w:rFonts w:hint="eastAsia"/>
                <w:color w:val="000000"/>
              </w:rPr>
              <w:t>根据本项目特点和外环境特征确定环境保护目标及要求如下：</w:t>
            </w:r>
          </w:p>
          <w:p>
            <w:pPr>
              <w:pStyle w:val="38"/>
              <w:ind w:firstLine="480"/>
              <w:jc w:val="both"/>
              <w:rPr>
                <w:color w:val="000000"/>
              </w:rPr>
            </w:pPr>
            <w:r>
              <w:rPr>
                <w:rFonts w:hint="eastAsia"/>
                <w:color w:val="000000"/>
              </w:rPr>
              <w:t>环境空气：本项目评价区内的环境空气质量应达到《环境空气质量标准》（GB3095-2012）中的二级标准要求；</w:t>
            </w:r>
          </w:p>
          <w:p>
            <w:pPr>
              <w:pStyle w:val="38"/>
              <w:ind w:firstLine="480"/>
              <w:jc w:val="both"/>
              <w:rPr>
                <w:color w:val="000000"/>
              </w:rPr>
            </w:pPr>
            <w:r>
              <w:rPr>
                <w:rFonts w:hint="eastAsia"/>
                <w:color w:val="000000"/>
              </w:rPr>
              <w:t>声环境：项目评价区内声环境质量应达到《声环境质量标准》（GB3096-2008）中的3类标准要求；</w:t>
            </w:r>
          </w:p>
          <w:p>
            <w:pPr>
              <w:pStyle w:val="38"/>
              <w:ind w:firstLine="480"/>
              <w:jc w:val="both"/>
              <w:rPr>
                <w:color w:val="000000"/>
              </w:rPr>
            </w:pPr>
            <w:r>
              <w:rPr>
                <w:rFonts w:hint="eastAsia"/>
                <w:color w:val="000000"/>
              </w:rPr>
              <w:t>地表水环境：本项目评价区内的地表水环境质量应达到《地表水环境质量标准》（GB3838-2002）中的Ⅲ类水域标准要求。</w:t>
            </w:r>
          </w:p>
          <w:p>
            <w:pPr>
              <w:pStyle w:val="40"/>
              <w:spacing w:line="240" w:lineRule="auto"/>
            </w:pPr>
            <w:r>
              <w:rPr>
                <w:rFonts w:hint="eastAsia"/>
              </w:rPr>
              <w:t>表3-</w:t>
            </w:r>
            <w:r>
              <w:t>5</w:t>
            </w:r>
            <w:r>
              <w:rPr>
                <w:rFonts w:hint="eastAsia"/>
              </w:rPr>
              <w:t xml:space="preserve"> 项目环境保护目标</w:t>
            </w:r>
          </w:p>
          <w:tbl>
            <w:tblPr>
              <w:tblStyle w:val="1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58"/>
              <w:gridCol w:w="1134"/>
              <w:gridCol w:w="638"/>
              <w:gridCol w:w="638"/>
              <w:gridCol w:w="567"/>
              <w:gridCol w:w="1559"/>
              <w:gridCol w:w="709"/>
              <w:gridCol w:w="709"/>
              <w:gridCol w:w="567"/>
              <w:gridCol w:w="96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958" w:type="dxa"/>
                  <w:vMerge w:val="restart"/>
                  <w:vAlign w:val="center"/>
                </w:tcPr>
                <w:p>
                  <w:pPr>
                    <w:pStyle w:val="36"/>
                    <w:rPr>
                      <w:b/>
                      <w:color w:val="000000"/>
                    </w:rPr>
                  </w:pPr>
                  <w:r>
                    <w:rPr>
                      <w:rFonts w:hint="eastAsia"/>
                      <w:b/>
                      <w:color w:val="000000"/>
                    </w:rPr>
                    <w:t>环境类别</w:t>
                  </w:r>
                </w:p>
              </w:tc>
              <w:tc>
                <w:tcPr>
                  <w:tcW w:w="1134" w:type="dxa"/>
                  <w:vMerge w:val="restart"/>
                  <w:vAlign w:val="center"/>
                </w:tcPr>
                <w:p>
                  <w:pPr>
                    <w:pStyle w:val="36"/>
                    <w:rPr>
                      <w:b/>
                      <w:color w:val="000000"/>
                    </w:rPr>
                  </w:pPr>
                  <w:r>
                    <w:rPr>
                      <w:rFonts w:hint="eastAsia"/>
                      <w:b/>
                      <w:color w:val="000000"/>
                    </w:rPr>
                    <w:t>敏感点名称</w:t>
                  </w:r>
                </w:p>
              </w:tc>
              <w:tc>
                <w:tcPr>
                  <w:tcW w:w="1276" w:type="dxa"/>
                  <w:gridSpan w:val="2"/>
                  <w:vAlign w:val="center"/>
                </w:tcPr>
                <w:p>
                  <w:pPr>
                    <w:pStyle w:val="36"/>
                    <w:rPr>
                      <w:b/>
                      <w:color w:val="000000"/>
                    </w:rPr>
                  </w:pPr>
                  <w:r>
                    <w:rPr>
                      <w:rFonts w:hint="eastAsia"/>
                      <w:b/>
                      <w:color w:val="000000"/>
                    </w:rPr>
                    <w:t>坐标</w:t>
                  </w:r>
                </w:p>
              </w:tc>
              <w:tc>
                <w:tcPr>
                  <w:tcW w:w="567" w:type="dxa"/>
                  <w:vMerge w:val="restart"/>
                  <w:vAlign w:val="center"/>
                </w:tcPr>
                <w:p>
                  <w:pPr>
                    <w:pStyle w:val="52"/>
                    <w:snapToGrid w:val="0"/>
                    <w:spacing w:line="240" w:lineRule="auto"/>
                    <w:ind w:firstLine="0" w:firstLineChars="0"/>
                    <w:textAlignment w:val="auto"/>
                    <w:rPr>
                      <w:rFonts w:ascii="Times New Roman"/>
                      <w:bCs w:val="0"/>
                      <w:color w:val="000000"/>
                      <w:sz w:val="21"/>
                      <w:szCs w:val="21"/>
                    </w:rPr>
                  </w:pPr>
                  <w:r>
                    <w:rPr>
                      <w:rFonts w:ascii="Times New Roman"/>
                      <w:bCs w:val="0"/>
                      <w:color w:val="000000"/>
                      <w:sz w:val="21"/>
                      <w:szCs w:val="21"/>
                    </w:rPr>
                    <w:t>保护对象</w:t>
                  </w:r>
                </w:p>
              </w:tc>
              <w:tc>
                <w:tcPr>
                  <w:tcW w:w="1559" w:type="dxa"/>
                  <w:vMerge w:val="restart"/>
                  <w:vAlign w:val="center"/>
                </w:tcPr>
                <w:p>
                  <w:pPr>
                    <w:pStyle w:val="52"/>
                    <w:snapToGrid w:val="0"/>
                    <w:spacing w:line="240" w:lineRule="auto"/>
                    <w:ind w:firstLine="0" w:firstLineChars="0"/>
                    <w:textAlignment w:val="auto"/>
                    <w:rPr>
                      <w:rFonts w:ascii="Times New Roman"/>
                      <w:bCs w:val="0"/>
                      <w:color w:val="000000"/>
                      <w:sz w:val="21"/>
                      <w:szCs w:val="21"/>
                    </w:rPr>
                  </w:pPr>
                  <w:r>
                    <w:rPr>
                      <w:rFonts w:ascii="Times New Roman"/>
                      <w:bCs w:val="0"/>
                      <w:color w:val="000000"/>
                      <w:sz w:val="21"/>
                      <w:szCs w:val="21"/>
                    </w:rPr>
                    <w:t>保护内容</w:t>
                  </w:r>
                </w:p>
              </w:tc>
              <w:tc>
                <w:tcPr>
                  <w:tcW w:w="709" w:type="dxa"/>
                  <w:vMerge w:val="restart"/>
                  <w:vAlign w:val="center"/>
                </w:tcPr>
                <w:p>
                  <w:pPr>
                    <w:pStyle w:val="52"/>
                    <w:snapToGrid w:val="0"/>
                    <w:spacing w:line="240" w:lineRule="auto"/>
                    <w:ind w:firstLine="0" w:firstLineChars="0"/>
                    <w:textAlignment w:val="auto"/>
                    <w:rPr>
                      <w:rFonts w:ascii="Times New Roman"/>
                      <w:bCs w:val="0"/>
                      <w:color w:val="000000"/>
                      <w:sz w:val="21"/>
                      <w:szCs w:val="21"/>
                    </w:rPr>
                  </w:pPr>
                  <w:r>
                    <w:rPr>
                      <w:rFonts w:ascii="Times New Roman"/>
                      <w:bCs w:val="0"/>
                      <w:color w:val="000000"/>
                      <w:sz w:val="21"/>
                      <w:szCs w:val="21"/>
                    </w:rPr>
                    <w:t>相对厂址方位</w:t>
                  </w:r>
                </w:p>
              </w:tc>
              <w:tc>
                <w:tcPr>
                  <w:tcW w:w="709" w:type="dxa"/>
                  <w:vMerge w:val="restart"/>
                  <w:vAlign w:val="center"/>
                </w:tcPr>
                <w:p>
                  <w:pPr>
                    <w:pStyle w:val="52"/>
                    <w:snapToGrid w:val="0"/>
                    <w:spacing w:line="240" w:lineRule="auto"/>
                    <w:ind w:firstLine="0" w:firstLineChars="0"/>
                    <w:textAlignment w:val="auto"/>
                    <w:rPr>
                      <w:rFonts w:ascii="Times New Roman"/>
                      <w:bCs w:val="0"/>
                      <w:color w:val="000000"/>
                      <w:sz w:val="21"/>
                      <w:szCs w:val="21"/>
                    </w:rPr>
                  </w:pPr>
                  <w:r>
                    <w:rPr>
                      <w:rFonts w:ascii="Times New Roman"/>
                      <w:bCs w:val="0"/>
                      <w:color w:val="000000"/>
                      <w:sz w:val="21"/>
                      <w:szCs w:val="21"/>
                    </w:rPr>
                    <w:t>相对厂界距离</w:t>
                  </w:r>
                </w:p>
              </w:tc>
              <w:tc>
                <w:tcPr>
                  <w:tcW w:w="567" w:type="dxa"/>
                  <w:vMerge w:val="restart"/>
                  <w:vAlign w:val="center"/>
                </w:tcPr>
                <w:p>
                  <w:pPr>
                    <w:pStyle w:val="52"/>
                    <w:snapToGrid w:val="0"/>
                    <w:spacing w:line="240" w:lineRule="auto"/>
                    <w:ind w:firstLine="0" w:firstLineChars="0"/>
                    <w:textAlignment w:val="auto"/>
                    <w:rPr>
                      <w:rFonts w:ascii="Times New Roman"/>
                      <w:bCs w:val="0"/>
                      <w:color w:val="000000"/>
                      <w:sz w:val="21"/>
                      <w:szCs w:val="21"/>
                    </w:rPr>
                  </w:pPr>
                  <w:r>
                    <w:rPr>
                      <w:rFonts w:ascii="Times New Roman"/>
                      <w:bCs w:val="0"/>
                      <w:color w:val="000000"/>
                      <w:sz w:val="21"/>
                      <w:szCs w:val="21"/>
                    </w:rPr>
                    <w:t>高</w:t>
                  </w:r>
                  <w:r>
                    <w:rPr>
                      <w:rFonts w:hint="eastAsia" w:ascii="Times New Roman"/>
                      <w:bCs w:val="0"/>
                      <w:color w:val="000000"/>
                      <w:sz w:val="21"/>
                      <w:szCs w:val="21"/>
                    </w:rPr>
                    <w:t>差</w:t>
                  </w:r>
                </w:p>
              </w:tc>
              <w:tc>
                <w:tcPr>
                  <w:tcW w:w="962" w:type="dxa"/>
                  <w:vMerge w:val="restart"/>
                  <w:vAlign w:val="center"/>
                </w:tcPr>
                <w:p>
                  <w:pPr>
                    <w:pStyle w:val="52"/>
                    <w:snapToGrid w:val="0"/>
                    <w:spacing w:line="240" w:lineRule="auto"/>
                    <w:ind w:firstLine="0" w:firstLineChars="0"/>
                    <w:textAlignment w:val="auto"/>
                    <w:rPr>
                      <w:rFonts w:ascii="Times New Roman"/>
                      <w:bCs w:val="0"/>
                      <w:color w:val="000000"/>
                      <w:sz w:val="21"/>
                      <w:szCs w:val="21"/>
                    </w:rPr>
                  </w:pPr>
                  <w:r>
                    <w:rPr>
                      <w:rFonts w:ascii="Times New Roman"/>
                      <w:bCs w:val="0"/>
                      <w:color w:val="000000"/>
                      <w:sz w:val="21"/>
                      <w:szCs w:val="21"/>
                    </w:rPr>
                    <w:t>阻隔关系</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958" w:type="dxa"/>
                  <w:vMerge w:val="continue"/>
                  <w:vAlign w:val="center"/>
                </w:tcPr>
                <w:p>
                  <w:pPr>
                    <w:pStyle w:val="36"/>
                    <w:rPr>
                      <w:b/>
                      <w:color w:val="000000"/>
                    </w:rPr>
                  </w:pPr>
                </w:p>
              </w:tc>
              <w:tc>
                <w:tcPr>
                  <w:tcW w:w="1134" w:type="dxa"/>
                  <w:vMerge w:val="continue"/>
                  <w:vAlign w:val="center"/>
                </w:tcPr>
                <w:p>
                  <w:pPr>
                    <w:pStyle w:val="36"/>
                    <w:rPr>
                      <w:b/>
                      <w:color w:val="000000"/>
                    </w:rPr>
                  </w:pPr>
                </w:p>
              </w:tc>
              <w:tc>
                <w:tcPr>
                  <w:tcW w:w="638" w:type="dxa"/>
                  <w:vAlign w:val="center"/>
                </w:tcPr>
                <w:p>
                  <w:pPr>
                    <w:pStyle w:val="36"/>
                    <w:rPr>
                      <w:b/>
                      <w:color w:val="000000"/>
                    </w:rPr>
                  </w:pPr>
                  <w:r>
                    <w:rPr>
                      <w:rFonts w:hint="eastAsia"/>
                      <w:b/>
                      <w:color w:val="000000"/>
                    </w:rPr>
                    <w:t>x</w:t>
                  </w:r>
                </w:p>
              </w:tc>
              <w:tc>
                <w:tcPr>
                  <w:tcW w:w="638" w:type="dxa"/>
                  <w:vAlign w:val="center"/>
                </w:tcPr>
                <w:p>
                  <w:pPr>
                    <w:pStyle w:val="36"/>
                    <w:rPr>
                      <w:b/>
                      <w:color w:val="000000"/>
                    </w:rPr>
                  </w:pPr>
                  <w:r>
                    <w:rPr>
                      <w:rFonts w:hint="eastAsia"/>
                      <w:b/>
                      <w:color w:val="000000"/>
                    </w:rPr>
                    <w:t>y</w:t>
                  </w:r>
                </w:p>
              </w:tc>
              <w:tc>
                <w:tcPr>
                  <w:tcW w:w="567" w:type="dxa"/>
                  <w:vMerge w:val="continue"/>
                  <w:vAlign w:val="center"/>
                </w:tcPr>
                <w:p>
                  <w:pPr>
                    <w:pStyle w:val="36"/>
                    <w:rPr>
                      <w:bCs/>
                      <w:color w:val="000000"/>
                    </w:rPr>
                  </w:pPr>
                </w:p>
              </w:tc>
              <w:tc>
                <w:tcPr>
                  <w:tcW w:w="1559" w:type="dxa"/>
                  <w:vMerge w:val="continue"/>
                  <w:vAlign w:val="center"/>
                </w:tcPr>
                <w:p>
                  <w:pPr>
                    <w:pStyle w:val="52"/>
                    <w:snapToGrid w:val="0"/>
                    <w:spacing w:line="240" w:lineRule="auto"/>
                    <w:ind w:firstLine="0" w:firstLineChars="0"/>
                    <w:textAlignment w:val="auto"/>
                    <w:rPr>
                      <w:rFonts w:ascii="Times New Roman"/>
                      <w:bCs w:val="0"/>
                      <w:color w:val="000000"/>
                      <w:sz w:val="21"/>
                      <w:szCs w:val="21"/>
                    </w:rPr>
                  </w:pPr>
                </w:p>
              </w:tc>
              <w:tc>
                <w:tcPr>
                  <w:tcW w:w="709" w:type="dxa"/>
                  <w:vMerge w:val="continue"/>
                  <w:vAlign w:val="center"/>
                </w:tcPr>
                <w:p>
                  <w:pPr>
                    <w:pStyle w:val="52"/>
                    <w:snapToGrid w:val="0"/>
                    <w:spacing w:line="240" w:lineRule="auto"/>
                    <w:ind w:firstLine="0" w:firstLineChars="0"/>
                    <w:textAlignment w:val="auto"/>
                    <w:rPr>
                      <w:rFonts w:ascii="Times New Roman"/>
                      <w:bCs w:val="0"/>
                      <w:color w:val="000000"/>
                      <w:sz w:val="21"/>
                      <w:szCs w:val="21"/>
                    </w:rPr>
                  </w:pPr>
                </w:p>
              </w:tc>
              <w:tc>
                <w:tcPr>
                  <w:tcW w:w="709" w:type="dxa"/>
                  <w:vMerge w:val="continue"/>
                  <w:vAlign w:val="center"/>
                </w:tcPr>
                <w:p>
                  <w:pPr>
                    <w:pStyle w:val="52"/>
                    <w:snapToGrid w:val="0"/>
                    <w:spacing w:line="240" w:lineRule="auto"/>
                    <w:ind w:firstLine="0" w:firstLineChars="0"/>
                    <w:textAlignment w:val="auto"/>
                    <w:rPr>
                      <w:rFonts w:ascii="Times New Roman"/>
                      <w:bCs w:val="0"/>
                      <w:color w:val="000000"/>
                      <w:sz w:val="21"/>
                      <w:szCs w:val="21"/>
                    </w:rPr>
                  </w:pPr>
                </w:p>
              </w:tc>
              <w:tc>
                <w:tcPr>
                  <w:tcW w:w="567" w:type="dxa"/>
                  <w:vMerge w:val="continue"/>
                  <w:vAlign w:val="center"/>
                </w:tcPr>
                <w:p>
                  <w:pPr>
                    <w:pStyle w:val="52"/>
                    <w:snapToGrid w:val="0"/>
                    <w:spacing w:line="240" w:lineRule="auto"/>
                    <w:ind w:firstLine="0" w:firstLineChars="0"/>
                    <w:textAlignment w:val="auto"/>
                    <w:rPr>
                      <w:rFonts w:ascii="Times New Roman"/>
                      <w:bCs w:val="0"/>
                      <w:color w:val="000000"/>
                      <w:sz w:val="21"/>
                      <w:szCs w:val="21"/>
                    </w:rPr>
                  </w:pPr>
                </w:p>
              </w:tc>
              <w:tc>
                <w:tcPr>
                  <w:tcW w:w="962" w:type="dxa"/>
                  <w:vMerge w:val="continue"/>
                  <w:vAlign w:val="center"/>
                </w:tcPr>
                <w:p>
                  <w:pPr>
                    <w:pStyle w:val="52"/>
                    <w:snapToGrid w:val="0"/>
                    <w:spacing w:line="240" w:lineRule="auto"/>
                    <w:ind w:firstLine="0" w:firstLineChars="0"/>
                    <w:textAlignment w:val="auto"/>
                    <w:rPr>
                      <w:rFonts w:ascii="Times New Roman"/>
                      <w:bCs w:val="0"/>
                      <w:color w:val="00000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958" w:type="dxa"/>
                  <w:vMerge w:val="restart"/>
                  <w:vAlign w:val="center"/>
                </w:tcPr>
                <w:p>
                  <w:pPr>
                    <w:pStyle w:val="36"/>
                    <w:rPr>
                      <w:color w:val="000000"/>
                    </w:rPr>
                  </w:pPr>
                  <w:r>
                    <w:rPr>
                      <w:rFonts w:hint="eastAsia"/>
                      <w:color w:val="000000"/>
                    </w:rPr>
                    <w:t>环境空气</w:t>
                  </w:r>
                </w:p>
              </w:tc>
              <w:tc>
                <w:tcPr>
                  <w:tcW w:w="1134" w:type="dxa"/>
                  <w:vAlign w:val="center"/>
                </w:tcPr>
                <w:p>
                  <w:pPr>
                    <w:pStyle w:val="47"/>
                    <w:rPr>
                      <w:color w:val="000000"/>
                    </w:rPr>
                  </w:pPr>
                  <w:r>
                    <w:rPr>
                      <w:rFonts w:hint="eastAsia"/>
                      <w:color w:val="000000"/>
                    </w:rPr>
                    <w:t>齐安村</w:t>
                  </w:r>
                </w:p>
              </w:tc>
              <w:tc>
                <w:tcPr>
                  <w:tcW w:w="638" w:type="dxa"/>
                  <w:vAlign w:val="center"/>
                </w:tcPr>
                <w:p>
                  <w:pPr>
                    <w:pStyle w:val="36"/>
                    <w:rPr>
                      <w:color w:val="000000"/>
                    </w:rPr>
                  </w:pPr>
                  <w:r>
                    <w:rPr>
                      <w:rFonts w:hint="eastAsia"/>
                      <w:color w:val="000000"/>
                    </w:rPr>
                    <w:t>+</w:t>
                  </w:r>
                  <w:r>
                    <w:rPr>
                      <w:color w:val="000000"/>
                    </w:rPr>
                    <w:t>326</w:t>
                  </w:r>
                </w:p>
              </w:tc>
              <w:tc>
                <w:tcPr>
                  <w:tcW w:w="638" w:type="dxa"/>
                  <w:vAlign w:val="center"/>
                </w:tcPr>
                <w:p>
                  <w:pPr>
                    <w:pStyle w:val="36"/>
                    <w:rPr>
                      <w:color w:val="000000"/>
                    </w:rPr>
                  </w:pPr>
                  <w:r>
                    <w:rPr>
                      <w:color w:val="000000"/>
                    </w:rPr>
                    <w:t>+417</w:t>
                  </w:r>
                </w:p>
              </w:tc>
              <w:tc>
                <w:tcPr>
                  <w:tcW w:w="567" w:type="dxa"/>
                  <w:vMerge w:val="restart"/>
                  <w:vAlign w:val="center"/>
                </w:tcPr>
                <w:p>
                  <w:pPr>
                    <w:pStyle w:val="36"/>
                    <w:rPr>
                      <w:color w:val="000000"/>
                    </w:rPr>
                  </w:pPr>
                  <w:r>
                    <w:rPr>
                      <w:rFonts w:hint="eastAsia"/>
                      <w:color w:val="000000"/>
                    </w:rPr>
                    <w:t>住户</w:t>
                  </w:r>
                </w:p>
              </w:tc>
              <w:tc>
                <w:tcPr>
                  <w:tcW w:w="1559" w:type="dxa"/>
                  <w:vAlign w:val="center"/>
                </w:tcPr>
                <w:p>
                  <w:pPr>
                    <w:pStyle w:val="47"/>
                    <w:rPr>
                      <w:color w:val="000000"/>
                    </w:rPr>
                  </w:pPr>
                  <w:r>
                    <w:rPr>
                      <w:rFonts w:hint="eastAsia"/>
                      <w:color w:val="000000"/>
                    </w:rPr>
                    <w:t>约</w:t>
                  </w:r>
                  <w:r>
                    <w:rPr>
                      <w:color w:val="000000"/>
                    </w:rPr>
                    <w:t>1000</w:t>
                  </w:r>
                  <w:r>
                    <w:rPr>
                      <w:rFonts w:hint="eastAsia"/>
                      <w:color w:val="000000"/>
                    </w:rPr>
                    <w:t>人</w:t>
                  </w:r>
                </w:p>
              </w:tc>
              <w:tc>
                <w:tcPr>
                  <w:tcW w:w="709" w:type="dxa"/>
                  <w:vAlign w:val="center"/>
                </w:tcPr>
                <w:p>
                  <w:pPr>
                    <w:pStyle w:val="47"/>
                    <w:rPr>
                      <w:color w:val="000000"/>
                    </w:rPr>
                  </w:pPr>
                  <w:r>
                    <w:rPr>
                      <w:rFonts w:hint="eastAsia"/>
                      <w:color w:val="000000"/>
                    </w:rPr>
                    <w:t>NE</w:t>
                  </w:r>
                </w:p>
              </w:tc>
              <w:tc>
                <w:tcPr>
                  <w:tcW w:w="709" w:type="dxa"/>
                  <w:vAlign w:val="center"/>
                </w:tcPr>
                <w:p>
                  <w:pPr>
                    <w:pStyle w:val="47"/>
                    <w:rPr>
                      <w:color w:val="000000"/>
                    </w:rPr>
                  </w:pPr>
                  <w:r>
                    <w:rPr>
                      <w:color w:val="000000"/>
                    </w:rPr>
                    <w:t>532</w:t>
                  </w:r>
                </w:p>
              </w:tc>
              <w:tc>
                <w:tcPr>
                  <w:tcW w:w="567" w:type="dxa"/>
                  <w:vAlign w:val="center"/>
                </w:tcPr>
                <w:p>
                  <w:pPr>
                    <w:jc w:val="center"/>
                  </w:pPr>
                  <w:r>
                    <w:t>4</w:t>
                  </w:r>
                </w:p>
              </w:tc>
              <w:tc>
                <w:tcPr>
                  <w:tcW w:w="962" w:type="dxa"/>
                  <w:vAlign w:val="center"/>
                </w:tcPr>
                <w:p>
                  <w:pPr>
                    <w:pStyle w:val="36"/>
                    <w:rPr>
                      <w:color w:val="000000"/>
                    </w:rPr>
                  </w:pPr>
                  <w:r>
                    <w:rPr>
                      <w:rFonts w:hint="eastAsia"/>
                      <w:color w:val="000000"/>
                    </w:rPr>
                    <w:t>园区企业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958" w:type="dxa"/>
                  <w:vMerge w:val="continue"/>
                  <w:vAlign w:val="center"/>
                </w:tcPr>
                <w:p>
                  <w:pPr>
                    <w:pStyle w:val="36"/>
                    <w:rPr>
                      <w:color w:val="000000"/>
                    </w:rPr>
                  </w:pPr>
                </w:p>
              </w:tc>
              <w:tc>
                <w:tcPr>
                  <w:tcW w:w="1134" w:type="dxa"/>
                  <w:vAlign w:val="center"/>
                </w:tcPr>
                <w:p>
                  <w:pPr>
                    <w:widowControl/>
                    <w:jc w:val="center"/>
                    <w:textAlignment w:val="center"/>
                    <w:rPr>
                      <w:color w:val="000000"/>
                      <w:szCs w:val="21"/>
                    </w:rPr>
                  </w:pPr>
                  <w:r>
                    <w:rPr>
                      <w:rFonts w:hint="eastAsia"/>
                      <w:color w:val="000000"/>
                      <w:szCs w:val="21"/>
                    </w:rPr>
                    <w:t>王场村</w:t>
                  </w:r>
                </w:p>
              </w:tc>
              <w:tc>
                <w:tcPr>
                  <w:tcW w:w="638" w:type="dxa"/>
                  <w:vAlign w:val="center"/>
                </w:tcPr>
                <w:p>
                  <w:pPr>
                    <w:pStyle w:val="36"/>
                    <w:rPr>
                      <w:color w:val="000000"/>
                    </w:rPr>
                  </w:pPr>
                  <w:r>
                    <w:rPr>
                      <w:color w:val="000000"/>
                    </w:rPr>
                    <w:t>+154</w:t>
                  </w:r>
                </w:p>
              </w:tc>
              <w:tc>
                <w:tcPr>
                  <w:tcW w:w="638" w:type="dxa"/>
                  <w:vAlign w:val="center"/>
                </w:tcPr>
                <w:p>
                  <w:pPr>
                    <w:pStyle w:val="36"/>
                    <w:rPr>
                      <w:color w:val="000000"/>
                    </w:rPr>
                  </w:pPr>
                  <w:r>
                    <w:rPr>
                      <w:color w:val="000000"/>
                    </w:rPr>
                    <w:t>-325</w:t>
                  </w:r>
                </w:p>
              </w:tc>
              <w:tc>
                <w:tcPr>
                  <w:tcW w:w="567" w:type="dxa"/>
                  <w:vMerge w:val="continue"/>
                  <w:vAlign w:val="center"/>
                </w:tcPr>
                <w:p>
                  <w:pPr>
                    <w:pStyle w:val="36"/>
                    <w:rPr>
                      <w:color w:val="000000"/>
                    </w:rPr>
                  </w:pPr>
                </w:p>
              </w:tc>
              <w:tc>
                <w:tcPr>
                  <w:tcW w:w="1559" w:type="dxa"/>
                  <w:vAlign w:val="center"/>
                </w:tcPr>
                <w:p>
                  <w:pPr>
                    <w:pStyle w:val="47"/>
                    <w:rPr>
                      <w:color w:val="000000"/>
                    </w:rPr>
                  </w:pPr>
                  <w:r>
                    <w:rPr>
                      <w:rFonts w:hint="eastAsia"/>
                      <w:color w:val="000000"/>
                    </w:rPr>
                    <w:t>约</w:t>
                  </w:r>
                  <w:r>
                    <w:rPr>
                      <w:color w:val="000000"/>
                    </w:rPr>
                    <w:t>500</w:t>
                  </w:r>
                  <w:r>
                    <w:rPr>
                      <w:rFonts w:hint="eastAsia"/>
                      <w:color w:val="000000"/>
                    </w:rPr>
                    <w:t>人</w:t>
                  </w:r>
                </w:p>
              </w:tc>
              <w:tc>
                <w:tcPr>
                  <w:tcW w:w="709" w:type="dxa"/>
                  <w:vAlign w:val="center"/>
                </w:tcPr>
                <w:p>
                  <w:pPr>
                    <w:pStyle w:val="47"/>
                    <w:rPr>
                      <w:color w:val="000000"/>
                    </w:rPr>
                  </w:pPr>
                  <w:r>
                    <w:rPr>
                      <w:rFonts w:hint="eastAsia"/>
                      <w:color w:val="000000"/>
                    </w:rPr>
                    <w:t>SW</w:t>
                  </w:r>
                </w:p>
              </w:tc>
              <w:tc>
                <w:tcPr>
                  <w:tcW w:w="709" w:type="dxa"/>
                  <w:vAlign w:val="center"/>
                </w:tcPr>
                <w:p>
                  <w:pPr>
                    <w:pStyle w:val="47"/>
                    <w:rPr>
                      <w:color w:val="000000"/>
                    </w:rPr>
                  </w:pPr>
                  <w:r>
                    <w:rPr>
                      <w:color w:val="000000"/>
                    </w:rPr>
                    <w:t>355</w:t>
                  </w:r>
                </w:p>
              </w:tc>
              <w:tc>
                <w:tcPr>
                  <w:tcW w:w="567" w:type="dxa"/>
                  <w:vAlign w:val="center"/>
                </w:tcPr>
                <w:p>
                  <w:pPr>
                    <w:jc w:val="center"/>
                  </w:pPr>
                  <w:r>
                    <w:t>-2</w:t>
                  </w:r>
                </w:p>
              </w:tc>
              <w:tc>
                <w:tcPr>
                  <w:tcW w:w="962" w:type="dxa"/>
                  <w:vAlign w:val="center"/>
                </w:tcPr>
                <w:p>
                  <w:pPr>
                    <w:pStyle w:val="36"/>
                    <w:rPr>
                      <w:color w:val="000000"/>
                    </w:rPr>
                  </w:pPr>
                  <w:r>
                    <w:rPr>
                      <w:rFonts w:hint="eastAsia"/>
                      <w:color w:val="000000"/>
                    </w:rPr>
                    <w:t>无</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58" w:type="dxa"/>
                  <w:vMerge w:val="continue"/>
                  <w:vAlign w:val="center"/>
                </w:tcPr>
                <w:p>
                  <w:pPr>
                    <w:pStyle w:val="36"/>
                    <w:rPr>
                      <w:color w:val="000000"/>
                    </w:rPr>
                  </w:pPr>
                </w:p>
              </w:tc>
              <w:tc>
                <w:tcPr>
                  <w:tcW w:w="1134" w:type="dxa"/>
                  <w:vAlign w:val="center"/>
                </w:tcPr>
                <w:p>
                  <w:pPr>
                    <w:widowControl/>
                    <w:jc w:val="center"/>
                    <w:textAlignment w:val="center"/>
                    <w:rPr>
                      <w:color w:val="000000"/>
                      <w:szCs w:val="21"/>
                    </w:rPr>
                  </w:pPr>
                  <w:r>
                    <w:rPr>
                      <w:rFonts w:hint="eastAsia"/>
                      <w:color w:val="000000"/>
                      <w:szCs w:val="21"/>
                    </w:rPr>
                    <w:t>新兴村</w:t>
                  </w:r>
                </w:p>
              </w:tc>
              <w:tc>
                <w:tcPr>
                  <w:tcW w:w="638" w:type="dxa"/>
                  <w:vAlign w:val="center"/>
                </w:tcPr>
                <w:p>
                  <w:pPr>
                    <w:pStyle w:val="36"/>
                    <w:rPr>
                      <w:color w:val="000000"/>
                    </w:rPr>
                  </w:pPr>
                  <w:r>
                    <w:rPr>
                      <w:color w:val="000000"/>
                    </w:rPr>
                    <w:t>-383</w:t>
                  </w:r>
                </w:p>
              </w:tc>
              <w:tc>
                <w:tcPr>
                  <w:tcW w:w="638" w:type="dxa"/>
                  <w:vAlign w:val="center"/>
                </w:tcPr>
                <w:p>
                  <w:pPr>
                    <w:pStyle w:val="36"/>
                    <w:rPr>
                      <w:color w:val="000000"/>
                    </w:rPr>
                  </w:pPr>
                  <w:r>
                    <w:rPr>
                      <w:rFonts w:hint="eastAsia"/>
                      <w:color w:val="000000"/>
                    </w:rPr>
                    <w:t>-</w:t>
                  </w:r>
                  <w:r>
                    <w:rPr>
                      <w:color w:val="000000"/>
                    </w:rPr>
                    <w:t>405</w:t>
                  </w:r>
                </w:p>
              </w:tc>
              <w:tc>
                <w:tcPr>
                  <w:tcW w:w="567" w:type="dxa"/>
                  <w:vMerge w:val="continue"/>
                  <w:vAlign w:val="center"/>
                </w:tcPr>
                <w:p>
                  <w:pPr>
                    <w:pStyle w:val="36"/>
                    <w:rPr>
                      <w:color w:val="000000"/>
                    </w:rPr>
                  </w:pPr>
                </w:p>
              </w:tc>
              <w:tc>
                <w:tcPr>
                  <w:tcW w:w="1559" w:type="dxa"/>
                  <w:vAlign w:val="center"/>
                </w:tcPr>
                <w:p>
                  <w:pPr>
                    <w:pStyle w:val="47"/>
                    <w:rPr>
                      <w:color w:val="000000"/>
                    </w:rPr>
                  </w:pPr>
                  <w:r>
                    <w:rPr>
                      <w:rFonts w:hint="eastAsia"/>
                      <w:color w:val="000000"/>
                    </w:rPr>
                    <w:t>约</w:t>
                  </w:r>
                  <w:r>
                    <w:rPr>
                      <w:color w:val="000000"/>
                    </w:rPr>
                    <w:t>800</w:t>
                  </w:r>
                  <w:r>
                    <w:rPr>
                      <w:rFonts w:hint="eastAsia"/>
                      <w:color w:val="000000"/>
                    </w:rPr>
                    <w:t>人</w:t>
                  </w:r>
                </w:p>
              </w:tc>
              <w:tc>
                <w:tcPr>
                  <w:tcW w:w="709" w:type="dxa"/>
                  <w:vAlign w:val="center"/>
                </w:tcPr>
                <w:p>
                  <w:pPr>
                    <w:pStyle w:val="47"/>
                    <w:rPr>
                      <w:color w:val="000000"/>
                    </w:rPr>
                  </w:pPr>
                  <w:r>
                    <w:rPr>
                      <w:rFonts w:hint="eastAsia"/>
                      <w:color w:val="000000"/>
                    </w:rPr>
                    <w:t>SW</w:t>
                  </w:r>
                </w:p>
              </w:tc>
              <w:tc>
                <w:tcPr>
                  <w:tcW w:w="709" w:type="dxa"/>
                  <w:vAlign w:val="center"/>
                </w:tcPr>
                <w:p>
                  <w:pPr>
                    <w:pStyle w:val="47"/>
                    <w:rPr>
                      <w:color w:val="000000"/>
                    </w:rPr>
                  </w:pPr>
                  <w:r>
                    <w:rPr>
                      <w:color w:val="000000"/>
                    </w:rPr>
                    <w:t>558</w:t>
                  </w:r>
                </w:p>
              </w:tc>
              <w:tc>
                <w:tcPr>
                  <w:tcW w:w="567" w:type="dxa"/>
                  <w:vAlign w:val="center"/>
                </w:tcPr>
                <w:p>
                  <w:pPr>
                    <w:jc w:val="center"/>
                  </w:pPr>
                  <w:r>
                    <w:t>2</w:t>
                  </w:r>
                </w:p>
              </w:tc>
              <w:tc>
                <w:tcPr>
                  <w:tcW w:w="962" w:type="dxa"/>
                  <w:vAlign w:val="center"/>
                </w:tcPr>
                <w:p>
                  <w:pPr>
                    <w:pStyle w:val="36"/>
                    <w:rPr>
                      <w:color w:val="000000"/>
                    </w:rPr>
                  </w:pPr>
                  <w:r>
                    <w:rPr>
                      <w:rFonts w:hint="eastAsia"/>
                      <w:color w:val="000000"/>
                    </w:rPr>
                    <w:t>园区企业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58" w:type="dxa"/>
                  <w:vMerge w:val="continue"/>
                  <w:vAlign w:val="center"/>
                </w:tcPr>
                <w:p>
                  <w:pPr>
                    <w:pStyle w:val="36"/>
                    <w:rPr>
                      <w:color w:val="000000"/>
                    </w:rPr>
                  </w:pPr>
                </w:p>
              </w:tc>
              <w:tc>
                <w:tcPr>
                  <w:tcW w:w="1134" w:type="dxa"/>
                  <w:vAlign w:val="center"/>
                </w:tcPr>
                <w:p>
                  <w:pPr>
                    <w:widowControl/>
                    <w:jc w:val="center"/>
                    <w:textAlignment w:val="center"/>
                    <w:rPr>
                      <w:color w:val="000000"/>
                      <w:szCs w:val="21"/>
                    </w:rPr>
                  </w:pPr>
                  <w:r>
                    <w:rPr>
                      <w:rFonts w:hint="eastAsia"/>
                      <w:color w:val="000000"/>
                      <w:szCs w:val="21"/>
                    </w:rPr>
                    <w:t>散居住户</w:t>
                  </w:r>
                </w:p>
              </w:tc>
              <w:tc>
                <w:tcPr>
                  <w:tcW w:w="638" w:type="dxa"/>
                  <w:vAlign w:val="center"/>
                </w:tcPr>
                <w:p>
                  <w:pPr>
                    <w:pStyle w:val="36"/>
                    <w:rPr>
                      <w:color w:val="000000"/>
                    </w:rPr>
                  </w:pPr>
                  <w:r>
                    <w:rPr>
                      <w:rFonts w:hint="eastAsia"/>
                      <w:color w:val="000000"/>
                    </w:rPr>
                    <w:t>-</w:t>
                  </w:r>
                  <w:r>
                    <w:rPr>
                      <w:color w:val="000000"/>
                    </w:rPr>
                    <w:t>208</w:t>
                  </w:r>
                </w:p>
              </w:tc>
              <w:tc>
                <w:tcPr>
                  <w:tcW w:w="638" w:type="dxa"/>
                  <w:vAlign w:val="center"/>
                </w:tcPr>
                <w:p>
                  <w:pPr>
                    <w:pStyle w:val="36"/>
                    <w:rPr>
                      <w:color w:val="000000"/>
                    </w:rPr>
                  </w:pPr>
                  <w:r>
                    <w:rPr>
                      <w:rFonts w:hint="eastAsia"/>
                      <w:color w:val="000000"/>
                    </w:rPr>
                    <w:t>-</w:t>
                  </w:r>
                  <w:r>
                    <w:rPr>
                      <w:color w:val="000000"/>
                    </w:rPr>
                    <w:t>79</w:t>
                  </w:r>
                </w:p>
              </w:tc>
              <w:tc>
                <w:tcPr>
                  <w:tcW w:w="567" w:type="dxa"/>
                  <w:vMerge w:val="continue"/>
                  <w:vAlign w:val="center"/>
                </w:tcPr>
                <w:p>
                  <w:pPr>
                    <w:pStyle w:val="36"/>
                    <w:rPr>
                      <w:color w:val="000000"/>
                    </w:rPr>
                  </w:pPr>
                </w:p>
              </w:tc>
              <w:tc>
                <w:tcPr>
                  <w:tcW w:w="1559" w:type="dxa"/>
                  <w:vAlign w:val="center"/>
                </w:tcPr>
                <w:p>
                  <w:pPr>
                    <w:pStyle w:val="47"/>
                    <w:rPr>
                      <w:color w:val="000000"/>
                    </w:rPr>
                  </w:pPr>
                  <w:r>
                    <w:rPr>
                      <w:rFonts w:hint="eastAsia"/>
                      <w:color w:val="000000"/>
                    </w:rPr>
                    <w:t>约1</w:t>
                  </w:r>
                  <w:r>
                    <w:rPr>
                      <w:color w:val="000000"/>
                    </w:rPr>
                    <w:t>8</w:t>
                  </w:r>
                  <w:r>
                    <w:rPr>
                      <w:rFonts w:hint="eastAsia"/>
                      <w:color w:val="000000"/>
                    </w:rPr>
                    <w:t>户（</w:t>
                  </w:r>
                  <w:r>
                    <w:rPr>
                      <w:color w:val="000000"/>
                    </w:rPr>
                    <w:t>54</w:t>
                  </w:r>
                  <w:r>
                    <w:rPr>
                      <w:rFonts w:hint="eastAsia"/>
                      <w:color w:val="000000"/>
                    </w:rPr>
                    <w:t>人）</w:t>
                  </w:r>
                </w:p>
              </w:tc>
              <w:tc>
                <w:tcPr>
                  <w:tcW w:w="709" w:type="dxa"/>
                  <w:vAlign w:val="center"/>
                </w:tcPr>
                <w:p>
                  <w:pPr>
                    <w:pStyle w:val="47"/>
                    <w:rPr>
                      <w:color w:val="000000"/>
                    </w:rPr>
                  </w:pPr>
                  <w:r>
                    <w:rPr>
                      <w:rFonts w:hint="eastAsia"/>
                      <w:color w:val="000000"/>
                    </w:rPr>
                    <w:t>SW</w:t>
                  </w:r>
                </w:p>
              </w:tc>
              <w:tc>
                <w:tcPr>
                  <w:tcW w:w="709" w:type="dxa"/>
                  <w:vAlign w:val="center"/>
                </w:tcPr>
                <w:p>
                  <w:pPr>
                    <w:pStyle w:val="47"/>
                    <w:rPr>
                      <w:color w:val="000000"/>
                    </w:rPr>
                  </w:pPr>
                  <w:r>
                    <w:rPr>
                      <w:rFonts w:hint="eastAsia"/>
                      <w:color w:val="000000"/>
                    </w:rPr>
                    <w:t>2</w:t>
                  </w:r>
                  <w:r>
                    <w:rPr>
                      <w:color w:val="000000"/>
                    </w:rPr>
                    <w:t>24</w:t>
                  </w:r>
                </w:p>
              </w:tc>
              <w:tc>
                <w:tcPr>
                  <w:tcW w:w="567" w:type="dxa"/>
                  <w:vAlign w:val="center"/>
                </w:tcPr>
                <w:p>
                  <w:pPr>
                    <w:jc w:val="center"/>
                  </w:pPr>
                  <w:r>
                    <w:t>14</w:t>
                  </w:r>
                </w:p>
              </w:tc>
              <w:tc>
                <w:tcPr>
                  <w:tcW w:w="962" w:type="dxa"/>
                  <w:vAlign w:val="center"/>
                </w:tcPr>
                <w:p>
                  <w:pPr>
                    <w:pStyle w:val="36"/>
                    <w:rPr>
                      <w:color w:val="000000"/>
                    </w:rPr>
                  </w:pPr>
                  <w:r>
                    <w:rPr>
                      <w:rFonts w:hint="eastAsia"/>
                      <w:color w:val="000000"/>
                    </w:rPr>
                    <w:t>无</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58" w:type="dxa"/>
                  <w:vMerge w:val="continue"/>
                  <w:vAlign w:val="center"/>
                </w:tcPr>
                <w:p>
                  <w:pPr>
                    <w:pStyle w:val="36"/>
                    <w:rPr>
                      <w:color w:val="000000"/>
                    </w:rPr>
                  </w:pPr>
                </w:p>
              </w:tc>
              <w:tc>
                <w:tcPr>
                  <w:tcW w:w="1134" w:type="dxa"/>
                  <w:vAlign w:val="center"/>
                </w:tcPr>
                <w:p>
                  <w:pPr>
                    <w:widowControl/>
                    <w:jc w:val="center"/>
                    <w:textAlignment w:val="center"/>
                    <w:rPr>
                      <w:color w:val="000000"/>
                      <w:szCs w:val="21"/>
                    </w:rPr>
                  </w:pPr>
                  <w:r>
                    <w:rPr>
                      <w:rFonts w:hint="eastAsia"/>
                      <w:color w:val="000000"/>
                      <w:szCs w:val="21"/>
                    </w:rPr>
                    <w:t>散居住户</w:t>
                  </w:r>
                </w:p>
              </w:tc>
              <w:tc>
                <w:tcPr>
                  <w:tcW w:w="638" w:type="dxa"/>
                  <w:vAlign w:val="center"/>
                </w:tcPr>
                <w:p>
                  <w:pPr>
                    <w:pStyle w:val="36"/>
                    <w:rPr>
                      <w:color w:val="000000"/>
                    </w:rPr>
                  </w:pPr>
                  <w:r>
                    <w:rPr>
                      <w:rFonts w:hint="eastAsia"/>
                      <w:color w:val="000000"/>
                    </w:rPr>
                    <w:t>-</w:t>
                  </w:r>
                  <w:r>
                    <w:rPr>
                      <w:color w:val="000000"/>
                    </w:rPr>
                    <w:t>110</w:t>
                  </w:r>
                </w:p>
              </w:tc>
              <w:tc>
                <w:tcPr>
                  <w:tcW w:w="638" w:type="dxa"/>
                  <w:vAlign w:val="center"/>
                </w:tcPr>
                <w:p>
                  <w:pPr>
                    <w:pStyle w:val="36"/>
                    <w:rPr>
                      <w:color w:val="000000"/>
                    </w:rPr>
                  </w:pPr>
                  <w:r>
                    <w:rPr>
                      <w:rFonts w:hint="eastAsia"/>
                      <w:color w:val="000000"/>
                    </w:rPr>
                    <w:t>+</w:t>
                  </w:r>
                  <w:r>
                    <w:rPr>
                      <w:color w:val="000000"/>
                    </w:rPr>
                    <w:t>112</w:t>
                  </w:r>
                </w:p>
              </w:tc>
              <w:tc>
                <w:tcPr>
                  <w:tcW w:w="567" w:type="dxa"/>
                  <w:vMerge w:val="continue"/>
                  <w:vAlign w:val="center"/>
                </w:tcPr>
                <w:p>
                  <w:pPr>
                    <w:pStyle w:val="36"/>
                    <w:rPr>
                      <w:color w:val="000000"/>
                    </w:rPr>
                  </w:pPr>
                </w:p>
              </w:tc>
              <w:tc>
                <w:tcPr>
                  <w:tcW w:w="1559" w:type="dxa"/>
                  <w:vAlign w:val="center"/>
                </w:tcPr>
                <w:p>
                  <w:pPr>
                    <w:pStyle w:val="47"/>
                    <w:rPr>
                      <w:color w:val="000000"/>
                    </w:rPr>
                  </w:pPr>
                  <w:r>
                    <w:rPr>
                      <w:rFonts w:hint="eastAsia"/>
                      <w:color w:val="000000"/>
                    </w:rPr>
                    <w:t>2户（约6人）</w:t>
                  </w:r>
                </w:p>
              </w:tc>
              <w:tc>
                <w:tcPr>
                  <w:tcW w:w="709" w:type="dxa"/>
                  <w:vAlign w:val="center"/>
                </w:tcPr>
                <w:p>
                  <w:pPr>
                    <w:pStyle w:val="47"/>
                    <w:rPr>
                      <w:color w:val="000000"/>
                    </w:rPr>
                  </w:pPr>
                  <w:r>
                    <w:rPr>
                      <w:rFonts w:hint="eastAsia"/>
                      <w:color w:val="000000"/>
                    </w:rPr>
                    <w:t>NW</w:t>
                  </w:r>
                </w:p>
              </w:tc>
              <w:tc>
                <w:tcPr>
                  <w:tcW w:w="709" w:type="dxa"/>
                  <w:vAlign w:val="center"/>
                </w:tcPr>
                <w:p>
                  <w:pPr>
                    <w:pStyle w:val="47"/>
                    <w:rPr>
                      <w:color w:val="000000"/>
                    </w:rPr>
                  </w:pPr>
                  <w:r>
                    <w:rPr>
                      <w:rFonts w:hint="eastAsia"/>
                      <w:color w:val="000000"/>
                    </w:rPr>
                    <w:t>1</w:t>
                  </w:r>
                  <w:r>
                    <w:rPr>
                      <w:color w:val="000000"/>
                    </w:rPr>
                    <w:t>60</w:t>
                  </w:r>
                </w:p>
              </w:tc>
              <w:tc>
                <w:tcPr>
                  <w:tcW w:w="567" w:type="dxa"/>
                  <w:vAlign w:val="center"/>
                </w:tcPr>
                <w:p>
                  <w:pPr>
                    <w:jc w:val="center"/>
                  </w:pPr>
                  <w:r>
                    <w:t>40</w:t>
                  </w:r>
                </w:p>
              </w:tc>
              <w:tc>
                <w:tcPr>
                  <w:tcW w:w="962" w:type="dxa"/>
                  <w:vAlign w:val="center"/>
                </w:tcPr>
                <w:p>
                  <w:pPr>
                    <w:pStyle w:val="36"/>
                    <w:rPr>
                      <w:color w:val="000000"/>
                    </w:rPr>
                  </w:pPr>
                  <w:r>
                    <w:rPr>
                      <w:rFonts w:hint="eastAsia"/>
                      <w:color w:val="000000"/>
                    </w:rPr>
                    <w:t>无</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58" w:type="dxa"/>
                  <w:vMerge w:val="continue"/>
                  <w:vAlign w:val="center"/>
                </w:tcPr>
                <w:p>
                  <w:pPr>
                    <w:pStyle w:val="36"/>
                    <w:rPr>
                      <w:color w:val="000000"/>
                    </w:rPr>
                  </w:pPr>
                </w:p>
              </w:tc>
              <w:tc>
                <w:tcPr>
                  <w:tcW w:w="1134" w:type="dxa"/>
                  <w:vAlign w:val="center"/>
                </w:tcPr>
                <w:p>
                  <w:pPr>
                    <w:widowControl/>
                    <w:jc w:val="center"/>
                    <w:textAlignment w:val="center"/>
                    <w:rPr>
                      <w:color w:val="000000"/>
                      <w:szCs w:val="21"/>
                    </w:rPr>
                  </w:pPr>
                  <w:r>
                    <w:rPr>
                      <w:rFonts w:hint="eastAsia"/>
                      <w:color w:val="000000"/>
                      <w:szCs w:val="21"/>
                    </w:rPr>
                    <w:t>散居住户</w:t>
                  </w:r>
                </w:p>
              </w:tc>
              <w:tc>
                <w:tcPr>
                  <w:tcW w:w="638" w:type="dxa"/>
                  <w:vAlign w:val="center"/>
                </w:tcPr>
                <w:p>
                  <w:pPr>
                    <w:pStyle w:val="36"/>
                    <w:rPr>
                      <w:color w:val="000000"/>
                    </w:rPr>
                  </w:pPr>
                  <w:r>
                    <w:rPr>
                      <w:rFonts w:hint="eastAsia"/>
                      <w:color w:val="000000"/>
                    </w:rPr>
                    <w:t>-</w:t>
                  </w:r>
                  <w:r>
                    <w:rPr>
                      <w:color w:val="000000"/>
                    </w:rPr>
                    <w:t>380</w:t>
                  </w:r>
                </w:p>
              </w:tc>
              <w:tc>
                <w:tcPr>
                  <w:tcW w:w="638" w:type="dxa"/>
                  <w:vAlign w:val="center"/>
                </w:tcPr>
                <w:p>
                  <w:pPr>
                    <w:pStyle w:val="36"/>
                    <w:rPr>
                      <w:color w:val="000000"/>
                    </w:rPr>
                  </w:pPr>
                  <w:r>
                    <w:rPr>
                      <w:rFonts w:hint="eastAsia"/>
                      <w:color w:val="000000"/>
                    </w:rPr>
                    <w:t>+</w:t>
                  </w:r>
                  <w:r>
                    <w:rPr>
                      <w:color w:val="000000"/>
                    </w:rPr>
                    <w:t>229</w:t>
                  </w:r>
                </w:p>
              </w:tc>
              <w:tc>
                <w:tcPr>
                  <w:tcW w:w="567" w:type="dxa"/>
                  <w:vMerge w:val="continue"/>
                  <w:vAlign w:val="center"/>
                </w:tcPr>
                <w:p>
                  <w:pPr>
                    <w:pStyle w:val="36"/>
                    <w:rPr>
                      <w:color w:val="000000"/>
                    </w:rPr>
                  </w:pPr>
                </w:p>
              </w:tc>
              <w:tc>
                <w:tcPr>
                  <w:tcW w:w="1559" w:type="dxa"/>
                  <w:vAlign w:val="center"/>
                </w:tcPr>
                <w:p>
                  <w:pPr>
                    <w:pStyle w:val="47"/>
                    <w:rPr>
                      <w:color w:val="000000"/>
                    </w:rPr>
                  </w:pPr>
                  <w:r>
                    <w:rPr>
                      <w:rFonts w:hint="eastAsia"/>
                      <w:color w:val="000000"/>
                    </w:rPr>
                    <w:t>1户（约3人）</w:t>
                  </w:r>
                </w:p>
              </w:tc>
              <w:tc>
                <w:tcPr>
                  <w:tcW w:w="709" w:type="dxa"/>
                  <w:vAlign w:val="center"/>
                </w:tcPr>
                <w:p>
                  <w:pPr>
                    <w:pStyle w:val="47"/>
                    <w:rPr>
                      <w:color w:val="000000"/>
                    </w:rPr>
                  </w:pPr>
                  <w:r>
                    <w:rPr>
                      <w:rFonts w:hint="eastAsia"/>
                      <w:color w:val="000000"/>
                    </w:rPr>
                    <w:t>NW</w:t>
                  </w:r>
                </w:p>
              </w:tc>
              <w:tc>
                <w:tcPr>
                  <w:tcW w:w="709" w:type="dxa"/>
                  <w:vAlign w:val="center"/>
                </w:tcPr>
                <w:p>
                  <w:pPr>
                    <w:pStyle w:val="47"/>
                    <w:rPr>
                      <w:color w:val="000000"/>
                    </w:rPr>
                  </w:pPr>
                  <w:r>
                    <w:rPr>
                      <w:rFonts w:hint="eastAsia"/>
                      <w:color w:val="000000"/>
                    </w:rPr>
                    <w:t>4</w:t>
                  </w:r>
                  <w:r>
                    <w:rPr>
                      <w:color w:val="000000"/>
                    </w:rPr>
                    <w:t>40</w:t>
                  </w:r>
                </w:p>
              </w:tc>
              <w:tc>
                <w:tcPr>
                  <w:tcW w:w="567" w:type="dxa"/>
                  <w:vAlign w:val="center"/>
                </w:tcPr>
                <w:p>
                  <w:pPr>
                    <w:jc w:val="center"/>
                  </w:pPr>
                  <w:r>
                    <w:t>43</w:t>
                  </w:r>
                </w:p>
              </w:tc>
              <w:tc>
                <w:tcPr>
                  <w:tcW w:w="962" w:type="dxa"/>
                  <w:vAlign w:val="center"/>
                </w:tcPr>
                <w:p>
                  <w:pPr>
                    <w:pStyle w:val="36"/>
                    <w:rPr>
                      <w:color w:val="000000"/>
                    </w:rPr>
                  </w:pPr>
                  <w:r>
                    <w:rPr>
                      <w:rFonts w:hint="eastAsia"/>
                      <w:color w:val="000000"/>
                    </w:rPr>
                    <w:t>无</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58" w:type="dxa"/>
                  <w:vMerge w:val="continue"/>
                  <w:vAlign w:val="center"/>
                </w:tcPr>
                <w:p>
                  <w:pPr>
                    <w:pStyle w:val="36"/>
                    <w:rPr>
                      <w:color w:val="000000"/>
                    </w:rPr>
                  </w:pPr>
                </w:p>
              </w:tc>
              <w:tc>
                <w:tcPr>
                  <w:tcW w:w="1134" w:type="dxa"/>
                  <w:vAlign w:val="center"/>
                </w:tcPr>
                <w:p>
                  <w:pPr>
                    <w:widowControl/>
                    <w:jc w:val="center"/>
                    <w:textAlignment w:val="center"/>
                    <w:rPr>
                      <w:color w:val="000000"/>
                      <w:szCs w:val="21"/>
                    </w:rPr>
                  </w:pPr>
                  <w:r>
                    <w:rPr>
                      <w:rFonts w:hint="eastAsia"/>
                      <w:color w:val="000000"/>
                      <w:szCs w:val="21"/>
                    </w:rPr>
                    <w:t>散居住户</w:t>
                  </w:r>
                </w:p>
              </w:tc>
              <w:tc>
                <w:tcPr>
                  <w:tcW w:w="638" w:type="dxa"/>
                  <w:vAlign w:val="center"/>
                </w:tcPr>
                <w:p>
                  <w:pPr>
                    <w:pStyle w:val="36"/>
                    <w:rPr>
                      <w:color w:val="000000"/>
                    </w:rPr>
                  </w:pPr>
                  <w:r>
                    <w:rPr>
                      <w:rFonts w:hint="eastAsia"/>
                      <w:color w:val="000000"/>
                    </w:rPr>
                    <w:t>-</w:t>
                  </w:r>
                  <w:r>
                    <w:rPr>
                      <w:color w:val="000000"/>
                    </w:rPr>
                    <w:t>415</w:t>
                  </w:r>
                </w:p>
              </w:tc>
              <w:tc>
                <w:tcPr>
                  <w:tcW w:w="638" w:type="dxa"/>
                  <w:vAlign w:val="center"/>
                </w:tcPr>
                <w:p>
                  <w:pPr>
                    <w:pStyle w:val="36"/>
                    <w:rPr>
                      <w:color w:val="000000"/>
                    </w:rPr>
                  </w:pPr>
                  <w:r>
                    <w:rPr>
                      <w:rFonts w:hint="eastAsia"/>
                      <w:color w:val="000000"/>
                    </w:rPr>
                    <w:t>+</w:t>
                  </w:r>
                  <w:r>
                    <w:rPr>
                      <w:color w:val="000000"/>
                    </w:rPr>
                    <w:t>319</w:t>
                  </w:r>
                </w:p>
              </w:tc>
              <w:tc>
                <w:tcPr>
                  <w:tcW w:w="567" w:type="dxa"/>
                  <w:vMerge w:val="continue"/>
                  <w:vAlign w:val="center"/>
                </w:tcPr>
                <w:p>
                  <w:pPr>
                    <w:pStyle w:val="36"/>
                    <w:rPr>
                      <w:color w:val="000000"/>
                    </w:rPr>
                  </w:pPr>
                </w:p>
              </w:tc>
              <w:tc>
                <w:tcPr>
                  <w:tcW w:w="1559" w:type="dxa"/>
                  <w:vAlign w:val="center"/>
                </w:tcPr>
                <w:p>
                  <w:pPr>
                    <w:pStyle w:val="47"/>
                    <w:rPr>
                      <w:color w:val="000000"/>
                    </w:rPr>
                  </w:pPr>
                  <w:r>
                    <w:rPr>
                      <w:rFonts w:hint="eastAsia"/>
                      <w:color w:val="000000"/>
                    </w:rPr>
                    <w:t>1户（约3人）</w:t>
                  </w:r>
                </w:p>
              </w:tc>
              <w:tc>
                <w:tcPr>
                  <w:tcW w:w="709" w:type="dxa"/>
                  <w:vAlign w:val="center"/>
                </w:tcPr>
                <w:p>
                  <w:pPr>
                    <w:pStyle w:val="47"/>
                    <w:rPr>
                      <w:color w:val="000000"/>
                    </w:rPr>
                  </w:pPr>
                  <w:r>
                    <w:rPr>
                      <w:rFonts w:hint="eastAsia"/>
                      <w:color w:val="000000"/>
                    </w:rPr>
                    <w:t>NW</w:t>
                  </w:r>
                </w:p>
              </w:tc>
              <w:tc>
                <w:tcPr>
                  <w:tcW w:w="709" w:type="dxa"/>
                  <w:vAlign w:val="center"/>
                </w:tcPr>
                <w:p>
                  <w:pPr>
                    <w:pStyle w:val="47"/>
                    <w:rPr>
                      <w:color w:val="000000"/>
                    </w:rPr>
                  </w:pPr>
                  <w:r>
                    <w:rPr>
                      <w:rFonts w:hint="eastAsia"/>
                      <w:color w:val="000000"/>
                    </w:rPr>
                    <w:t>5</w:t>
                  </w:r>
                  <w:r>
                    <w:rPr>
                      <w:color w:val="000000"/>
                    </w:rPr>
                    <w:t>20</w:t>
                  </w:r>
                </w:p>
              </w:tc>
              <w:tc>
                <w:tcPr>
                  <w:tcW w:w="567" w:type="dxa"/>
                  <w:vAlign w:val="center"/>
                </w:tcPr>
                <w:p>
                  <w:pPr>
                    <w:jc w:val="center"/>
                  </w:pPr>
                  <w:r>
                    <w:t>-6</w:t>
                  </w:r>
                </w:p>
              </w:tc>
              <w:tc>
                <w:tcPr>
                  <w:tcW w:w="962" w:type="dxa"/>
                  <w:vAlign w:val="center"/>
                </w:tcPr>
                <w:p>
                  <w:pPr>
                    <w:pStyle w:val="36"/>
                    <w:rPr>
                      <w:color w:val="000000"/>
                    </w:rPr>
                  </w:pPr>
                  <w:r>
                    <w:rPr>
                      <w:rFonts w:hint="eastAsia"/>
                      <w:color w:val="000000"/>
                    </w:rPr>
                    <w:t>无</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58" w:type="dxa"/>
                  <w:vAlign w:val="center"/>
                </w:tcPr>
                <w:p>
                  <w:pPr>
                    <w:pStyle w:val="36"/>
                    <w:rPr>
                      <w:color w:val="000000"/>
                    </w:rPr>
                  </w:pPr>
                  <w:r>
                    <w:rPr>
                      <w:rFonts w:hint="eastAsia"/>
                      <w:color w:val="000000"/>
                    </w:rPr>
                    <w:t>地表水环境</w:t>
                  </w:r>
                </w:p>
              </w:tc>
              <w:tc>
                <w:tcPr>
                  <w:tcW w:w="1134" w:type="dxa"/>
                  <w:vAlign w:val="center"/>
                </w:tcPr>
                <w:p>
                  <w:pPr>
                    <w:pStyle w:val="47"/>
                    <w:rPr>
                      <w:color w:val="000000"/>
                    </w:rPr>
                  </w:pPr>
                  <w:r>
                    <w:rPr>
                      <w:rFonts w:hint="eastAsia"/>
                      <w:color w:val="000000"/>
                    </w:rPr>
                    <w:t>大渡河</w:t>
                  </w:r>
                </w:p>
              </w:tc>
              <w:tc>
                <w:tcPr>
                  <w:tcW w:w="638" w:type="dxa"/>
                  <w:vAlign w:val="center"/>
                </w:tcPr>
                <w:p>
                  <w:pPr>
                    <w:pStyle w:val="47"/>
                    <w:rPr>
                      <w:color w:val="000000"/>
                    </w:rPr>
                  </w:pPr>
                  <w:r>
                    <w:rPr>
                      <w:color w:val="000000"/>
                    </w:rPr>
                    <w:t>/</w:t>
                  </w:r>
                </w:p>
              </w:tc>
              <w:tc>
                <w:tcPr>
                  <w:tcW w:w="638" w:type="dxa"/>
                  <w:vAlign w:val="center"/>
                </w:tcPr>
                <w:p>
                  <w:pPr>
                    <w:pStyle w:val="47"/>
                    <w:rPr>
                      <w:color w:val="000000"/>
                    </w:rPr>
                  </w:pPr>
                  <w:r>
                    <w:rPr>
                      <w:rFonts w:hint="eastAsia"/>
                      <w:color w:val="000000"/>
                    </w:rPr>
                    <w:t>/</w:t>
                  </w:r>
                </w:p>
              </w:tc>
              <w:tc>
                <w:tcPr>
                  <w:tcW w:w="2126" w:type="dxa"/>
                  <w:gridSpan w:val="2"/>
                  <w:vAlign w:val="center"/>
                </w:tcPr>
                <w:p>
                  <w:pPr>
                    <w:pStyle w:val="47"/>
                    <w:rPr>
                      <w:color w:val="000000"/>
                    </w:rPr>
                  </w:pPr>
                  <w:r>
                    <w:rPr>
                      <w:rFonts w:hint="eastAsia"/>
                      <w:color w:val="000000"/>
                    </w:rPr>
                    <w:t>河流</w:t>
                  </w:r>
                </w:p>
              </w:tc>
              <w:tc>
                <w:tcPr>
                  <w:tcW w:w="709" w:type="dxa"/>
                  <w:vAlign w:val="center"/>
                </w:tcPr>
                <w:p>
                  <w:pPr>
                    <w:pStyle w:val="47"/>
                    <w:rPr>
                      <w:color w:val="000000"/>
                    </w:rPr>
                  </w:pPr>
                  <w:r>
                    <w:rPr>
                      <w:rFonts w:hint="eastAsia"/>
                      <w:color w:val="000000"/>
                    </w:rPr>
                    <w:t>S</w:t>
                  </w:r>
                </w:p>
              </w:tc>
              <w:tc>
                <w:tcPr>
                  <w:tcW w:w="709" w:type="dxa"/>
                  <w:vAlign w:val="center"/>
                </w:tcPr>
                <w:p>
                  <w:pPr>
                    <w:pStyle w:val="47"/>
                    <w:rPr>
                      <w:color w:val="000000"/>
                    </w:rPr>
                  </w:pPr>
                  <w:r>
                    <w:rPr>
                      <w:color w:val="000000"/>
                    </w:rPr>
                    <w:t>800</w:t>
                  </w:r>
                </w:p>
              </w:tc>
              <w:tc>
                <w:tcPr>
                  <w:tcW w:w="567" w:type="dxa"/>
                  <w:vAlign w:val="center"/>
                </w:tcPr>
                <w:p>
                  <w:pPr>
                    <w:pStyle w:val="47"/>
                    <w:rPr>
                      <w:color w:val="000000"/>
                    </w:rPr>
                  </w:pPr>
                  <w:r>
                    <w:rPr>
                      <w:rFonts w:hint="eastAsia"/>
                      <w:color w:val="000000"/>
                    </w:rPr>
                    <w:t>-23</w:t>
                  </w:r>
                </w:p>
              </w:tc>
              <w:tc>
                <w:tcPr>
                  <w:tcW w:w="962" w:type="dxa"/>
                  <w:vAlign w:val="center"/>
                </w:tcPr>
                <w:p>
                  <w:pPr>
                    <w:jc w:val="center"/>
                  </w:pPr>
                  <w:r>
                    <w:rPr>
                      <w:rFonts w:hint="eastAsia"/>
                    </w:rPr>
                    <w:t>园区企业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58" w:type="dxa"/>
                  <w:vAlign w:val="center"/>
                </w:tcPr>
                <w:p>
                  <w:pPr>
                    <w:pStyle w:val="36"/>
                    <w:rPr>
                      <w:color w:val="000000"/>
                    </w:rPr>
                  </w:pPr>
                  <w:r>
                    <w:rPr>
                      <w:rFonts w:hint="eastAsia"/>
                      <w:color w:val="000000"/>
                    </w:rPr>
                    <w:t>地下水</w:t>
                  </w:r>
                </w:p>
              </w:tc>
              <w:tc>
                <w:tcPr>
                  <w:tcW w:w="1134" w:type="dxa"/>
                  <w:vAlign w:val="center"/>
                </w:tcPr>
                <w:p>
                  <w:pPr>
                    <w:pStyle w:val="36"/>
                    <w:rPr>
                      <w:color w:val="000000"/>
                    </w:rPr>
                  </w:pPr>
                  <w:r>
                    <w:rPr>
                      <w:rFonts w:hint="eastAsia"/>
                      <w:color w:val="000000"/>
                    </w:rPr>
                    <w:t>/</w:t>
                  </w:r>
                </w:p>
              </w:tc>
              <w:tc>
                <w:tcPr>
                  <w:tcW w:w="638" w:type="dxa"/>
                  <w:vAlign w:val="center"/>
                </w:tcPr>
                <w:p>
                  <w:pPr>
                    <w:pStyle w:val="36"/>
                    <w:rPr>
                      <w:color w:val="000000"/>
                    </w:rPr>
                  </w:pPr>
                  <w:r>
                    <w:rPr>
                      <w:rFonts w:hint="eastAsia"/>
                      <w:color w:val="000000"/>
                    </w:rPr>
                    <w:t>/</w:t>
                  </w:r>
                </w:p>
              </w:tc>
              <w:tc>
                <w:tcPr>
                  <w:tcW w:w="638" w:type="dxa"/>
                  <w:vAlign w:val="center"/>
                </w:tcPr>
                <w:p>
                  <w:pPr>
                    <w:pStyle w:val="36"/>
                    <w:rPr>
                      <w:color w:val="000000"/>
                    </w:rPr>
                  </w:pPr>
                  <w:r>
                    <w:rPr>
                      <w:rFonts w:hint="eastAsia"/>
                      <w:color w:val="000000"/>
                    </w:rPr>
                    <w:t>/</w:t>
                  </w:r>
                </w:p>
              </w:tc>
              <w:tc>
                <w:tcPr>
                  <w:tcW w:w="567" w:type="dxa"/>
                  <w:vAlign w:val="center"/>
                </w:tcPr>
                <w:p>
                  <w:pPr>
                    <w:pStyle w:val="36"/>
                    <w:rPr>
                      <w:color w:val="000000"/>
                    </w:rPr>
                  </w:pPr>
                  <w:r>
                    <w:rPr>
                      <w:rFonts w:hint="eastAsia"/>
                      <w:color w:val="000000"/>
                    </w:rPr>
                    <w:t>/</w:t>
                  </w:r>
                </w:p>
              </w:tc>
              <w:tc>
                <w:tcPr>
                  <w:tcW w:w="1559" w:type="dxa"/>
                  <w:vAlign w:val="center"/>
                </w:tcPr>
                <w:p>
                  <w:pPr>
                    <w:pStyle w:val="36"/>
                    <w:rPr>
                      <w:color w:val="000000"/>
                    </w:rPr>
                  </w:pPr>
                  <w:r>
                    <w:rPr>
                      <w:rFonts w:hint="eastAsia"/>
                      <w:color w:val="000000"/>
                    </w:rPr>
                    <w:t>/</w:t>
                  </w:r>
                </w:p>
              </w:tc>
              <w:tc>
                <w:tcPr>
                  <w:tcW w:w="709" w:type="dxa"/>
                  <w:vAlign w:val="center"/>
                </w:tcPr>
                <w:p>
                  <w:pPr>
                    <w:pStyle w:val="47"/>
                    <w:rPr>
                      <w:color w:val="000000"/>
                    </w:rPr>
                  </w:pPr>
                  <w:r>
                    <w:rPr>
                      <w:rFonts w:hint="eastAsia"/>
                      <w:color w:val="000000"/>
                    </w:rPr>
                    <w:t>/</w:t>
                  </w:r>
                </w:p>
              </w:tc>
              <w:tc>
                <w:tcPr>
                  <w:tcW w:w="709" w:type="dxa"/>
                  <w:vAlign w:val="center"/>
                </w:tcPr>
                <w:p>
                  <w:pPr>
                    <w:pStyle w:val="47"/>
                    <w:rPr>
                      <w:color w:val="000000"/>
                    </w:rPr>
                  </w:pPr>
                  <w:r>
                    <w:rPr>
                      <w:rFonts w:hint="eastAsia"/>
                      <w:color w:val="000000"/>
                    </w:rPr>
                    <w:t>/</w:t>
                  </w:r>
                </w:p>
              </w:tc>
              <w:tc>
                <w:tcPr>
                  <w:tcW w:w="567" w:type="dxa"/>
                  <w:vAlign w:val="center"/>
                </w:tcPr>
                <w:p>
                  <w:pPr>
                    <w:pStyle w:val="47"/>
                    <w:rPr>
                      <w:color w:val="000000"/>
                    </w:rPr>
                  </w:pPr>
                  <w:r>
                    <w:rPr>
                      <w:rFonts w:hint="eastAsia"/>
                      <w:color w:val="000000"/>
                    </w:rPr>
                    <w:t>/</w:t>
                  </w:r>
                </w:p>
              </w:tc>
              <w:tc>
                <w:tcPr>
                  <w:tcW w:w="962" w:type="dxa"/>
                  <w:vAlign w:val="center"/>
                </w:tcPr>
                <w:p>
                  <w:pPr>
                    <w:pStyle w:val="36"/>
                    <w:rPr>
                      <w:color w:val="000000"/>
                    </w:rPr>
                  </w:pPr>
                  <w:r>
                    <w:rPr>
                      <w:rFonts w:hint="eastAsia"/>
                      <w:color w:val="000000"/>
                    </w:rPr>
                    <w:t>/</w:t>
                  </w:r>
                </w:p>
              </w:tc>
            </w:tr>
          </w:tbl>
          <w:p>
            <w:pPr>
              <w:pStyle w:val="40"/>
              <w:spacing w:before="120" w:beforeLines="50" w:line="240" w:lineRule="auto"/>
            </w:pPr>
            <w:r>
              <w:rPr>
                <w:rFonts w:hint="eastAsia"/>
              </w:rPr>
              <w:t>表3-</w:t>
            </w:r>
            <w:r>
              <w:t>6</w:t>
            </w:r>
            <w:r>
              <w:rPr>
                <w:rFonts w:hint="eastAsia"/>
              </w:rPr>
              <w:t xml:space="preserve"> 项目声环境保护目标</w:t>
            </w:r>
          </w:p>
          <w:tbl>
            <w:tblPr>
              <w:tblStyle w:val="1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2"/>
              <w:gridCol w:w="902"/>
              <w:gridCol w:w="902"/>
              <w:gridCol w:w="902"/>
              <w:gridCol w:w="902"/>
              <w:gridCol w:w="902"/>
              <w:gridCol w:w="902"/>
              <w:gridCol w:w="902"/>
              <w:gridCol w:w="124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02" w:type="dxa"/>
                  <w:vMerge w:val="restart"/>
                  <w:vAlign w:val="center"/>
                </w:tcPr>
                <w:p>
                  <w:pPr>
                    <w:jc w:val="center"/>
                    <w:rPr>
                      <w:color w:val="000000"/>
                      <w:szCs w:val="21"/>
                    </w:rPr>
                  </w:pPr>
                  <w:r>
                    <w:rPr>
                      <w:rFonts w:hint="eastAsia"/>
                      <w:color w:val="000000"/>
                      <w:szCs w:val="21"/>
                    </w:rPr>
                    <w:t>序号</w:t>
                  </w:r>
                </w:p>
              </w:tc>
              <w:tc>
                <w:tcPr>
                  <w:tcW w:w="902" w:type="dxa"/>
                  <w:vMerge w:val="restart"/>
                  <w:vAlign w:val="center"/>
                </w:tcPr>
                <w:p>
                  <w:pPr>
                    <w:jc w:val="center"/>
                    <w:rPr>
                      <w:color w:val="000000"/>
                      <w:szCs w:val="21"/>
                    </w:rPr>
                  </w:pPr>
                  <w:r>
                    <w:rPr>
                      <w:rFonts w:hint="eastAsia"/>
                      <w:color w:val="000000"/>
                      <w:szCs w:val="21"/>
                    </w:rPr>
                    <w:t>声环境保护目标名称</w:t>
                  </w:r>
                </w:p>
              </w:tc>
              <w:tc>
                <w:tcPr>
                  <w:tcW w:w="2706" w:type="dxa"/>
                  <w:gridSpan w:val="3"/>
                  <w:vAlign w:val="center"/>
                </w:tcPr>
                <w:p>
                  <w:pPr>
                    <w:jc w:val="center"/>
                    <w:rPr>
                      <w:color w:val="000000"/>
                      <w:szCs w:val="21"/>
                    </w:rPr>
                  </w:pPr>
                  <w:r>
                    <w:rPr>
                      <w:rFonts w:hint="eastAsia"/>
                      <w:color w:val="000000"/>
                      <w:szCs w:val="21"/>
                    </w:rPr>
                    <w:t>空间相对位置</w:t>
                  </w:r>
                </w:p>
              </w:tc>
              <w:tc>
                <w:tcPr>
                  <w:tcW w:w="902" w:type="dxa"/>
                  <w:vMerge w:val="restart"/>
                  <w:vAlign w:val="center"/>
                </w:tcPr>
                <w:p>
                  <w:pPr>
                    <w:jc w:val="center"/>
                    <w:rPr>
                      <w:color w:val="000000"/>
                      <w:szCs w:val="21"/>
                    </w:rPr>
                  </w:pPr>
                  <w:r>
                    <w:rPr>
                      <w:rFonts w:hint="eastAsia"/>
                      <w:color w:val="000000"/>
                      <w:szCs w:val="21"/>
                    </w:rPr>
                    <w:t>距厂界最近距离/m</w:t>
                  </w:r>
                </w:p>
              </w:tc>
              <w:tc>
                <w:tcPr>
                  <w:tcW w:w="902" w:type="dxa"/>
                  <w:vMerge w:val="restart"/>
                  <w:vAlign w:val="center"/>
                </w:tcPr>
                <w:p>
                  <w:pPr>
                    <w:jc w:val="center"/>
                    <w:rPr>
                      <w:color w:val="000000"/>
                      <w:szCs w:val="21"/>
                    </w:rPr>
                  </w:pPr>
                  <w:r>
                    <w:rPr>
                      <w:rFonts w:hint="eastAsia"/>
                      <w:color w:val="000000"/>
                      <w:szCs w:val="21"/>
                    </w:rPr>
                    <w:t>方位</w:t>
                  </w:r>
                </w:p>
              </w:tc>
              <w:tc>
                <w:tcPr>
                  <w:tcW w:w="902" w:type="dxa"/>
                  <w:vMerge w:val="restart"/>
                  <w:vAlign w:val="center"/>
                </w:tcPr>
                <w:p>
                  <w:pPr>
                    <w:jc w:val="center"/>
                    <w:rPr>
                      <w:color w:val="000000"/>
                      <w:szCs w:val="21"/>
                    </w:rPr>
                  </w:pPr>
                  <w:r>
                    <w:rPr>
                      <w:rFonts w:hint="eastAsia"/>
                      <w:color w:val="000000"/>
                      <w:szCs w:val="21"/>
                    </w:rPr>
                    <w:t>执行标准</w:t>
                  </w:r>
                </w:p>
              </w:tc>
              <w:tc>
                <w:tcPr>
                  <w:tcW w:w="1240" w:type="dxa"/>
                  <w:vMerge w:val="restart"/>
                  <w:vAlign w:val="center"/>
                </w:tcPr>
                <w:p>
                  <w:pPr>
                    <w:jc w:val="center"/>
                    <w:rPr>
                      <w:color w:val="000000"/>
                      <w:szCs w:val="21"/>
                    </w:rPr>
                  </w:pPr>
                  <w:r>
                    <w:rPr>
                      <w:rFonts w:hint="eastAsia"/>
                      <w:color w:val="000000"/>
                      <w:szCs w:val="21"/>
                    </w:rPr>
                    <w:t>声环境保护目标情况说明</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02" w:type="dxa"/>
                  <w:vMerge w:val="continue"/>
                  <w:vAlign w:val="center"/>
                </w:tcPr>
                <w:p>
                  <w:pPr>
                    <w:pStyle w:val="36"/>
                    <w:rPr>
                      <w:color w:val="000000"/>
                    </w:rPr>
                  </w:pPr>
                </w:p>
              </w:tc>
              <w:tc>
                <w:tcPr>
                  <w:tcW w:w="902" w:type="dxa"/>
                  <w:vMerge w:val="continue"/>
                  <w:vAlign w:val="center"/>
                </w:tcPr>
                <w:p>
                  <w:pPr>
                    <w:pStyle w:val="36"/>
                    <w:rPr>
                      <w:color w:val="000000"/>
                    </w:rPr>
                  </w:pPr>
                </w:p>
              </w:tc>
              <w:tc>
                <w:tcPr>
                  <w:tcW w:w="902" w:type="dxa"/>
                  <w:vAlign w:val="center"/>
                </w:tcPr>
                <w:p>
                  <w:pPr>
                    <w:pStyle w:val="36"/>
                    <w:rPr>
                      <w:color w:val="000000"/>
                    </w:rPr>
                  </w:pPr>
                  <w:r>
                    <w:rPr>
                      <w:rFonts w:hint="eastAsia"/>
                      <w:color w:val="000000"/>
                    </w:rPr>
                    <w:t>X</w:t>
                  </w:r>
                </w:p>
              </w:tc>
              <w:tc>
                <w:tcPr>
                  <w:tcW w:w="902" w:type="dxa"/>
                  <w:vAlign w:val="center"/>
                </w:tcPr>
                <w:p>
                  <w:pPr>
                    <w:pStyle w:val="36"/>
                    <w:rPr>
                      <w:color w:val="000000"/>
                    </w:rPr>
                  </w:pPr>
                  <w:r>
                    <w:rPr>
                      <w:rFonts w:hint="eastAsia"/>
                      <w:color w:val="000000"/>
                    </w:rPr>
                    <w:t>Y</w:t>
                  </w:r>
                </w:p>
              </w:tc>
              <w:tc>
                <w:tcPr>
                  <w:tcW w:w="902" w:type="dxa"/>
                  <w:vAlign w:val="center"/>
                </w:tcPr>
                <w:p>
                  <w:pPr>
                    <w:pStyle w:val="36"/>
                    <w:rPr>
                      <w:color w:val="000000"/>
                    </w:rPr>
                  </w:pPr>
                  <w:r>
                    <w:rPr>
                      <w:rFonts w:hint="eastAsia"/>
                      <w:color w:val="000000"/>
                    </w:rPr>
                    <w:t>Z</w:t>
                  </w:r>
                </w:p>
              </w:tc>
              <w:tc>
                <w:tcPr>
                  <w:tcW w:w="902" w:type="dxa"/>
                  <w:vMerge w:val="continue"/>
                  <w:vAlign w:val="center"/>
                </w:tcPr>
                <w:p>
                  <w:pPr>
                    <w:pStyle w:val="36"/>
                    <w:rPr>
                      <w:color w:val="000000"/>
                    </w:rPr>
                  </w:pPr>
                </w:p>
              </w:tc>
              <w:tc>
                <w:tcPr>
                  <w:tcW w:w="902" w:type="dxa"/>
                  <w:vMerge w:val="continue"/>
                  <w:vAlign w:val="center"/>
                </w:tcPr>
                <w:p>
                  <w:pPr>
                    <w:pStyle w:val="36"/>
                    <w:rPr>
                      <w:color w:val="000000"/>
                    </w:rPr>
                  </w:pPr>
                </w:p>
              </w:tc>
              <w:tc>
                <w:tcPr>
                  <w:tcW w:w="902" w:type="dxa"/>
                  <w:vMerge w:val="continue"/>
                  <w:vAlign w:val="center"/>
                </w:tcPr>
                <w:p>
                  <w:pPr>
                    <w:pStyle w:val="36"/>
                    <w:rPr>
                      <w:color w:val="000000"/>
                    </w:rPr>
                  </w:pPr>
                </w:p>
              </w:tc>
              <w:tc>
                <w:tcPr>
                  <w:tcW w:w="1240" w:type="dxa"/>
                  <w:vMerge w:val="continue"/>
                  <w:vAlign w:val="center"/>
                </w:tcPr>
                <w:p>
                  <w:pPr>
                    <w:pStyle w:val="36"/>
                    <w:rPr>
                      <w:color w:val="000000"/>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02" w:type="dxa"/>
                  <w:vAlign w:val="center"/>
                </w:tcPr>
                <w:p>
                  <w:pPr>
                    <w:pStyle w:val="36"/>
                    <w:rPr>
                      <w:color w:val="000000"/>
                    </w:rPr>
                  </w:pPr>
                  <w:r>
                    <w:rPr>
                      <w:rFonts w:hint="eastAsia"/>
                      <w:color w:val="000000"/>
                    </w:rPr>
                    <w:t>/</w:t>
                  </w:r>
                </w:p>
              </w:tc>
              <w:tc>
                <w:tcPr>
                  <w:tcW w:w="902" w:type="dxa"/>
                  <w:vAlign w:val="center"/>
                </w:tcPr>
                <w:p>
                  <w:pPr>
                    <w:pStyle w:val="36"/>
                    <w:rPr>
                      <w:color w:val="000000"/>
                    </w:rPr>
                  </w:pPr>
                  <w:r>
                    <w:rPr>
                      <w:rFonts w:hint="eastAsia"/>
                      <w:color w:val="000000"/>
                    </w:rPr>
                    <w:t>/</w:t>
                  </w:r>
                </w:p>
              </w:tc>
              <w:tc>
                <w:tcPr>
                  <w:tcW w:w="902" w:type="dxa"/>
                  <w:vAlign w:val="center"/>
                </w:tcPr>
                <w:p>
                  <w:pPr>
                    <w:pStyle w:val="36"/>
                    <w:rPr>
                      <w:color w:val="000000"/>
                    </w:rPr>
                  </w:pPr>
                  <w:r>
                    <w:rPr>
                      <w:rFonts w:hint="eastAsia"/>
                      <w:color w:val="000000"/>
                    </w:rPr>
                    <w:t>/</w:t>
                  </w:r>
                </w:p>
              </w:tc>
              <w:tc>
                <w:tcPr>
                  <w:tcW w:w="902" w:type="dxa"/>
                  <w:vAlign w:val="center"/>
                </w:tcPr>
                <w:p>
                  <w:pPr>
                    <w:pStyle w:val="36"/>
                    <w:rPr>
                      <w:color w:val="000000"/>
                    </w:rPr>
                  </w:pPr>
                  <w:r>
                    <w:rPr>
                      <w:rFonts w:hint="eastAsia"/>
                      <w:color w:val="000000"/>
                    </w:rPr>
                    <w:t>/</w:t>
                  </w:r>
                </w:p>
              </w:tc>
              <w:tc>
                <w:tcPr>
                  <w:tcW w:w="902" w:type="dxa"/>
                  <w:vAlign w:val="center"/>
                </w:tcPr>
                <w:p>
                  <w:pPr>
                    <w:pStyle w:val="36"/>
                    <w:rPr>
                      <w:color w:val="000000"/>
                    </w:rPr>
                  </w:pPr>
                  <w:r>
                    <w:rPr>
                      <w:rFonts w:hint="eastAsia"/>
                      <w:color w:val="000000"/>
                    </w:rPr>
                    <w:t>/</w:t>
                  </w:r>
                </w:p>
              </w:tc>
              <w:tc>
                <w:tcPr>
                  <w:tcW w:w="902" w:type="dxa"/>
                  <w:vAlign w:val="center"/>
                </w:tcPr>
                <w:p>
                  <w:pPr>
                    <w:pStyle w:val="36"/>
                    <w:rPr>
                      <w:color w:val="000000"/>
                    </w:rPr>
                  </w:pPr>
                  <w:r>
                    <w:rPr>
                      <w:rFonts w:hint="eastAsia"/>
                      <w:color w:val="000000"/>
                    </w:rPr>
                    <w:t>/</w:t>
                  </w:r>
                </w:p>
              </w:tc>
              <w:tc>
                <w:tcPr>
                  <w:tcW w:w="902" w:type="dxa"/>
                  <w:vAlign w:val="center"/>
                </w:tcPr>
                <w:p>
                  <w:pPr>
                    <w:pStyle w:val="36"/>
                    <w:rPr>
                      <w:color w:val="000000"/>
                    </w:rPr>
                  </w:pPr>
                  <w:r>
                    <w:rPr>
                      <w:rFonts w:hint="eastAsia"/>
                      <w:color w:val="000000"/>
                    </w:rPr>
                    <w:t>/</w:t>
                  </w:r>
                </w:p>
              </w:tc>
              <w:tc>
                <w:tcPr>
                  <w:tcW w:w="902" w:type="dxa"/>
                  <w:vAlign w:val="center"/>
                </w:tcPr>
                <w:p>
                  <w:pPr>
                    <w:pStyle w:val="36"/>
                    <w:rPr>
                      <w:color w:val="000000"/>
                    </w:rPr>
                  </w:pPr>
                  <w:r>
                    <w:rPr>
                      <w:rFonts w:hint="eastAsia"/>
                      <w:color w:val="000000"/>
                    </w:rPr>
                    <w:t>/</w:t>
                  </w:r>
                </w:p>
              </w:tc>
              <w:tc>
                <w:tcPr>
                  <w:tcW w:w="1240" w:type="dxa"/>
                  <w:vAlign w:val="center"/>
                </w:tcPr>
                <w:p>
                  <w:pPr>
                    <w:pStyle w:val="36"/>
                    <w:rPr>
                      <w:color w:val="000000"/>
                    </w:rPr>
                  </w:pPr>
                  <w:r>
                    <w:rPr>
                      <w:rFonts w:hint="eastAsia"/>
                      <w:color w:val="000000"/>
                    </w:rPr>
                    <w:t>/</w:t>
                  </w:r>
                </w:p>
              </w:tc>
            </w:tr>
          </w:tbl>
          <w:p>
            <w:pPr>
              <w:pStyle w:val="38"/>
              <w:ind w:firstLine="480"/>
              <w:rPr>
                <w:rFonts w:cs="宋体"/>
                <w:kern w:val="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89" w:hRule="atLeast"/>
          <w:jc w:val="center"/>
        </w:trPr>
        <w:tc>
          <w:tcPr>
            <w:tcW w:w="699" w:type="dxa"/>
            <w:tcMar>
              <w:left w:w="28" w:type="dxa"/>
              <w:right w:w="28" w:type="dxa"/>
            </w:tcMar>
            <w:vAlign w:val="center"/>
          </w:tcPr>
          <w:p>
            <w:pPr>
              <w:adjustRightInd w:val="0"/>
              <w:snapToGrid w:val="0"/>
              <w:jc w:val="center"/>
              <w:rPr>
                <w:rFonts w:cs="宋体"/>
                <w:kern w:val="0"/>
                <w:sz w:val="24"/>
              </w:rPr>
            </w:pPr>
            <w:r>
              <w:rPr>
                <w:rFonts w:hint="eastAsia" w:cs="宋体"/>
                <w:kern w:val="0"/>
                <w:sz w:val="24"/>
              </w:rPr>
              <w:t>污染</w:t>
            </w:r>
          </w:p>
          <w:p>
            <w:pPr>
              <w:adjustRightInd w:val="0"/>
              <w:snapToGrid w:val="0"/>
              <w:jc w:val="center"/>
              <w:rPr>
                <w:rFonts w:cs="宋体"/>
                <w:kern w:val="0"/>
                <w:sz w:val="24"/>
              </w:rPr>
            </w:pPr>
            <w:r>
              <w:rPr>
                <w:rFonts w:hint="eastAsia" w:cs="宋体"/>
                <w:kern w:val="0"/>
                <w:sz w:val="24"/>
              </w:rPr>
              <w:t>物排</w:t>
            </w:r>
          </w:p>
          <w:p>
            <w:pPr>
              <w:adjustRightInd w:val="0"/>
              <w:snapToGrid w:val="0"/>
              <w:jc w:val="center"/>
              <w:rPr>
                <w:rFonts w:cs="宋体"/>
                <w:kern w:val="0"/>
                <w:sz w:val="24"/>
              </w:rPr>
            </w:pPr>
            <w:r>
              <w:rPr>
                <w:rFonts w:hint="eastAsia" w:cs="宋体"/>
                <w:kern w:val="0"/>
                <w:sz w:val="24"/>
              </w:rPr>
              <w:t>放控</w:t>
            </w:r>
          </w:p>
          <w:p>
            <w:pPr>
              <w:adjustRightInd w:val="0"/>
              <w:snapToGrid w:val="0"/>
              <w:jc w:val="center"/>
              <w:rPr>
                <w:rFonts w:cs="宋体"/>
                <w:kern w:val="0"/>
                <w:sz w:val="24"/>
              </w:rPr>
            </w:pPr>
            <w:r>
              <w:rPr>
                <w:rFonts w:hint="eastAsia" w:cs="宋体"/>
                <w:kern w:val="0"/>
                <w:sz w:val="24"/>
              </w:rPr>
              <w:t>制标</w:t>
            </w:r>
          </w:p>
          <w:p>
            <w:pPr>
              <w:adjustRightInd w:val="0"/>
              <w:snapToGrid w:val="0"/>
              <w:jc w:val="center"/>
              <w:rPr>
                <w:rFonts w:cs="宋体"/>
                <w:kern w:val="0"/>
                <w:sz w:val="24"/>
              </w:rPr>
            </w:pPr>
            <w:r>
              <w:rPr>
                <w:rFonts w:hint="eastAsia" w:cs="宋体"/>
                <w:kern w:val="0"/>
                <w:sz w:val="24"/>
              </w:rPr>
              <w:t>准</w:t>
            </w:r>
          </w:p>
        </w:tc>
        <w:tc>
          <w:tcPr>
            <w:tcW w:w="8787" w:type="dxa"/>
            <w:vAlign w:val="center"/>
          </w:tcPr>
          <w:p>
            <w:pPr>
              <w:pStyle w:val="38"/>
              <w:ind w:firstLine="480"/>
              <w:rPr>
                <w:color w:val="000000"/>
              </w:rPr>
            </w:pPr>
            <w:r>
              <w:rPr>
                <w:color w:val="000000"/>
              </w:rPr>
              <w:t>1、废气</w:t>
            </w:r>
          </w:p>
          <w:p>
            <w:pPr>
              <w:pStyle w:val="38"/>
              <w:ind w:firstLine="480"/>
              <w:rPr>
                <w:color w:val="000000"/>
              </w:rPr>
            </w:pPr>
            <w:r>
              <w:rPr>
                <w:rFonts w:hint="eastAsia"/>
                <w:color w:val="000000"/>
              </w:rPr>
              <w:t>项目产生废气主要为生产、运输、堆存过程中产生的无组织粉尘，</w:t>
            </w:r>
            <w:r>
              <w:t>执行国家《大气污染物</w:t>
            </w:r>
            <w:r>
              <w:rPr>
                <w:rFonts w:hint="eastAsia"/>
              </w:rPr>
              <w:t>综合</w:t>
            </w:r>
            <w:r>
              <w:t>排放标准》</w:t>
            </w:r>
            <w:r>
              <w:rPr>
                <w:rFonts w:hint="eastAsia"/>
              </w:rPr>
              <w:t>（GB16297-1996）表2中无组织排放浓度标准，</w:t>
            </w:r>
            <w:r>
              <w:t>允许排放浓度</w:t>
            </w:r>
            <w:r>
              <w:rPr>
                <w:rFonts w:hint="eastAsia"/>
              </w:rPr>
              <w:t>限</w:t>
            </w:r>
            <w:r>
              <w:t>值</w:t>
            </w:r>
            <w:r>
              <w:rPr>
                <w:rFonts w:hint="eastAsia"/>
              </w:rPr>
              <w:t>如下表所示。</w:t>
            </w:r>
          </w:p>
          <w:p>
            <w:pPr>
              <w:pStyle w:val="40"/>
              <w:spacing w:line="240" w:lineRule="auto"/>
            </w:pPr>
          </w:p>
          <w:p>
            <w:pPr>
              <w:pStyle w:val="40"/>
              <w:spacing w:line="240" w:lineRule="auto"/>
            </w:pPr>
          </w:p>
          <w:p>
            <w:pPr>
              <w:pStyle w:val="40"/>
              <w:spacing w:line="240" w:lineRule="auto"/>
            </w:pPr>
          </w:p>
          <w:p>
            <w:pPr>
              <w:pStyle w:val="40"/>
              <w:spacing w:line="240" w:lineRule="auto"/>
            </w:pPr>
          </w:p>
          <w:p>
            <w:pPr>
              <w:pStyle w:val="40"/>
              <w:spacing w:line="240" w:lineRule="auto"/>
            </w:pPr>
            <w:r>
              <w:t>表</w:t>
            </w:r>
            <w:r>
              <w:rPr>
                <w:rFonts w:hint="eastAsia"/>
              </w:rPr>
              <w:t>3-</w:t>
            </w:r>
            <w:r>
              <w:t xml:space="preserve">7 </w:t>
            </w:r>
            <w:r>
              <w:rPr>
                <w:rFonts w:hint="eastAsia"/>
              </w:rPr>
              <w:t>污染物排放控制标准</w:t>
            </w:r>
          </w:p>
          <w:tbl>
            <w:tblPr>
              <w:tblStyle w:val="14"/>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166"/>
              <w:gridCol w:w="3125"/>
              <w:gridCol w:w="3150"/>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cantSplit/>
                <w:trHeight w:val="50" w:hRule="atLeast"/>
                <w:jc w:val="center"/>
              </w:trPr>
              <w:tc>
                <w:tcPr>
                  <w:tcW w:w="2166" w:type="dxa"/>
                  <w:vMerge w:val="restart"/>
                  <w:vAlign w:val="center"/>
                </w:tcPr>
                <w:p>
                  <w:pPr>
                    <w:pStyle w:val="47"/>
                  </w:pPr>
                  <w:r>
                    <w:rPr>
                      <w:rFonts w:hint="eastAsia"/>
                    </w:rPr>
                    <w:t>污染物</w:t>
                  </w:r>
                </w:p>
              </w:tc>
              <w:tc>
                <w:tcPr>
                  <w:tcW w:w="6275" w:type="dxa"/>
                  <w:gridSpan w:val="2"/>
                  <w:vAlign w:val="center"/>
                </w:tcPr>
                <w:p>
                  <w:pPr>
                    <w:pStyle w:val="47"/>
                  </w:pPr>
                  <w:r>
                    <w:rPr>
                      <w:rFonts w:hint="eastAsia"/>
                    </w:rPr>
                    <w:t>无组织排放监控浓度限值（</w:t>
                  </w:r>
                  <w:r>
                    <w:t>mg/m</w:t>
                  </w:r>
                  <w:r>
                    <w:rPr>
                      <w:vertAlign w:val="superscript"/>
                    </w:rPr>
                    <w:t>3</w:t>
                  </w:r>
                  <w:r>
                    <w:rPr>
                      <w:rFonts w:hint="eastAsia"/>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65" w:hRule="atLeast"/>
                <w:jc w:val="center"/>
              </w:trPr>
              <w:tc>
                <w:tcPr>
                  <w:tcW w:w="2166" w:type="dxa"/>
                  <w:vMerge w:val="continue"/>
                  <w:vAlign w:val="center"/>
                </w:tcPr>
                <w:p>
                  <w:pPr>
                    <w:pStyle w:val="47"/>
                    <w:rPr>
                      <w:rFonts w:eastAsia="黑体"/>
                    </w:rPr>
                  </w:pPr>
                </w:p>
              </w:tc>
              <w:tc>
                <w:tcPr>
                  <w:tcW w:w="3125" w:type="dxa"/>
                  <w:vAlign w:val="center"/>
                </w:tcPr>
                <w:p>
                  <w:pPr>
                    <w:pStyle w:val="47"/>
                  </w:pPr>
                  <w:r>
                    <w:rPr>
                      <w:rFonts w:hint="eastAsia"/>
                    </w:rPr>
                    <w:t>监控点</w:t>
                  </w:r>
                </w:p>
              </w:tc>
              <w:tc>
                <w:tcPr>
                  <w:tcW w:w="3150" w:type="dxa"/>
                  <w:vAlign w:val="center"/>
                </w:tcPr>
                <w:p>
                  <w:pPr>
                    <w:pStyle w:val="47"/>
                  </w:pPr>
                  <w:r>
                    <w:rPr>
                      <w:rFonts w:hint="eastAsia"/>
                    </w:rPr>
                    <w:t>浓度</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cantSplit/>
                <w:trHeight w:val="65" w:hRule="atLeast"/>
                <w:jc w:val="center"/>
              </w:trPr>
              <w:tc>
                <w:tcPr>
                  <w:tcW w:w="2166" w:type="dxa"/>
                  <w:vAlign w:val="center"/>
                </w:tcPr>
                <w:p>
                  <w:pPr>
                    <w:pStyle w:val="47"/>
                  </w:pPr>
                  <w:r>
                    <w:rPr>
                      <w:rFonts w:hint="eastAsia"/>
                    </w:rPr>
                    <w:t>颗粒物</w:t>
                  </w:r>
                </w:p>
              </w:tc>
              <w:tc>
                <w:tcPr>
                  <w:tcW w:w="3125" w:type="dxa"/>
                  <w:vAlign w:val="center"/>
                </w:tcPr>
                <w:p>
                  <w:pPr>
                    <w:pStyle w:val="47"/>
                  </w:pPr>
                  <w:r>
                    <w:rPr>
                      <w:rFonts w:hint="eastAsia"/>
                    </w:rPr>
                    <w:t>周界外浓度最高点</w:t>
                  </w:r>
                </w:p>
              </w:tc>
              <w:tc>
                <w:tcPr>
                  <w:tcW w:w="3150" w:type="dxa"/>
                  <w:vAlign w:val="center"/>
                </w:tcPr>
                <w:p>
                  <w:pPr>
                    <w:pStyle w:val="47"/>
                  </w:pPr>
                  <w:r>
                    <w:rPr>
                      <w:rFonts w:hint="eastAsia"/>
                    </w:rPr>
                    <w:t>1.0</w:t>
                  </w:r>
                </w:p>
              </w:tc>
            </w:tr>
          </w:tbl>
          <w:p>
            <w:pPr>
              <w:adjustRightInd w:val="0"/>
              <w:snapToGrid w:val="0"/>
              <w:spacing w:before="120" w:beforeLines="50" w:line="360" w:lineRule="auto"/>
              <w:ind w:firstLine="480" w:firstLineChars="200"/>
              <w:rPr>
                <w:color w:val="000000"/>
                <w:sz w:val="24"/>
              </w:rPr>
            </w:pPr>
            <w:r>
              <w:rPr>
                <w:rFonts w:hint="eastAsia"/>
                <w:color w:val="000000"/>
                <w:sz w:val="24"/>
              </w:rPr>
              <w:t>2</w:t>
            </w:r>
            <w:r>
              <w:rPr>
                <w:color w:val="000000"/>
                <w:sz w:val="24"/>
              </w:rPr>
              <w:t>、废水</w:t>
            </w:r>
          </w:p>
          <w:p>
            <w:pPr>
              <w:spacing w:line="360" w:lineRule="auto"/>
              <w:ind w:firstLine="480"/>
              <w:rPr>
                <w:sz w:val="24"/>
              </w:rPr>
            </w:pPr>
            <w:r>
              <w:rPr>
                <w:rFonts w:hint="eastAsia"/>
                <w:sz w:val="24"/>
              </w:rPr>
              <w:t>本项目生产废水全部回用于生产或自然蒸发，不外排；生活污水依托附近既有污水处理设施处理。</w:t>
            </w:r>
          </w:p>
          <w:p>
            <w:pPr>
              <w:spacing w:line="360" w:lineRule="auto"/>
              <w:ind w:firstLine="480"/>
              <w:rPr>
                <w:color w:val="000000"/>
                <w:sz w:val="24"/>
              </w:rPr>
            </w:pPr>
            <w:r>
              <w:rPr>
                <w:color w:val="000000"/>
                <w:sz w:val="24"/>
              </w:rPr>
              <w:t>3、噪声</w:t>
            </w:r>
          </w:p>
          <w:p>
            <w:pPr>
              <w:adjustRightInd w:val="0"/>
              <w:snapToGrid w:val="0"/>
              <w:spacing w:line="360" w:lineRule="auto"/>
              <w:ind w:firstLine="480" w:firstLineChars="200"/>
              <w:rPr>
                <w:color w:val="000000"/>
                <w:sz w:val="24"/>
              </w:rPr>
            </w:pPr>
            <w:r>
              <w:rPr>
                <w:color w:val="000000"/>
                <w:sz w:val="24"/>
              </w:rPr>
              <w:t>运营期执行国家《工业企业厂界环境噪声排放标准》GB12348-2008中</w:t>
            </w:r>
            <w:r>
              <w:rPr>
                <w:rFonts w:hint="eastAsia"/>
                <w:color w:val="000000"/>
                <w:sz w:val="24"/>
              </w:rPr>
              <w:t>3</w:t>
            </w:r>
            <w:r>
              <w:rPr>
                <w:color w:val="000000"/>
                <w:sz w:val="24"/>
              </w:rPr>
              <w:t>类标准。标准限值</w:t>
            </w:r>
            <w:r>
              <w:rPr>
                <w:rFonts w:hint="eastAsia"/>
                <w:color w:val="000000"/>
                <w:sz w:val="24"/>
              </w:rPr>
              <w:t>如下表所示。</w:t>
            </w:r>
          </w:p>
          <w:p>
            <w:pPr>
              <w:pStyle w:val="40"/>
              <w:spacing w:line="240" w:lineRule="auto"/>
            </w:pPr>
            <w:r>
              <w:t>表</w:t>
            </w:r>
            <w:r>
              <w:rPr>
                <w:rFonts w:hint="eastAsia"/>
              </w:rPr>
              <w:t>3-</w:t>
            </w:r>
            <w:r>
              <w:t>8 厂界噪声排放标准限值表     等效声级 LAeq:dB（A）</w:t>
            </w:r>
          </w:p>
          <w:tbl>
            <w:tblPr>
              <w:tblStyle w:val="14"/>
              <w:tblW w:w="84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664"/>
              <w:gridCol w:w="480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664" w:type="dxa"/>
                  <w:vAlign w:val="center"/>
                </w:tcPr>
                <w:p>
                  <w:pPr>
                    <w:autoSpaceDE w:val="0"/>
                    <w:autoSpaceDN w:val="0"/>
                    <w:adjustRightInd w:val="0"/>
                    <w:ind w:firstLine="422" w:firstLineChars="200"/>
                    <w:jc w:val="center"/>
                    <w:rPr>
                      <w:rFonts w:ascii="Calibri" w:hAnsi="Calibri"/>
                      <w:b/>
                      <w:bCs/>
                      <w:color w:val="000000"/>
                      <w:kern w:val="0"/>
                      <w:szCs w:val="21"/>
                    </w:rPr>
                  </w:pPr>
                  <w:r>
                    <w:rPr>
                      <w:rFonts w:ascii="Calibri" w:hAnsi="Calibri"/>
                      <w:b/>
                      <w:bCs/>
                      <w:color w:val="000000"/>
                      <w:kern w:val="0"/>
                      <w:szCs w:val="21"/>
                    </w:rPr>
                    <w:t>昼间</w:t>
                  </w:r>
                </w:p>
              </w:tc>
              <w:tc>
                <w:tcPr>
                  <w:tcW w:w="4807" w:type="dxa"/>
                  <w:vAlign w:val="center"/>
                </w:tcPr>
                <w:p>
                  <w:pPr>
                    <w:wordWrap w:val="0"/>
                    <w:autoSpaceDE w:val="0"/>
                    <w:autoSpaceDN w:val="0"/>
                    <w:adjustRightInd w:val="0"/>
                    <w:ind w:firstLine="422" w:firstLineChars="200"/>
                    <w:jc w:val="center"/>
                    <w:rPr>
                      <w:rFonts w:ascii="Calibri" w:hAnsi="Calibri"/>
                      <w:b/>
                      <w:bCs/>
                      <w:color w:val="000000"/>
                      <w:kern w:val="0"/>
                      <w:szCs w:val="21"/>
                    </w:rPr>
                  </w:pPr>
                  <w:r>
                    <w:rPr>
                      <w:rFonts w:ascii="Calibri" w:hAnsi="Calibri"/>
                      <w:b/>
                      <w:bCs/>
                      <w:color w:val="000000"/>
                      <w:kern w:val="0"/>
                      <w:szCs w:val="21"/>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664" w:type="dxa"/>
                  <w:vAlign w:val="center"/>
                </w:tcPr>
                <w:p>
                  <w:pPr>
                    <w:wordWrap w:val="0"/>
                    <w:autoSpaceDE w:val="0"/>
                    <w:autoSpaceDN w:val="0"/>
                    <w:adjustRightInd w:val="0"/>
                    <w:ind w:firstLine="420" w:firstLineChars="200"/>
                    <w:jc w:val="center"/>
                    <w:rPr>
                      <w:rFonts w:ascii="Calibri" w:hAnsi="Calibri"/>
                      <w:color w:val="000000"/>
                      <w:kern w:val="0"/>
                      <w:szCs w:val="21"/>
                    </w:rPr>
                  </w:pPr>
                  <w:r>
                    <w:rPr>
                      <w:rFonts w:hint="eastAsia" w:ascii="Calibri" w:hAnsi="Calibri"/>
                      <w:color w:val="000000"/>
                      <w:kern w:val="0"/>
                      <w:szCs w:val="21"/>
                    </w:rPr>
                    <w:t>65</w:t>
                  </w:r>
                </w:p>
              </w:tc>
              <w:tc>
                <w:tcPr>
                  <w:tcW w:w="4807" w:type="dxa"/>
                  <w:vAlign w:val="center"/>
                </w:tcPr>
                <w:p>
                  <w:pPr>
                    <w:wordWrap w:val="0"/>
                    <w:autoSpaceDE w:val="0"/>
                    <w:autoSpaceDN w:val="0"/>
                    <w:adjustRightInd w:val="0"/>
                    <w:ind w:firstLine="420" w:firstLineChars="200"/>
                    <w:jc w:val="center"/>
                    <w:rPr>
                      <w:rFonts w:ascii="Calibri" w:hAnsi="Calibri"/>
                      <w:color w:val="000000"/>
                      <w:kern w:val="0"/>
                      <w:szCs w:val="21"/>
                    </w:rPr>
                  </w:pPr>
                  <w:r>
                    <w:rPr>
                      <w:rFonts w:hint="eastAsia" w:ascii="Calibri" w:hAnsi="Calibri"/>
                      <w:color w:val="000000"/>
                      <w:kern w:val="0"/>
                      <w:szCs w:val="21"/>
                    </w:rPr>
                    <w:t>55</w:t>
                  </w:r>
                </w:p>
              </w:tc>
            </w:tr>
          </w:tbl>
          <w:p>
            <w:pPr>
              <w:adjustRightInd w:val="0"/>
              <w:snapToGrid w:val="0"/>
              <w:spacing w:before="120" w:beforeLines="50" w:line="360" w:lineRule="auto"/>
              <w:ind w:firstLine="480" w:firstLineChars="200"/>
              <w:rPr>
                <w:color w:val="000000"/>
                <w:sz w:val="24"/>
              </w:rPr>
            </w:pPr>
            <w:r>
              <w:rPr>
                <w:color w:val="000000"/>
                <w:sz w:val="24"/>
              </w:rPr>
              <w:t>4、固废</w:t>
            </w:r>
          </w:p>
          <w:p>
            <w:pPr>
              <w:spacing w:line="360" w:lineRule="auto"/>
              <w:ind w:firstLine="480" w:firstLineChars="200"/>
              <w:rPr>
                <w:sz w:val="24"/>
              </w:rPr>
            </w:pPr>
            <w:r>
              <w:rPr>
                <w:rFonts w:hint="eastAsia"/>
                <w:sz w:val="24"/>
              </w:rPr>
              <w:t>一般固体废物贮存、处置执行《一般工业固体废物贮存、处置场污染控制标准》（</w:t>
            </w:r>
            <w:r>
              <w:rPr>
                <w:sz w:val="24"/>
              </w:rPr>
              <w:t>GB18599-2001</w:t>
            </w:r>
            <w:r>
              <w:rPr>
                <w:rFonts w:hint="eastAsia"/>
                <w:sz w:val="24"/>
              </w:rPr>
              <w:t>）及其</w:t>
            </w:r>
            <w:r>
              <w:rPr>
                <w:sz w:val="24"/>
              </w:rPr>
              <w:t>2013</w:t>
            </w:r>
            <w:r>
              <w:rPr>
                <w:rFonts w:hint="eastAsia"/>
                <w:sz w:val="24"/>
              </w:rPr>
              <w:t>年修改单的相关要求。</w:t>
            </w:r>
          </w:p>
          <w:p>
            <w:pPr>
              <w:pStyle w:val="38"/>
              <w:ind w:firstLine="480"/>
              <w:jc w:val="both"/>
              <w:rPr>
                <w:rFonts w:ascii="宋体" w:hAnsi="宋体" w:cs="宋体"/>
                <w:color w:val="000000"/>
                <w:kern w:val="0"/>
                <w:szCs w:val="21"/>
              </w:rPr>
            </w:pPr>
            <w:r>
              <w:rPr>
                <w:rFonts w:hint="eastAsia"/>
              </w:rPr>
              <w:t>危险废物：</w:t>
            </w:r>
            <w:r>
              <w:rPr>
                <w:rFonts w:hint="eastAsia" w:ascii="宋体" w:hAnsi="宋体" w:cs="宋体"/>
                <w:color w:val="000000"/>
                <w:kern w:val="0"/>
              </w:rPr>
              <w:t>《危险废物贮存污染控制标准》（</w:t>
            </w:r>
            <w:r>
              <w:rPr>
                <w:color w:val="000000"/>
                <w:kern w:val="0"/>
              </w:rPr>
              <w:t>GB18597-2023</w:t>
            </w:r>
            <w:r>
              <w:rPr>
                <w:rFonts w:hint="eastAsia" w:ascii="宋体" w:hAnsi="宋体" w:cs="宋体"/>
                <w:color w:val="000000"/>
                <w:kern w:val="0"/>
              </w:rPr>
              <w:t>）和《危</w:t>
            </w:r>
            <w:r>
              <w:rPr>
                <w:rFonts w:hint="eastAsia" w:cs="宋体"/>
                <w:color w:val="000000"/>
                <w:kern w:val="0"/>
              </w:rPr>
              <w:t>险废物转移联单管理办法》中的有关规定</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5" w:hRule="atLeast"/>
          <w:jc w:val="center"/>
        </w:trPr>
        <w:tc>
          <w:tcPr>
            <w:tcW w:w="699" w:type="dxa"/>
            <w:vAlign w:val="center"/>
          </w:tcPr>
          <w:p>
            <w:pPr>
              <w:adjustRightInd w:val="0"/>
              <w:snapToGrid w:val="0"/>
              <w:jc w:val="center"/>
              <w:rPr>
                <w:rFonts w:cs="宋体"/>
                <w:kern w:val="0"/>
                <w:sz w:val="24"/>
              </w:rPr>
            </w:pPr>
            <w:r>
              <w:rPr>
                <w:rFonts w:hint="eastAsia" w:cs="宋体"/>
                <w:kern w:val="0"/>
                <w:sz w:val="24"/>
              </w:rPr>
              <w:t>总量</w:t>
            </w:r>
          </w:p>
          <w:p>
            <w:pPr>
              <w:adjustRightInd w:val="0"/>
              <w:snapToGrid w:val="0"/>
              <w:jc w:val="center"/>
              <w:rPr>
                <w:rFonts w:cs="宋体"/>
                <w:kern w:val="0"/>
                <w:sz w:val="24"/>
              </w:rPr>
            </w:pPr>
            <w:r>
              <w:rPr>
                <w:rFonts w:hint="eastAsia" w:cs="宋体"/>
                <w:kern w:val="0"/>
                <w:sz w:val="24"/>
              </w:rPr>
              <w:t>控制</w:t>
            </w:r>
          </w:p>
          <w:p>
            <w:pPr>
              <w:adjustRightInd w:val="0"/>
              <w:snapToGrid w:val="0"/>
              <w:jc w:val="center"/>
              <w:rPr>
                <w:rFonts w:cs="宋体"/>
                <w:kern w:val="0"/>
                <w:sz w:val="24"/>
              </w:rPr>
            </w:pPr>
            <w:r>
              <w:rPr>
                <w:rFonts w:hint="eastAsia" w:cs="宋体"/>
                <w:kern w:val="0"/>
                <w:sz w:val="24"/>
              </w:rPr>
              <w:t>指标</w:t>
            </w:r>
          </w:p>
        </w:tc>
        <w:tc>
          <w:tcPr>
            <w:tcW w:w="8787" w:type="dxa"/>
          </w:tcPr>
          <w:p>
            <w:pPr>
              <w:adjustRightInd w:val="0"/>
              <w:snapToGrid w:val="0"/>
              <w:spacing w:line="360" w:lineRule="auto"/>
              <w:ind w:firstLine="480" w:firstLineChars="200"/>
              <w:rPr>
                <w:rFonts w:cs="宋体"/>
                <w:kern w:val="0"/>
                <w:sz w:val="24"/>
              </w:rPr>
            </w:pPr>
            <w:r>
              <w:rPr>
                <w:rFonts w:hint="eastAsia" w:cs="宋体"/>
                <w:kern w:val="0"/>
                <w:sz w:val="24"/>
              </w:rPr>
              <w:t>根据国家总量控制相关要求，本项目无国家要求进行控制的污染物排放，因此，本项目不设总量控制指标。</w:t>
            </w:r>
          </w:p>
        </w:tc>
      </w:tr>
    </w:tbl>
    <w:p>
      <w:pPr>
        <w:pStyle w:val="12"/>
        <w:jc w:val="center"/>
        <w:outlineLvl w:val="0"/>
        <w:rPr>
          <w:rFonts w:ascii="Times New Roman" w:hAnsi="Times New Roman"/>
          <w:snapToGrid w:val="0"/>
          <w:sz w:val="30"/>
          <w:szCs w:val="30"/>
        </w:rPr>
      </w:pPr>
      <w:r>
        <w:rPr>
          <w:rFonts w:ascii="Times New Roman" w:hAnsi="Times New Roman"/>
          <w:snapToGrid w:val="0"/>
          <w:sz w:val="36"/>
          <w:szCs w:val="36"/>
        </w:rPr>
        <w:br w:type="page"/>
      </w:r>
      <w:r>
        <w:rPr>
          <w:rFonts w:hint="eastAsia" w:ascii="Times New Roman" w:hAnsi="Times New Roman"/>
          <w:snapToGrid w:val="0"/>
          <w:sz w:val="30"/>
          <w:szCs w:val="30"/>
        </w:rPr>
        <w:t>四、主要环境影响和保护措施</w:t>
      </w:r>
    </w:p>
    <w:tbl>
      <w:tblPr>
        <w:tblStyle w:val="14"/>
        <w:tblW w:w="94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85" w:type="dxa"/>
          <w:left w:w="108" w:type="dxa"/>
          <w:bottom w:w="85" w:type="dxa"/>
          <w:right w:w="108" w:type="dxa"/>
        </w:tblCellMar>
      </w:tblPr>
      <w:tblGrid>
        <w:gridCol w:w="699"/>
        <w:gridCol w:w="87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20" w:hRule="atLeast"/>
          <w:jc w:val="center"/>
        </w:trPr>
        <w:tc>
          <w:tcPr>
            <w:tcW w:w="699" w:type="dxa"/>
            <w:tcMar>
              <w:left w:w="28" w:type="dxa"/>
              <w:right w:w="28" w:type="dxa"/>
            </w:tcMar>
            <w:vAlign w:val="center"/>
          </w:tcPr>
          <w:p>
            <w:pPr>
              <w:pStyle w:val="12"/>
              <w:adjustRightInd w:val="0"/>
              <w:snapToGrid w:val="0"/>
              <w:spacing w:before="0" w:beforeAutospacing="0" w:after="0" w:afterAutospacing="0"/>
              <w:jc w:val="center"/>
              <w:rPr>
                <w:rFonts w:ascii="Times New Roman" w:hAnsi="Times New Roman" w:cs="宋体"/>
                <w:kern w:val="2"/>
                <w:szCs w:val="24"/>
                <w:lang w:val="en-US"/>
              </w:rPr>
            </w:pPr>
            <w:r>
              <w:rPr>
                <w:rFonts w:hint="eastAsia" w:ascii="Times New Roman" w:hAnsi="Times New Roman" w:cs="宋体"/>
                <w:kern w:val="2"/>
                <w:szCs w:val="24"/>
                <w:lang w:val="en-US"/>
              </w:rPr>
              <w:t>施工</w:t>
            </w:r>
          </w:p>
          <w:p>
            <w:pPr>
              <w:pStyle w:val="12"/>
              <w:adjustRightInd w:val="0"/>
              <w:snapToGrid w:val="0"/>
              <w:spacing w:before="0" w:beforeAutospacing="0" w:after="0" w:afterAutospacing="0"/>
              <w:jc w:val="center"/>
              <w:rPr>
                <w:rFonts w:ascii="Times New Roman" w:hAnsi="Times New Roman" w:cs="宋体"/>
                <w:kern w:val="2"/>
                <w:szCs w:val="24"/>
                <w:lang w:val="en-US"/>
              </w:rPr>
            </w:pPr>
            <w:r>
              <w:rPr>
                <w:rFonts w:hint="eastAsia" w:ascii="Times New Roman" w:hAnsi="Times New Roman" w:cs="宋体"/>
                <w:kern w:val="2"/>
                <w:szCs w:val="24"/>
                <w:lang w:val="en-US"/>
              </w:rPr>
              <w:t>期环</w:t>
            </w:r>
          </w:p>
          <w:p>
            <w:pPr>
              <w:pStyle w:val="12"/>
              <w:adjustRightInd w:val="0"/>
              <w:snapToGrid w:val="0"/>
              <w:spacing w:before="0" w:beforeAutospacing="0" w:after="0" w:afterAutospacing="0"/>
              <w:jc w:val="center"/>
              <w:rPr>
                <w:rFonts w:ascii="Times New Roman" w:hAnsi="Times New Roman" w:cs="宋体"/>
                <w:kern w:val="2"/>
                <w:szCs w:val="24"/>
                <w:lang w:val="en-US"/>
              </w:rPr>
            </w:pPr>
            <w:r>
              <w:rPr>
                <w:rFonts w:hint="eastAsia" w:ascii="Times New Roman" w:hAnsi="Times New Roman" w:cs="宋体"/>
                <w:kern w:val="2"/>
                <w:szCs w:val="24"/>
                <w:lang w:val="en-US"/>
              </w:rPr>
              <w:t>境保</w:t>
            </w:r>
          </w:p>
          <w:p>
            <w:pPr>
              <w:pStyle w:val="12"/>
              <w:adjustRightInd w:val="0"/>
              <w:snapToGrid w:val="0"/>
              <w:spacing w:before="0" w:beforeAutospacing="0" w:after="0" w:afterAutospacing="0"/>
              <w:jc w:val="center"/>
              <w:rPr>
                <w:rFonts w:ascii="Times New Roman" w:hAnsi="Times New Roman" w:cs="宋体"/>
                <w:kern w:val="2"/>
                <w:szCs w:val="24"/>
                <w:lang w:val="en-US"/>
              </w:rPr>
            </w:pPr>
            <w:r>
              <w:rPr>
                <w:rFonts w:hint="eastAsia" w:ascii="Times New Roman" w:hAnsi="Times New Roman" w:cs="宋体"/>
                <w:kern w:val="2"/>
                <w:szCs w:val="24"/>
                <w:lang w:val="en-US"/>
              </w:rPr>
              <w:t>护措</w:t>
            </w:r>
          </w:p>
          <w:p>
            <w:pPr>
              <w:pStyle w:val="12"/>
              <w:adjustRightInd w:val="0"/>
              <w:snapToGrid w:val="0"/>
              <w:spacing w:before="0" w:beforeAutospacing="0" w:after="0" w:afterAutospacing="0"/>
              <w:jc w:val="center"/>
              <w:rPr>
                <w:rFonts w:ascii="Times New Roman" w:hAnsi="Times New Roman" w:cs="宋体"/>
                <w:bCs/>
                <w:kern w:val="2"/>
                <w:szCs w:val="24"/>
                <w:lang w:val="en-US"/>
              </w:rPr>
            </w:pPr>
            <w:r>
              <w:rPr>
                <w:rFonts w:hint="eastAsia" w:ascii="Times New Roman" w:hAnsi="Times New Roman" w:cs="宋体"/>
                <w:kern w:val="2"/>
                <w:szCs w:val="24"/>
                <w:lang w:val="en-US"/>
              </w:rPr>
              <w:t>施</w:t>
            </w:r>
          </w:p>
        </w:tc>
        <w:tc>
          <w:tcPr>
            <w:tcW w:w="8787" w:type="dxa"/>
            <w:vAlign w:val="center"/>
          </w:tcPr>
          <w:p>
            <w:pPr>
              <w:pStyle w:val="38"/>
              <w:ind w:firstLine="480"/>
              <w:jc w:val="both"/>
              <w:rPr>
                <w:color w:val="000000"/>
              </w:rPr>
            </w:pPr>
            <w:r>
              <w:rPr>
                <w:rFonts w:hint="eastAsia"/>
                <w:color w:val="000000"/>
              </w:rPr>
              <w:t>本项目为新建砂石加工项目。项目施工期间平整场地、修建厂房、设备安装等将对周围环境造成一定影响，因此施工期对环境的影响不容忽视。评价要求项目在施工期应该合理安排施工时间，确保不对周围居民造成影响。下面论述施工期影响：</w:t>
            </w:r>
          </w:p>
          <w:p>
            <w:pPr>
              <w:pStyle w:val="38"/>
              <w:ind w:firstLine="480"/>
              <w:jc w:val="both"/>
              <w:rPr>
                <w:color w:val="000000"/>
              </w:rPr>
            </w:pPr>
            <w:r>
              <w:rPr>
                <w:rFonts w:hint="eastAsia"/>
                <w:color w:val="000000"/>
              </w:rPr>
              <w:t>项目施工期产生的污染物主要有施工扬尘、施工机械尾气、建筑废物、生活垃圾、施工场地废水、生活污水和施工噪声等。</w:t>
            </w:r>
          </w:p>
          <w:p>
            <w:pPr>
              <w:pStyle w:val="38"/>
              <w:ind w:firstLine="482"/>
              <w:jc w:val="both"/>
              <w:rPr>
                <w:b/>
                <w:color w:val="000000"/>
              </w:rPr>
            </w:pPr>
            <w:r>
              <w:rPr>
                <w:rFonts w:hint="eastAsia"/>
                <w:b/>
                <w:color w:val="000000"/>
              </w:rPr>
              <w:t>1、废气防治措施</w:t>
            </w:r>
          </w:p>
          <w:p>
            <w:pPr>
              <w:pStyle w:val="38"/>
              <w:ind w:firstLine="480"/>
              <w:jc w:val="both"/>
              <w:rPr>
                <w:color w:val="000000"/>
              </w:rPr>
            </w:pPr>
            <w:r>
              <w:rPr>
                <w:rFonts w:hint="eastAsia"/>
                <w:color w:val="000000"/>
              </w:rPr>
              <w:t>施工期大气污染物主要来自施工扬尘、施工机械尾气，项目设备均为成套设备，需要现场焊接量较小。</w:t>
            </w:r>
          </w:p>
          <w:p>
            <w:pPr>
              <w:pStyle w:val="38"/>
              <w:ind w:firstLine="480"/>
              <w:jc w:val="both"/>
              <w:rPr>
                <w:color w:val="000000"/>
              </w:rPr>
            </w:pPr>
            <w:r>
              <w:rPr>
                <w:rFonts w:hint="eastAsia"/>
                <w:color w:val="000000"/>
              </w:rPr>
              <w:t>（1）施工扬尘</w:t>
            </w:r>
          </w:p>
          <w:p>
            <w:pPr>
              <w:pStyle w:val="38"/>
              <w:ind w:firstLine="480"/>
              <w:jc w:val="both"/>
              <w:rPr>
                <w:color w:val="000000"/>
              </w:rPr>
            </w:pPr>
            <w:r>
              <w:rPr>
                <w:rFonts w:hint="eastAsia"/>
                <w:color w:val="000000"/>
              </w:rPr>
              <w:t>施工扬尘按起尘的原因可分为风力起尘和动力起尘。风力起尘主要是由于露天堆放的建材及裸露的施工区表层浮尘因天气干燥及大风，产生的风力扬尘；动力起尘主要是在建材的装卸、运输过程中，尘粒由于外力导致再悬浮而造成，其中车辆（特别是渣土车）运输造成的扬尘最为严重。根据相关规定分析，车辆行驶产生的道路扬尘占施工总扬尘的60%以上。</w:t>
            </w:r>
          </w:p>
          <w:p>
            <w:pPr>
              <w:pStyle w:val="38"/>
              <w:ind w:firstLine="480"/>
              <w:jc w:val="both"/>
              <w:rPr>
                <w:color w:val="000000"/>
              </w:rPr>
            </w:pPr>
            <w:r>
              <w:rPr>
                <w:rFonts w:hint="eastAsia"/>
                <w:color w:val="000000"/>
              </w:rPr>
              <w:t>为有效减少施工期产生的扬尘污染，环评要求建设方在施工建设中做到规范管理，文明施工，全面督察建设工地现场管理“六必须”、“六不准”执行情况，即：必须打围作业、必须硬化道路、必须设置冲洗设施、必须湿法作业、必须配齐保洁人员、必须定时清扫施工现场，不准车辆带泥出门、不准运渣车辆冒顶装载、不准高空抛洒建渣、不准现场搅拌混凝土、不准场地积水、不准现场焚烧废弃物。具体要求采取的扬尘防治措施如下：</w:t>
            </w:r>
          </w:p>
          <w:p>
            <w:pPr>
              <w:pStyle w:val="38"/>
              <w:ind w:firstLine="480"/>
              <w:jc w:val="both"/>
              <w:rPr>
                <w:color w:val="000000"/>
              </w:rPr>
            </w:pPr>
            <w:r>
              <w:rPr>
                <w:rFonts w:hint="eastAsia"/>
                <w:color w:val="000000"/>
              </w:rPr>
              <w:t>①道路扬尘</w:t>
            </w:r>
          </w:p>
          <w:p>
            <w:pPr>
              <w:pStyle w:val="38"/>
              <w:ind w:firstLine="480"/>
              <w:jc w:val="both"/>
              <w:rPr>
                <w:color w:val="000000"/>
              </w:rPr>
            </w:pPr>
            <w:r>
              <w:rPr>
                <w:rFonts w:hint="eastAsia"/>
                <w:color w:val="000000"/>
              </w:rPr>
              <w:t>项目施工时，施工车辆进出施工场地将产生一定量的车辆行驶扬尘。在同样路面清洁程度条件下，车速越快，扬尘量越大；而在同样车速情况下，路面集尘越多，则扬尘量越大。</w:t>
            </w:r>
          </w:p>
          <w:p>
            <w:pPr>
              <w:pStyle w:val="38"/>
              <w:ind w:firstLine="480"/>
              <w:jc w:val="both"/>
              <w:rPr>
                <w:color w:val="000000"/>
              </w:rPr>
            </w:pPr>
            <w:r>
              <w:rPr>
                <w:rFonts w:hint="eastAsia"/>
                <w:color w:val="000000"/>
              </w:rPr>
              <w:t>针对道路扬尘，环评要求采取以下治理措施：</w:t>
            </w:r>
          </w:p>
          <w:p>
            <w:pPr>
              <w:pStyle w:val="38"/>
              <w:ind w:firstLine="480"/>
              <w:jc w:val="both"/>
              <w:rPr>
                <w:color w:val="000000"/>
              </w:rPr>
            </w:pPr>
            <w:r>
              <w:rPr>
                <w:rFonts w:hint="eastAsia"/>
                <w:color w:val="000000"/>
              </w:rPr>
              <w:t>A、场地内道路应硬化，并加强清扫、洒水；</w:t>
            </w:r>
          </w:p>
          <w:p>
            <w:pPr>
              <w:pStyle w:val="38"/>
              <w:ind w:firstLine="480"/>
              <w:jc w:val="both"/>
              <w:rPr>
                <w:color w:val="000000"/>
              </w:rPr>
            </w:pPr>
            <w:r>
              <w:rPr>
                <w:rFonts w:hint="eastAsia"/>
                <w:color w:val="000000"/>
              </w:rPr>
              <w:t>B、场地出入口设置清洗槽，驶出场地车辆必须将车轮泥沙清洗干净；</w:t>
            </w:r>
          </w:p>
          <w:p>
            <w:pPr>
              <w:pStyle w:val="38"/>
              <w:ind w:firstLine="480"/>
              <w:jc w:val="both"/>
              <w:rPr>
                <w:color w:val="000000"/>
              </w:rPr>
            </w:pPr>
            <w:r>
              <w:rPr>
                <w:rFonts w:hint="eastAsia"/>
                <w:color w:val="000000"/>
              </w:rPr>
              <w:t>C、建筑垃圾、弃土运输车辆应加蓬盖，并不得超载，以防止垃圾、土石沿途洒落，遭碾压产生扬尘；</w:t>
            </w:r>
          </w:p>
          <w:p>
            <w:pPr>
              <w:pStyle w:val="38"/>
              <w:ind w:firstLine="480"/>
              <w:jc w:val="both"/>
              <w:rPr>
                <w:color w:val="000000"/>
              </w:rPr>
            </w:pPr>
            <w:r>
              <w:rPr>
                <w:rFonts w:hint="eastAsia"/>
                <w:color w:val="000000"/>
              </w:rPr>
              <w:t>D、运输车辆不得超速行驶，防止带起更多扬尘。</w:t>
            </w:r>
          </w:p>
          <w:p>
            <w:pPr>
              <w:pStyle w:val="38"/>
              <w:ind w:firstLine="480"/>
              <w:jc w:val="both"/>
              <w:rPr>
                <w:color w:val="000000"/>
              </w:rPr>
            </w:pPr>
            <w:r>
              <w:rPr>
                <w:rFonts w:hint="eastAsia"/>
                <w:color w:val="000000"/>
              </w:rPr>
              <w:t>采取上述措施后，项目产生的道路扬尘对环境影响较小。</w:t>
            </w:r>
          </w:p>
          <w:p>
            <w:pPr>
              <w:pStyle w:val="38"/>
              <w:ind w:firstLine="480"/>
              <w:jc w:val="both"/>
              <w:rPr>
                <w:color w:val="000000"/>
              </w:rPr>
            </w:pPr>
            <w:r>
              <w:rPr>
                <w:rFonts w:hint="eastAsia"/>
                <w:color w:val="000000"/>
              </w:rPr>
              <w:t>②装卸及风力扬尘</w:t>
            </w:r>
          </w:p>
          <w:p>
            <w:pPr>
              <w:pStyle w:val="38"/>
              <w:ind w:firstLine="480"/>
              <w:jc w:val="both"/>
              <w:rPr>
                <w:color w:val="000000"/>
              </w:rPr>
            </w:pPr>
            <w:r>
              <w:rPr>
                <w:rFonts w:hint="eastAsia"/>
                <w:color w:val="000000"/>
              </w:rPr>
              <w:t>根据现场踏勘，场地弃方含水率较高，在基地开挖、渣土装卸时产生的扬尘较少。针对建材堆放等，评价要求装卸时采用湿法作业，以降低扬尘产生量。</w:t>
            </w:r>
          </w:p>
          <w:p>
            <w:pPr>
              <w:pStyle w:val="38"/>
              <w:ind w:firstLine="480"/>
              <w:jc w:val="both"/>
              <w:rPr>
                <w:color w:val="000000"/>
              </w:rPr>
            </w:pPr>
            <w:r>
              <w:rPr>
                <w:rFonts w:hint="eastAsia"/>
                <w:color w:val="000000"/>
              </w:rPr>
              <w:t>项目施工场地遇到起风天气将产生一定量的堆场扬尘。尘粒在空气中的传播扩散情况与风速等气象条件有关，也与尘粒本身的沉降速度有关。评价要求对施工场地进行洒水降尘。</w:t>
            </w:r>
          </w:p>
          <w:p>
            <w:pPr>
              <w:pStyle w:val="38"/>
              <w:ind w:firstLine="480"/>
              <w:jc w:val="both"/>
              <w:rPr>
                <w:color w:val="000000"/>
              </w:rPr>
            </w:pPr>
            <w:r>
              <w:rPr>
                <w:rFonts w:hint="eastAsia"/>
                <w:color w:val="000000"/>
              </w:rPr>
              <w:t>（2）施工机械尾气</w:t>
            </w:r>
          </w:p>
          <w:p>
            <w:pPr>
              <w:pStyle w:val="38"/>
              <w:ind w:firstLine="480"/>
              <w:jc w:val="both"/>
              <w:rPr>
                <w:color w:val="000000"/>
              </w:rPr>
            </w:pPr>
            <w:r>
              <w:rPr>
                <w:rFonts w:hint="eastAsia"/>
                <w:color w:val="000000"/>
              </w:rPr>
              <w:t>施工期间，使用机动车运送原材料、设备和建筑机械设备的运转，均会排放一定量的CO、NO</w:t>
            </w:r>
            <w:r>
              <w:rPr>
                <w:rFonts w:hint="eastAsia"/>
                <w:color w:val="000000"/>
                <w:vertAlign w:val="subscript"/>
              </w:rPr>
              <w:t>x</w:t>
            </w:r>
            <w:r>
              <w:rPr>
                <w:rFonts w:hint="eastAsia"/>
                <w:color w:val="000000"/>
              </w:rPr>
              <w:t>以及未完全燃烧的THC等，其特点是排放量小，且属间断性无组织排放。由于其这一特点，加之项目施工场地周边植被覆盖度较高，扩散条件良好，评价要求在保证施工机械达标排放的情况下，进一步加强施工设备的维护保养，以降低尾气对环境的而影响。</w:t>
            </w:r>
          </w:p>
          <w:p>
            <w:pPr>
              <w:pStyle w:val="38"/>
              <w:ind w:firstLine="480"/>
              <w:jc w:val="both"/>
              <w:rPr>
                <w:color w:val="000000"/>
              </w:rPr>
            </w:pPr>
            <w:r>
              <w:rPr>
                <w:rFonts w:hint="eastAsia"/>
                <w:color w:val="000000"/>
              </w:rPr>
              <w:t>（3）焊接烟尘</w:t>
            </w:r>
          </w:p>
          <w:p>
            <w:pPr>
              <w:pStyle w:val="38"/>
              <w:ind w:firstLine="480"/>
              <w:jc w:val="both"/>
              <w:rPr>
                <w:color w:val="000000"/>
              </w:rPr>
            </w:pPr>
            <w:r>
              <w:rPr>
                <w:rFonts w:hint="eastAsia"/>
                <w:color w:val="000000"/>
              </w:rPr>
              <w:t>项目所购买设备均为成套设备，需要现场焊接部分主要为输送带支架、设备封闭支架、洒水降尘系统等，焊接量较少，产生的焊接烟尘较少。</w:t>
            </w:r>
          </w:p>
          <w:p>
            <w:pPr>
              <w:pStyle w:val="38"/>
              <w:ind w:firstLine="482"/>
              <w:jc w:val="both"/>
              <w:rPr>
                <w:b/>
                <w:color w:val="000000"/>
              </w:rPr>
            </w:pPr>
            <w:r>
              <w:rPr>
                <w:rFonts w:hint="eastAsia"/>
                <w:b/>
                <w:color w:val="000000"/>
              </w:rPr>
              <w:t>2、废水防治措施</w:t>
            </w:r>
          </w:p>
          <w:p>
            <w:pPr>
              <w:pStyle w:val="38"/>
              <w:ind w:firstLine="480"/>
              <w:jc w:val="both"/>
              <w:rPr>
                <w:color w:val="000000"/>
              </w:rPr>
            </w:pPr>
            <w:r>
              <w:rPr>
                <w:rFonts w:hint="eastAsia"/>
                <w:color w:val="000000"/>
              </w:rPr>
              <w:t>项目施工期产生的废水主要是工地生活污水和施工场地废水。</w:t>
            </w:r>
          </w:p>
          <w:p>
            <w:pPr>
              <w:pStyle w:val="38"/>
              <w:ind w:firstLine="480"/>
              <w:jc w:val="both"/>
              <w:rPr>
                <w:color w:val="000000"/>
              </w:rPr>
            </w:pPr>
            <w:r>
              <w:rPr>
                <w:rFonts w:hint="eastAsia"/>
                <w:color w:val="000000"/>
              </w:rPr>
              <w:t>（1）工地生活污水</w:t>
            </w:r>
          </w:p>
          <w:p>
            <w:pPr>
              <w:pStyle w:val="38"/>
              <w:ind w:firstLine="480"/>
              <w:jc w:val="both"/>
              <w:rPr>
                <w:color w:val="000000"/>
              </w:rPr>
            </w:pPr>
            <w:r>
              <w:rPr>
                <w:rFonts w:hint="eastAsia"/>
                <w:color w:val="000000"/>
              </w:rPr>
              <w:t>施工单位不同时进入现场，而是根据工程安排，分批入驻工地，因此，一般情况下施工人员及工地管理人员按最大估算，约</w:t>
            </w:r>
            <w:r>
              <w:rPr>
                <w:color w:val="000000"/>
              </w:rPr>
              <w:t>30</w:t>
            </w:r>
            <w:r>
              <w:rPr>
                <w:rFonts w:hint="eastAsia"/>
                <w:color w:val="000000"/>
              </w:rPr>
              <w:t>人，按每人每天耗水0.10m</w:t>
            </w:r>
            <w:r>
              <w:rPr>
                <w:rFonts w:hint="eastAsia"/>
                <w:color w:val="000000"/>
                <w:vertAlign w:val="superscript"/>
              </w:rPr>
              <w:t>3</w:t>
            </w:r>
            <w:r>
              <w:rPr>
                <w:rFonts w:hint="eastAsia"/>
                <w:color w:val="000000"/>
              </w:rPr>
              <w:t>计，生活用水量约为</w:t>
            </w:r>
            <w:r>
              <w:rPr>
                <w:color w:val="000000"/>
              </w:rPr>
              <w:t>3</w:t>
            </w:r>
            <w:r>
              <w:rPr>
                <w:rFonts w:hint="eastAsia"/>
                <w:color w:val="000000"/>
              </w:rPr>
              <w:t>m</w:t>
            </w:r>
            <w:r>
              <w:rPr>
                <w:rFonts w:hint="eastAsia"/>
                <w:color w:val="000000"/>
                <w:vertAlign w:val="superscript"/>
              </w:rPr>
              <w:t>3</w:t>
            </w:r>
            <w:r>
              <w:rPr>
                <w:rFonts w:hint="eastAsia"/>
                <w:color w:val="000000"/>
              </w:rPr>
              <w:t>/d，生活污水排放量以用水量的90%计，则生活污水排放量为2</w:t>
            </w:r>
            <w:r>
              <w:rPr>
                <w:color w:val="000000"/>
              </w:rPr>
              <w:t>.7</w:t>
            </w:r>
            <w:r>
              <w:rPr>
                <w:rFonts w:hint="eastAsia"/>
                <w:color w:val="000000"/>
              </w:rPr>
              <w:t>m</w:t>
            </w:r>
            <w:r>
              <w:rPr>
                <w:rFonts w:hint="eastAsia"/>
                <w:color w:val="000000"/>
                <w:vertAlign w:val="superscript"/>
              </w:rPr>
              <w:t>3</w:t>
            </w:r>
            <w:r>
              <w:rPr>
                <w:rFonts w:hint="eastAsia"/>
                <w:color w:val="000000"/>
              </w:rPr>
              <w:t>/d。生活污水中主要污染物浓度COD为</w:t>
            </w:r>
            <w:r>
              <w:rPr>
                <w:color w:val="000000"/>
              </w:rPr>
              <w:t>3</w:t>
            </w:r>
            <w:r>
              <w:rPr>
                <w:rFonts w:hint="eastAsia"/>
                <w:color w:val="000000"/>
              </w:rPr>
              <w:t>5</w:t>
            </w:r>
            <w:r>
              <w:rPr>
                <w:color w:val="000000"/>
              </w:rPr>
              <w:t>0mg/L</w:t>
            </w:r>
            <w:r>
              <w:rPr>
                <w:rFonts w:hint="eastAsia"/>
                <w:color w:val="000000"/>
              </w:rPr>
              <w:t>，BOD</w:t>
            </w:r>
            <w:r>
              <w:rPr>
                <w:rFonts w:hint="eastAsia"/>
                <w:color w:val="000000"/>
                <w:vertAlign w:val="subscript"/>
              </w:rPr>
              <w:t>5</w:t>
            </w:r>
            <w:r>
              <w:rPr>
                <w:rFonts w:hint="eastAsia"/>
                <w:color w:val="000000"/>
              </w:rPr>
              <w:t>为20</w:t>
            </w:r>
            <w:r>
              <w:rPr>
                <w:color w:val="000000"/>
              </w:rPr>
              <w:t>0mg/L</w:t>
            </w:r>
            <w:r>
              <w:rPr>
                <w:rFonts w:hint="eastAsia"/>
                <w:color w:val="000000"/>
              </w:rPr>
              <w:t>，NH</w:t>
            </w:r>
            <w:r>
              <w:rPr>
                <w:rFonts w:hint="eastAsia"/>
                <w:color w:val="000000"/>
                <w:vertAlign w:val="subscript"/>
              </w:rPr>
              <w:t>3</w:t>
            </w:r>
            <w:r>
              <w:rPr>
                <w:rFonts w:hint="eastAsia"/>
                <w:color w:val="000000"/>
              </w:rPr>
              <w:t>-N为35mg/L，产生量分别为1.575kg</w:t>
            </w:r>
            <w:r>
              <w:rPr>
                <w:color w:val="000000"/>
              </w:rPr>
              <w:t>/</w:t>
            </w:r>
            <w:r>
              <w:rPr>
                <w:rFonts w:hint="eastAsia"/>
                <w:color w:val="000000"/>
              </w:rPr>
              <w:t>d、0.9kg</w:t>
            </w:r>
            <w:r>
              <w:rPr>
                <w:color w:val="000000"/>
              </w:rPr>
              <w:t>/</w:t>
            </w:r>
            <w:r>
              <w:rPr>
                <w:rFonts w:hint="eastAsia"/>
                <w:color w:val="000000"/>
              </w:rPr>
              <w:t>d、0.158kg</w:t>
            </w:r>
            <w:r>
              <w:rPr>
                <w:color w:val="000000"/>
              </w:rPr>
              <w:t>/</w:t>
            </w:r>
            <w:r>
              <w:rPr>
                <w:rFonts w:hint="eastAsia"/>
                <w:color w:val="000000"/>
              </w:rPr>
              <w:t>d。</w:t>
            </w:r>
            <w:r>
              <w:rPr>
                <w:rFonts w:hint="eastAsia"/>
              </w:rPr>
              <w:t>项目</w:t>
            </w:r>
            <w:r>
              <w:rPr>
                <w:rFonts w:hint="eastAsia" w:ascii="Calibri" w:hAnsi="宋体" w:cs="宋体"/>
                <w:color w:val="000000"/>
                <w:szCs w:val="21"/>
              </w:rPr>
              <w:t>施工期生活污水依托周边既有污水处理设施处理</w:t>
            </w:r>
            <w:r>
              <w:rPr>
                <w:rFonts w:hint="eastAsia"/>
              </w:rPr>
              <w:t>。</w:t>
            </w:r>
          </w:p>
          <w:p>
            <w:pPr>
              <w:pStyle w:val="38"/>
              <w:ind w:firstLine="480"/>
              <w:jc w:val="both"/>
              <w:rPr>
                <w:color w:val="000000"/>
              </w:rPr>
            </w:pPr>
            <w:r>
              <w:rPr>
                <w:rFonts w:hint="eastAsia"/>
                <w:color w:val="000000"/>
              </w:rPr>
              <w:t>（2）施工场地废水</w:t>
            </w:r>
          </w:p>
          <w:p>
            <w:pPr>
              <w:pStyle w:val="38"/>
              <w:ind w:firstLine="480"/>
              <w:jc w:val="both"/>
              <w:rPr>
                <w:color w:val="000000"/>
              </w:rPr>
            </w:pPr>
            <w:r>
              <w:rPr>
                <w:rFonts w:hint="eastAsia"/>
                <w:color w:val="000000"/>
              </w:rPr>
              <w:t>施工场地废水为场地冲洗废水、轮胎冲洗废水以及土建过程中遇雨水冲刷产生的废水，虽然排放量不大，但若未经处理直接排放会造成附近地表水体的污染影响。施工期预计每天产生施工废水0.8m</w:t>
            </w:r>
            <w:r>
              <w:rPr>
                <w:rFonts w:hint="eastAsia"/>
                <w:color w:val="000000"/>
                <w:vertAlign w:val="superscript"/>
              </w:rPr>
              <w:t>3</w:t>
            </w:r>
            <w:r>
              <w:rPr>
                <w:rFonts w:hint="eastAsia"/>
                <w:color w:val="000000"/>
              </w:rPr>
              <w:t>，主要污染因子为SS，浓度为400-1000mg/L。评价要求施工时应设置沉淀池，施工场地废水经沉淀处理后循环用于洒水降尘和车辆冲洗，项目产生废水不外排，不会对当地的环境造成较大影响。</w:t>
            </w:r>
          </w:p>
          <w:p>
            <w:pPr>
              <w:pStyle w:val="38"/>
              <w:ind w:firstLine="482"/>
              <w:jc w:val="both"/>
              <w:rPr>
                <w:b/>
                <w:color w:val="000000"/>
              </w:rPr>
            </w:pPr>
            <w:r>
              <w:rPr>
                <w:rFonts w:hint="eastAsia"/>
                <w:b/>
                <w:color w:val="000000"/>
              </w:rPr>
              <w:t>3、噪声防治措施</w:t>
            </w:r>
          </w:p>
          <w:p>
            <w:pPr>
              <w:pStyle w:val="38"/>
              <w:ind w:firstLine="480"/>
              <w:jc w:val="both"/>
              <w:rPr>
                <w:color w:val="000000"/>
              </w:rPr>
            </w:pPr>
            <w:r>
              <w:rPr>
                <w:color w:val="000000"/>
              </w:rPr>
              <w:t>项目施工期噪声主要包括各种建筑机械噪声、设备安装噪声和运输车辆噪声，声级一般在75～110dB。由于这些设备的运行是间歇性的，因此其所产生的噪声也是间歇性和短暂性的。施工机械源强噪声值见表4-1。</w:t>
            </w:r>
          </w:p>
          <w:p>
            <w:pPr>
              <w:wordWrap w:val="0"/>
              <w:adjustRightInd w:val="0"/>
              <w:snapToGrid w:val="0"/>
              <w:ind w:firstLine="422" w:firstLineChars="200"/>
              <w:jc w:val="center"/>
              <w:rPr>
                <w:b/>
                <w:color w:val="000000"/>
                <w:szCs w:val="21"/>
              </w:rPr>
            </w:pPr>
            <w:r>
              <w:rPr>
                <w:b/>
                <w:color w:val="000000"/>
                <w:szCs w:val="21"/>
              </w:rPr>
              <w:t>表</w:t>
            </w:r>
            <w:r>
              <w:rPr>
                <w:rFonts w:hint="eastAsia"/>
                <w:b/>
                <w:color w:val="000000"/>
                <w:szCs w:val="21"/>
              </w:rPr>
              <w:t>4</w:t>
            </w:r>
            <w:r>
              <w:rPr>
                <w:b/>
                <w:color w:val="000000"/>
                <w:szCs w:val="21"/>
              </w:rPr>
              <w:t>-1 施工期噪声声源强度表</w:t>
            </w:r>
          </w:p>
          <w:tbl>
            <w:tblPr>
              <w:tblStyle w:val="14"/>
              <w:tblW w:w="844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13"/>
              <w:gridCol w:w="2814"/>
              <w:gridCol w:w="281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vAlign w:val="center"/>
                </w:tcPr>
                <w:p>
                  <w:pPr>
                    <w:pStyle w:val="36"/>
                    <w:rPr>
                      <w:b/>
                      <w:color w:val="000000"/>
                    </w:rPr>
                  </w:pPr>
                  <w:r>
                    <w:rPr>
                      <w:b/>
                      <w:color w:val="000000"/>
                    </w:rPr>
                    <w:t>施工</w:t>
                  </w:r>
                </w:p>
              </w:tc>
              <w:tc>
                <w:tcPr>
                  <w:tcW w:w="2814" w:type="dxa"/>
                  <w:vAlign w:val="center"/>
                </w:tcPr>
                <w:p>
                  <w:pPr>
                    <w:pStyle w:val="36"/>
                    <w:rPr>
                      <w:b/>
                      <w:color w:val="000000"/>
                    </w:rPr>
                  </w:pPr>
                  <w:r>
                    <w:rPr>
                      <w:b/>
                      <w:color w:val="000000"/>
                    </w:rPr>
                    <w:t>声源</w:t>
                  </w:r>
                </w:p>
              </w:tc>
              <w:tc>
                <w:tcPr>
                  <w:tcW w:w="2814" w:type="dxa"/>
                  <w:vAlign w:val="center"/>
                </w:tcPr>
                <w:p>
                  <w:pPr>
                    <w:pStyle w:val="36"/>
                    <w:rPr>
                      <w:b/>
                      <w:color w:val="000000"/>
                    </w:rPr>
                  </w:pPr>
                  <w:r>
                    <w:rPr>
                      <w:b/>
                      <w:color w:val="000000"/>
                    </w:rPr>
                    <w:t>声源强度dB(A)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vMerge w:val="restart"/>
                  <w:vAlign w:val="center"/>
                </w:tcPr>
                <w:p>
                  <w:pPr>
                    <w:pStyle w:val="36"/>
                    <w:rPr>
                      <w:color w:val="000000"/>
                    </w:rPr>
                  </w:pPr>
                  <w:r>
                    <w:rPr>
                      <w:color w:val="000000"/>
                    </w:rPr>
                    <w:t>平整场地</w:t>
                  </w:r>
                </w:p>
              </w:tc>
              <w:tc>
                <w:tcPr>
                  <w:tcW w:w="2814" w:type="dxa"/>
                  <w:vAlign w:val="center"/>
                </w:tcPr>
                <w:p>
                  <w:pPr>
                    <w:pStyle w:val="36"/>
                    <w:rPr>
                      <w:color w:val="000000"/>
                    </w:rPr>
                  </w:pPr>
                  <w:r>
                    <w:rPr>
                      <w:color w:val="000000"/>
                    </w:rPr>
                    <w:t>挖掘机</w:t>
                  </w:r>
                </w:p>
              </w:tc>
              <w:tc>
                <w:tcPr>
                  <w:tcW w:w="2814" w:type="dxa"/>
                  <w:vAlign w:val="center"/>
                </w:tcPr>
                <w:p>
                  <w:pPr>
                    <w:pStyle w:val="36"/>
                    <w:rPr>
                      <w:color w:val="000000"/>
                    </w:rPr>
                  </w:pPr>
                  <w:r>
                    <w:rPr>
                      <w:color w:val="000000"/>
                    </w:rPr>
                    <w:t>82-90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vMerge w:val="continue"/>
                  <w:vAlign w:val="center"/>
                </w:tcPr>
                <w:p>
                  <w:pPr>
                    <w:pStyle w:val="36"/>
                    <w:rPr>
                      <w:color w:val="000000"/>
                    </w:rPr>
                  </w:pPr>
                </w:p>
              </w:tc>
              <w:tc>
                <w:tcPr>
                  <w:tcW w:w="2814" w:type="dxa"/>
                  <w:vAlign w:val="center"/>
                </w:tcPr>
                <w:p>
                  <w:pPr>
                    <w:pStyle w:val="36"/>
                    <w:rPr>
                      <w:color w:val="000000"/>
                    </w:rPr>
                  </w:pPr>
                  <w:r>
                    <w:rPr>
                      <w:color w:val="000000"/>
                    </w:rPr>
                    <w:t>装载机</w:t>
                  </w:r>
                </w:p>
              </w:tc>
              <w:tc>
                <w:tcPr>
                  <w:tcW w:w="2814" w:type="dxa"/>
                  <w:vAlign w:val="center"/>
                </w:tcPr>
                <w:p>
                  <w:pPr>
                    <w:pStyle w:val="36"/>
                    <w:rPr>
                      <w:color w:val="000000"/>
                    </w:rPr>
                  </w:pPr>
                  <w:r>
                    <w:rPr>
                      <w:color w:val="000000"/>
                    </w:rPr>
                    <w:t>90-95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vAlign w:val="center"/>
                </w:tcPr>
                <w:p>
                  <w:pPr>
                    <w:pStyle w:val="36"/>
                    <w:rPr>
                      <w:color w:val="000000"/>
                    </w:rPr>
                  </w:pPr>
                  <w:r>
                    <w:rPr>
                      <w:color w:val="000000"/>
                    </w:rPr>
                    <w:t>基础开挖</w:t>
                  </w:r>
                </w:p>
              </w:tc>
              <w:tc>
                <w:tcPr>
                  <w:tcW w:w="2814" w:type="dxa"/>
                  <w:vAlign w:val="center"/>
                </w:tcPr>
                <w:p>
                  <w:pPr>
                    <w:pStyle w:val="36"/>
                    <w:rPr>
                      <w:color w:val="000000"/>
                    </w:rPr>
                  </w:pPr>
                  <w:r>
                    <w:rPr>
                      <w:color w:val="000000"/>
                    </w:rPr>
                    <w:t>静压式打柱机</w:t>
                  </w:r>
                </w:p>
              </w:tc>
              <w:tc>
                <w:tcPr>
                  <w:tcW w:w="2814" w:type="dxa"/>
                  <w:vAlign w:val="center"/>
                </w:tcPr>
                <w:p>
                  <w:pPr>
                    <w:pStyle w:val="36"/>
                    <w:rPr>
                      <w:color w:val="000000"/>
                    </w:rPr>
                  </w:pPr>
                  <w:r>
                    <w:rPr>
                      <w:color w:val="000000"/>
                    </w:rPr>
                    <w:t>85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vMerge w:val="restart"/>
                  <w:vAlign w:val="center"/>
                </w:tcPr>
                <w:p>
                  <w:pPr>
                    <w:pStyle w:val="36"/>
                    <w:rPr>
                      <w:color w:val="000000"/>
                    </w:rPr>
                  </w:pPr>
                  <w:r>
                    <w:rPr>
                      <w:color w:val="000000"/>
                    </w:rPr>
                    <w:t>主体、附属工程</w:t>
                  </w:r>
                </w:p>
              </w:tc>
              <w:tc>
                <w:tcPr>
                  <w:tcW w:w="2814" w:type="dxa"/>
                  <w:vAlign w:val="center"/>
                </w:tcPr>
                <w:p>
                  <w:pPr>
                    <w:pStyle w:val="36"/>
                    <w:rPr>
                      <w:color w:val="000000"/>
                    </w:rPr>
                  </w:pPr>
                  <w:r>
                    <w:rPr>
                      <w:color w:val="000000"/>
                    </w:rPr>
                    <w:t>混凝土振捣棒</w:t>
                  </w:r>
                </w:p>
              </w:tc>
              <w:tc>
                <w:tcPr>
                  <w:tcW w:w="2814" w:type="dxa"/>
                  <w:vAlign w:val="center"/>
                </w:tcPr>
                <w:p>
                  <w:pPr>
                    <w:pStyle w:val="36"/>
                    <w:rPr>
                      <w:color w:val="000000"/>
                    </w:rPr>
                  </w:pPr>
                  <w:r>
                    <w:rPr>
                      <w:color w:val="000000"/>
                    </w:rPr>
                    <w:t>70-90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vMerge w:val="continue"/>
                  <w:vAlign w:val="center"/>
                </w:tcPr>
                <w:p>
                  <w:pPr>
                    <w:pStyle w:val="36"/>
                    <w:rPr>
                      <w:color w:val="000000"/>
                    </w:rPr>
                  </w:pPr>
                </w:p>
              </w:tc>
              <w:tc>
                <w:tcPr>
                  <w:tcW w:w="2814" w:type="dxa"/>
                  <w:vAlign w:val="center"/>
                </w:tcPr>
                <w:p>
                  <w:pPr>
                    <w:pStyle w:val="36"/>
                    <w:rPr>
                      <w:color w:val="000000"/>
                    </w:rPr>
                  </w:pPr>
                  <w:r>
                    <w:rPr>
                      <w:color w:val="000000"/>
                    </w:rPr>
                    <w:t>混凝土输送泵</w:t>
                  </w:r>
                </w:p>
              </w:tc>
              <w:tc>
                <w:tcPr>
                  <w:tcW w:w="2814" w:type="dxa"/>
                  <w:vAlign w:val="center"/>
                </w:tcPr>
                <w:p>
                  <w:pPr>
                    <w:pStyle w:val="36"/>
                    <w:rPr>
                      <w:color w:val="000000"/>
                    </w:rPr>
                  </w:pPr>
                  <w:r>
                    <w:rPr>
                      <w:color w:val="000000"/>
                    </w:rPr>
                    <w:t>90-100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vMerge w:val="restart"/>
                  <w:vAlign w:val="center"/>
                </w:tcPr>
                <w:p>
                  <w:pPr>
                    <w:pStyle w:val="36"/>
                    <w:rPr>
                      <w:color w:val="000000"/>
                    </w:rPr>
                  </w:pPr>
                  <w:r>
                    <w:rPr>
                      <w:color w:val="000000"/>
                    </w:rPr>
                    <w:t>设备安装</w:t>
                  </w:r>
                </w:p>
              </w:tc>
              <w:tc>
                <w:tcPr>
                  <w:tcW w:w="2814" w:type="dxa"/>
                  <w:vAlign w:val="center"/>
                </w:tcPr>
                <w:p>
                  <w:pPr>
                    <w:pStyle w:val="36"/>
                    <w:rPr>
                      <w:color w:val="000000"/>
                    </w:rPr>
                  </w:pPr>
                  <w:r>
                    <w:rPr>
                      <w:color w:val="000000"/>
                    </w:rPr>
                    <w:t>冲击钻</w:t>
                  </w:r>
                </w:p>
              </w:tc>
              <w:tc>
                <w:tcPr>
                  <w:tcW w:w="2814" w:type="dxa"/>
                  <w:vAlign w:val="center"/>
                </w:tcPr>
                <w:p>
                  <w:pPr>
                    <w:pStyle w:val="36"/>
                    <w:rPr>
                      <w:color w:val="000000"/>
                    </w:rPr>
                  </w:pPr>
                  <w:r>
                    <w:rPr>
                      <w:color w:val="000000"/>
                    </w:rPr>
                    <w:t>95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vMerge w:val="continue"/>
                  <w:vAlign w:val="center"/>
                </w:tcPr>
                <w:p>
                  <w:pPr>
                    <w:pStyle w:val="36"/>
                    <w:rPr>
                      <w:color w:val="000000"/>
                    </w:rPr>
                  </w:pPr>
                </w:p>
              </w:tc>
              <w:tc>
                <w:tcPr>
                  <w:tcW w:w="2814" w:type="dxa"/>
                  <w:vAlign w:val="center"/>
                </w:tcPr>
                <w:p>
                  <w:pPr>
                    <w:pStyle w:val="36"/>
                    <w:rPr>
                      <w:color w:val="000000"/>
                    </w:rPr>
                  </w:pPr>
                  <w:r>
                    <w:rPr>
                      <w:color w:val="000000"/>
                    </w:rPr>
                    <w:t>手工钻</w:t>
                  </w:r>
                </w:p>
              </w:tc>
              <w:tc>
                <w:tcPr>
                  <w:tcW w:w="2814" w:type="dxa"/>
                  <w:vAlign w:val="center"/>
                </w:tcPr>
                <w:p>
                  <w:pPr>
                    <w:pStyle w:val="36"/>
                    <w:rPr>
                      <w:color w:val="000000"/>
                    </w:rPr>
                  </w:pPr>
                  <w:r>
                    <w:rPr>
                      <w:color w:val="000000"/>
                    </w:rPr>
                    <w:t>100-105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vMerge w:val="continue"/>
                  <w:vAlign w:val="center"/>
                </w:tcPr>
                <w:p>
                  <w:pPr>
                    <w:pStyle w:val="36"/>
                    <w:rPr>
                      <w:color w:val="000000"/>
                    </w:rPr>
                  </w:pPr>
                </w:p>
              </w:tc>
              <w:tc>
                <w:tcPr>
                  <w:tcW w:w="2814" w:type="dxa"/>
                  <w:vAlign w:val="center"/>
                </w:tcPr>
                <w:p>
                  <w:pPr>
                    <w:pStyle w:val="36"/>
                    <w:rPr>
                      <w:color w:val="000000"/>
                    </w:rPr>
                  </w:pPr>
                  <w:r>
                    <w:rPr>
                      <w:color w:val="000000"/>
                    </w:rPr>
                    <w:t>空压机</w:t>
                  </w:r>
                </w:p>
              </w:tc>
              <w:tc>
                <w:tcPr>
                  <w:tcW w:w="2814" w:type="dxa"/>
                  <w:vAlign w:val="center"/>
                </w:tcPr>
                <w:p>
                  <w:pPr>
                    <w:pStyle w:val="36"/>
                    <w:rPr>
                      <w:color w:val="000000"/>
                    </w:rPr>
                  </w:pPr>
                  <w:r>
                    <w:rPr>
                      <w:color w:val="000000"/>
                    </w:rPr>
                    <w:t>75-85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vMerge w:val="continue"/>
                  <w:vAlign w:val="center"/>
                </w:tcPr>
                <w:p>
                  <w:pPr>
                    <w:pStyle w:val="36"/>
                    <w:rPr>
                      <w:color w:val="000000"/>
                    </w:rPr>
                  </w:pPr>
                </w:p>
              </w:tc>
              <w:tc>
                <w:tcPr>
                  <w:tcW w:w="2814" w:type="dxa"/>
                  <w:vAlign w:val="center"/>
                </w:tcPr>
                <w:p>
                  <w:pPr>
                    <w:pStyle w:val="36"/>
                    <w:rPr>
                      <w:color w:val="000000"/>
                    </w:rPr>
                  </w:pPr>
                  <w:r>
                    <w:rPr>
                      <w:color w:val="000000"/>
                    </w:rPr>
                    <w:t>切割机</w:t>
                  </w:r>
                </w:p>
              </w:tc>
              <w:tc>
                <w:tcPr>
                  <w:tcW w:w="2814" w:type="dxa"/>
                  <w:vAlign w:val="center"/>
                </w:tcPr>
                <w:p>
                  <w:pPr>
                    <w:pStyle w:val="36"/>
                    <w:rPr>
                      <w:color w:val="000000"/>
                    </w:rPr>
                  </w:pPr>
                  <w:r>
                    <w:rPr>
                      <w:color w:val="000000"/>
                    </w:rPr>
                    <w:t>93-99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vAlign w:val="center"/>
                </w:tcPr>
                <w:p>
                  <w:pPr>
                    <w:pStyle w:val="36"/>
                    <w:rPr>
                      <w:color w:val="000000"/>
                    </w:rPr>
                  </w:pPr>
                  <w:r>
                    <w:rPr>
                      <w:color w:val="000000"/>
                    </w:rPr>
                    <w:t>材料运输</w:t>
                  </w:r>
                </w:p>
              </w:tc>
              <w:tc>
                <w:tcPr>
                  <w:tcW w:w="2814" w:type="dxa"/>
                  <w:vAlign w:val="center"/>
                </w:tcPr>
                <w:p>
                  <w:pPr>
                    <w:pStyle w:val="36"/>
                    <w:rPr>
                      <w:color w:val="000000"/>
                    </w:rPr>
                  </w:pPr>
                  <w:r>
                    <w:rPr>
                      <w:color w:val="000000"/>
                    </w:rPr>
                    <w:t>货车</w:t>
                  </w:r>
                </w:p>
              </w:tc>
              <w:tc>
                <w:tcPr>
                  <w:tcW w:w="2814" w:type="dxa"/>
                  <w:vAlign w:val="center"/>
                </w:tcPr>
                <w:p>
                  <w:pPr>
                    <w:pStyle w:val="36"/>
                    <w:rPr>
                      <w:color w:val="000000"/>
                    </w:rPr>
                  </w:pPr>
                  <w:r>
                    <w:rPr>
                      <w:color w:val="000000"/>
                    </w:rPr>
                    <w:t>75-90</w:t>
                  </w:r>
                </w:p>
              </w:tc>
            </w:tr>
          </w:tbl>
          <w:p>
            <w:pPr>
              <w:adjustRightInd w:val="0"/>
              <w:snapToGrid w:val="0"/>
              <w:spacing w:before="120" w:beforeLines="50" w:line="360" w:lineRule="auto"/>
              <w:ind w:firstLine="480" w:firstLineChars="200"/>
              <w:rPr>
                <w:color w:val="000000"/>
                <w:sz w:val="24"/>
              </w:rPr>
            </w:pPr>
            <w:r>
              <w:rPr>
                <w:color w:val="000000"/>
                <w:sz w:val="24"/>
              </w:rPr>
              <w:t>施工期的机械有挖掘机、装载机、打桩机、振捣棒、运输机等，这些机械的噪声一般在70-100dB（A）之间，由于每阶段采用的施工机械不同，对周围环境造成的噪声影响和范围也不同。但是施工期间的厂界噪声可以满足《建筑施工场界环境噪声排放标准》（GB12523-2011）的要求。为了减少对环境的影响，不允许夜间（11:00-次日06:00）施工，在施工中尽量采用低噪声机械。</w:t>
            </w:r>
          </w:p>
          <w:p>
            <w:pPr>
              <w:wordWrap w:val="0"/>
              <w:adjustRightInd w:val="0"/>
              <w:snapToGrid w:val="0"/>
              <w:spacing w:line="360" w:lineRule="auto"/>
              <w:ind w:firstLine="482" w:firstLineChars="200"/>
              <w:rPr>
                <w:rFonts w:eastAsiaTheme="minorEastAsia"/>
                <w:b/>
                <w:color w:val="000000"/>
                <w:sz w:val="24"/>
              </w:rPr>
            </w:pPr>
            <w:r>
              <w:rPr>
                <w:b/>
                <w:color w:val="000000"/>
                <w:sz w:val="24"/>
              </w:rPr>
              <w:t>在施工期间采取以下噪声控制措施：</w:t>
            </w:r>
          </w:p>
          <w:p>
            <w:pPr>
              <w:wordWrap w:val="0"/>
              <w:adjustRightInd w:val="0"/>
              <w:snapToGrid w:val="0"/>
              <w:spacing w:line="360" w:lineRule="auto"/>
              <w:ind w:firstLine="480" w:firstLineChars="200"/>
              <w:rPr>
                <w:color w:val="000000"/>
                <w:sz w:val="24"/>
              </w:rPr>
            </w:pPr>
            <w:r>
              <w:rPr>
                <w:color w:val="000000"/>
                <w:sz w:val="24"/>
              </w:rPr>
              <w:t>A、选用低噪设备，并采取有效的降噪措施，如对强噪声设备采取隔声、隔振或消声措施；</w:t>
            </w:r>
          </w:p>
          <w:p>
            <w:pPr>
              <w:wordWrap w:val="0"/>
              <w:adjustRightInd w:val="0"/>
              <w:snapToGrid w:val="0"/>
              <w:spacing w:line="360" w:lineRule="auto"/>
              <w:ind w:firstLine="480" w:firstLineChars="200"/>
              <w:rPr>
                <w:color w:val="000000"/>
                <w:sz w:val="24"/>
              </w:rPr>
            </w:pPr>
            <w:r>
              <w:rPr>
                <w:color w:val="000000"/>
                <w:sz w:val="24"/>
              </w:rPr>
              <w:t>B、优化施工总平面图，结合周边环境敏感点分布情况，合理安排施工机械安放位置，将主要高噪声的作业点置于远离周边各声学环境敏感点处，以充分利用施工场地的距离衰减缓解噪声污染；</w:t>
            </w:r>
          </w:p>
          <w:p>
            <w:pPr>
              <w:wordWrap w:val="0"/>
              <w:adjustRightInd w:val="0"/>
              <w:snapToGrid w:val="0"/>
              <w:spacing w:line="360" w:lineRule="auto"/>
              <w:ind w:firstLine="480" w:firstLineChars="200"/>
              <w:rPr>
                <w:color w:val="000000"/>
                <w:sz w:val="24"/>
              </w:rPr>
            </w:pPr>
            <w:r>
              <w:rPr>
                <w:color w:val="000000"/>
                <w:sz w:val="24"/>
              </w:rPr>
              <w:t>C、合理安排施工工序，尽量缩短施工周期；</w:t>
            </w:r>
          </w:p>
          <w:p>
            <w:pPr>
              <w:wordWrap w:val="0"/>
              <w:adjustRightInd w:val="0"/>
              <w:snapToGrid w:val="0"/>
              <w:spacing w:line="360" w:lineRule="auto"/>
              <w:ind w:firstLine="480" w:firstLineChars="200"/>
              <w:rPr>
                <w:color w:val="000000"/>
                <w:sz w:val="24"/>
              </w:rPr>
            </w:pPr>
            <w:r>
              <w:rPr>
                <w:color w:val="000000"/>
                <w:sz w:val="24"/>
              </w:rPr>
              <w:t>D、合理安排施工时间，禁止午间（12:00至14:00）、夜间（22:00至次日06:00）施工，减小噪声对项目周边及车辆运输沿线的影响；</w:t>
            </w:r>
          </w:p>
          <w:p>
            <w:pPr>
              <w:wordWrap w:val="0"/>
              <w:adjustRightInd w:val="0"/>
              <w:snapToGrid w:val="0"/>
              <w:spacing w:line="360" w:lineRule="auto"/>
              <w:ind w:firstLine="480" w:firstLineChars="200"/>
              <w:rPr>
                <w:color w:val="000000"/>
                <w:sz w:val="24"/>
              </w:rPr>
            </w:pPr>
            <w:r>
              <w:rPr>
                <w:color w:val="000000"/>
                <w:sz w:val="24"/>
              </w:rPr>
              <w:t>E、文明施工，各种建筑材料及工具在使用、装卸过程中，尽可能地轻拿轻放，以降低相互碰撞产生噪声；</w:t>
            </w:r>
          </w:p>
          <w:p>
            <w:pPr>
              <w:wordWrap w:val="0"/>
              <w:adjustRightInd w:val="0"/>
              <w:snapToGrid w:val="0"/>
              <w:spacing w:line="360" w:lineRule="auto"/>
              <w:ind w:firstLine="480" w:firstLineChars="200"/>
              <w:rPr>
                <w:color w:val="000000"/>
                <w:sz w:val="24"/>
              </w:rPr>
            </w:pPr>
            <w:r>
              <w:rPr>
                <w:color w:val="000000"/>
                <w:sz w:val="24"/>
              </w:rPr>
              <w:t>F、注意日常对施工设备的维修、保养，使各种施工机械保持良好的运行状态，减少非正常情况下的强噪声排放；</w:t>
            </w:r>
          </w:p>
          <w:p>
            <w:pPr>
              <w:wordWrap w:val="0"/>
              <w:adjustRightInd w:val="0"/>
              <w:snapToGrid w:val="0"/>
              <w:spacing w:line="360" w:lineRule="auto"/>
              <w:ind w:firstLine="480" w:firstLineChars="200"/>
              <w:rPr>
                <w:color w:val="000000"/>
                <w:sz w:val="24"/>
              </w:rPr>
            </w:pPr>
            <w:r>
              <w:rPr>
                <w:color w:val="000000"/>
                <w:sz w:val="24"/>
              </w:rPr>
              <w:t>G、尽量压缩施工区汽车数量和行车密度，控制汽车鸣笛；合理安排原材料及建筑</w:t>
            </w:r>
            <w:r>
              <w:rPr>
                <w:rFonts w:hint="eastAsia"/>
                <w:color w:val="000000"/>
                <w:sz w:val="24"/>
              </w:rPr>
              <w:t>弃方</w:t>
            </w:r>
            <w:r>
              <w:rPr>
                <w:color w:val="000000"/>
                <w:sz w:val="24"/>
              </w:rPr>
              <w:t>等运输路线，尽量避免经过城市建成区、学校和集中住宅区等环境敏感点。</w:t>
            </w:r>
          </w:p>
          <w:p>
            <w:pPr>
              <w:adjustRightInd w:val="0"/>
              <w:snapToGrid w:val="0"/>
              <w:spacing w:line="360" w:lineRule="auto"/>
              <w:ind w:firstLine="480" w:firstLineChars="200"/>
              <w:rPr>
                <w:color w:val="000000"/>
                <w:sz w:val="24"/>
              </w:rPr>
            </w:pPr>
            <w:r>
              <w:rPr>
                <w:color w:val="000000"/>
                <w:sz w:val="24"/>
              </w:rPr>
              <w:t>在进行以上噪声防治措施后，本项目施工期噪声能实现达标排放，对周边环境影响较小。</w:t>
            </w:r>
          </w:p>
          <w:p>
            <w:pPr>
              <w:pStyle w:val="38"/>
              <w:ind w:firstLine="482"/>
              <w:rPr>
                <w:b/>
                <w:color w:val="000000"/>
              </w:rPr>
            </w:pPr>
            <w:r>
              <w:rPr>
                <w:rFonts w:hint="eastAsia"/>
                <w:b/>
                <w:color w:val="000000"/>
              </w:rPr>
              <w:t>4、固废防治措施</w:t>
            </w:r>
          </w:p>
          <w:p>
            <w:pPr>
              <w:pStyle w:val="38"/>
              <w:ind w:firstLine="480"/>
              <w:jc w:val="both"/>
              <w:rPr>
                <w:color w:val="000000"/>
              </w:rPr>
            </w:pPr>
            <w:r>
              <w:rPr>
                <w:rFonts w:hint="eastAsia"/>
                <w:color w:val="000000"/>
              </w:rPr>
              <w:t>本项目施工期固废主要为建筑垃圾、施工人员生活垃圾。</w:t>
            </w:r>
          </w:p>
          <w:p>
            <w:pPr>
              <w:pStyle w:val="38"/>
              <w:ind w:firstLine="480"/>
              <w:rPr>
                <w:color w:val="000000"/>
              </w:rPr>
            </w:pPr>
            <w:r>
              <w:rPr>
                <w:rFonts w:hint="eastAsia"/>
                <w:color w:val="000000"/>
              </w:rPr>
              <w:t>（1）建筑垃圾</w:t>
            </w:r>
          </w:p>
          <w:p>
            <w:pPr>
              <w:pStyle w:val="38"/>
              <w:ind w:firstLine="480"/>
              <w:jc w:val="both"/>
              <w:rPr>
                <w:color w:val="000000"/>
              </w:rPr>
            </w:pPr>
            <w:r>
              <w:rPr>
                <w:rFonts w:hint="eastAsia"/>
                <w:color w:val="000000"/>
              </w:rPr>
              <w:t>本项目产生的建筑垃圾主要为废木料、废金属、废钢筋、废弃包装袋等杂物。分别收集堆放于指定地点，将可回收的废材料、废包装及时出售给废品回收公司处理；不能用于外卖的，堆放达一定量时清运到指定的建筑垃圾厂处理。</w:t>
            </w:r>
          </w:p>
          <w:p>
            <w:pPr>
              <w:pStyle w:val="38"/>
              <w:ind w:firstLine="480"/>
              <w:rPr>
                <w:color w:val="000000"/>
              </w:rPr>
            </w:pPr>
            <w:r>
              <w:rPr>
                <w:rFonts w:hint="eastAsia"/>
                <w:color w:val="000000"/>
              </w:rPr>
              <w:t>（2）生活垃圾</w:t>
            </w:r>
          </w:p>
          <w:p>
            <w:pPr>
              <w:pStyle w:val="38"/>
              <w:ind w:firstLine="480"/>
              <w:jc w:val="both"/>
              <w:rPr>
                <w:rFonts w:cs="宋体"/>
                <w:color w:val="000000"/>
                <w:szCs w:val="21"/>
              </w:rPr>
            </w:pPr>
            <w:r>
              <w:rPr>
                <w:rFonts w:hint="eastAsia"/>
                <w:color w:val="000000"/>
              </w:rPr>
              <w:t>本工程施工期间，施工人员及工地管理人员合计</w:t>
            </w:r>
            <w:r>
              <w:rPr>
                <w:color w:val="000000"/>
              </w:rPr>
              <w:t>30</w:t>
            </w:r>
            <w:r>
              <w:rPr>
                <w:rFonts w:hint="eastAsia"/>
                <w:color w:val="000000"/>
              </w:rPr>
              <w:t>人，施工人员均为当地农民，食宿均不在工地进行。因此，生活垃圾排放量按每人每天0.5kg计算，则本项目生活垃圾产生量为</w:t>
            </w:r>
            <w:r>
              <w:rPr>
                <w:color w:val="000000"/>
              </w:rPr>
              <w:t>15</w:t>
            </w:r>
            <w:r>
              <w:rPr>
                <w:rFonts w:hint="eastAsia"/>
                <w:color w:val="000000"/>
              </w:rPr>
              <w:t>kg/d，定期收集后交由当地环卫部门统一处理。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614" w:hRule="atLeast"/>
          <w:jc w:val="center"/>
        </w:trPr>
        <w:tc>
          <w:tcPr>
            <w:tcW w:w="699" w:type="dxa"/>
            <w:tcMar>
              <w:left w:w="28" w:type="dxa"/>
              <w:right w:w="28" w:type="dxa"/>
            </w:tcMar>
            <w:vAlign w:val="center"/>
          </w:tcPr>
          <w:p>
            <w:pPr>
              <w:adjustRightInd w:val="0"/>
              <w:snapToGrid w:val="0"/>
              <w:jc w:val="center"/>
              <w:rPr>
                <w:rFonts w:cs="宋体"/>
                <w:bCs/>
                <w:sz w:val="24"/>
              </w:rPr>
            </w:pPr>
            <w:r>
              <w:rPr>
                <w:rFonts w:hint="eastAsia" w:cs="宋体"/>
                <w:bCs/>
                <w:sz w:val="24"/>
              </w:rPr>
              <w:t>运营</w:t>
            </w:r>
          </w:p>
          <w:p>
            <w:pPr>
              <w:adjustRightInd w:val="0"/>
              <w:snapToGrid w:val="0"/>
              <w:jc w:val="center"/>
              <w:rPr>
                <w:rFonts w:cs="宋体"/>
                <w:bCs/>
                <w:sz w:val="24"/>
              </w:rPr>
            </w:pPr>
            <w:r>
              <w:rPr>
                <w:rFonts w:hint="eastAsia" w:cs="宋体"/>
                <w:bCs/>
                <w:sz w:val="24"/>
              </w:rPr>
              <w:t>期环</w:t>
            </w:r>
          </w:p>
          <w:p>
            <w:pPr>
              <w:adjustRightInd w:val="0"/>
              <w:snapToGrid w:val="0"/>
              <w:jc w:val="center"/>
              <w:rPr>
                <w:rFonts w:cs="宋体"/>
                <w:bCs/>
                <w:sz w:val="24"/>
              </w:rPr>
            </w:pPr>
            <w:r>
              <w:rPr>
                <w:rFonts w:hint="eastAsia" w:cs="宋体"/>
                <w:bCs/>
                <w:sz w:val="24"/>
              </w:rPr>
              <w:t>境影</w:t>
            </w:r>
          </w:p>
          <w:p>
            <w:pPr>
              <w:adjustRightInd w:val="0"/>
              <w:snapToGrid w:val="0"/>
              <w:jc w:val="center"/>
              <w:rPr>
                <w:rFonts w:cs="宋体"/>
                <w:bCs/>
                <w:sz w:val="24"/>
              </w:rPr>
            </w:pPr>
            <w:r>
              <w:rPr>
                <w:rFonts w:hint="eastAsia" w:cs="宋体"/>
                <w:bCs/>
                <w:sz w:val="24"/>
              </w:rPr>
              <w:t>响和</w:t>
            </w:r>
          </w:p>
          <w:p>
            <w:pPr>
              <w:adjustRightInd w:val="0"/>
              <w:snapToGrid w:val="0"/>
              <w:jc w:val="center"/>
              <w:rPr>
                <w:rFonts w:cs="宋体"/>
                <w:bCs/>
                <w:sz w:val="24"/>
              </w:rPr>
            </w:pPr>
            <w:r>
              <w:rPr>
                <w:rFonts w:hint="eastAsia" w:cs="宋体"/>
                <w:bCs/>
                <w:sz w:val="24"/>
              </w:rPr>
              <w:t>保护</w:t>
            </w:r>
          </w:p>
          <w:p>
            <w:pPr>
              <w:adjustRightInd w:val="0"/>
              <w:snapToGrid w:val="0"/>
              <w:jc w:val="center"/>
              <w:rPr>
                <w:rFonts w:cs="宋体"/>
                <w:bCs/>
                <w:sz w:val="24"/>
              </w:rPr>
            </w:pPr>
            <w:r>
              <w:rPr>
                <w:rFonts w:hint="eastAsia" w:cs="宋体"/>
                <w:bCs/>
                <w:sz w:val="24"/>
              </w:rPr>
              <w:t>措施</w:t>
            </w:r>
          </w:p>
        </w:tc>
        <w:tc>
          <w:tcPr>
            <w:tcW w:w="8787" w:type="dxa"/>
            <w:vAlign w:val="center"/>
          </w:tcPr>
          <w:p>
            <w:pPr>
              <w:adjustRightInd w:val="0"/>
              <w:snapToGrid w:val="0"/>
              <w:spacing w:line="360" w:lineRule="auto"/>
              <w:ind w:firstLine="482" w:firstLineChars="200"/>
              <w:rPr>
                <w:rFonts w:cs="宋体"/>
                <w:b/>
                <w:bCs/>
                <w:sz w:val="24"/>
              </w:rPr>
            </w:pPr>
            <w:r>
              <w:rPr>
                <w:rFonts w:hint="eastAsia" w:cs="宋体"/>
                <w:b/>
                <w:bCs/>
                <w:sz w:val="24"/>
              </w:rPr>
              <w:t>1、废气产生情况、处理措施及其可行性分析</w:t>
            </w:r>
          </w:p>
          <w:p>
            <w:pPr>
              <w:adjustRightInd w:val="0"/>
              <w:snapToGrid w:val="0"/>
              <w:spacing w:line="360" w:lineRule="auto"/>
              <w:ind w:firstLine="482" w:firstLineChars="200"/>
              <w:rPr>
                <w:rFonts w:cs="宋体"/>
                <w:b/>
                <w:bCs/>
                <w:sz w:val="24"/>
              </w:rPr>
            </w:pPr>
            <w:r>
              <w:rPr>
                <w:rFonts w:hint="eastAsia" w:cs="宋体"/>
                <w:b/>
                <w:bCs/>
                <w:sz w:val="24"/>
              </w:rPr>
              <w:t>（1）源强核算及治理措施</w:t>
            </w:r>
          </w:p>
          <w:p>
            <w:pPr>
              <w:adjustRightInd w:val="0"/>
              <w:snapToGrid w:val="0"/>
              <w:spacing w:line="360" w:lineRule="auto"/>
              <w:ind w:firstLine="480" w:firstLineChars="200"/>
              <w:rPr>
                <w:rFonts w:cs="宋体"/>
                <w:bCs/>
                <w:sz w:val="24"/>
              </w:rPr>
            </w:pPr>
            <w:r>
              <w:rPr>
                <w:rFonts w:cs="宋体"/>
                <w:bCs/>
                <w:sz w:val="24"/>
              </w:rPr>
              <w:t>经产排污环节分析，本项目运营期产生的</w:t>
            </w:r>
            <w:r>
              <w:rPr>
                <w:rFonts w:hint="eastAsia" w:cs="宋体"/>
                <w:bCs/>
                <w:sz w:val="24"/>
              </w:rPr>
              <w:t>废气主要为上料粉尘、破碎和筛分粉尘、运输扬尘、装卸和堆存粉尘和车辆尾气</w:t>
            </w:r>
            <w:r>
              <w:rPr>
                <w:rFonts w:cs="宋体"/>
                <w:bCs/>
                <w:sz w:val="24"/>
              </w:rPr>
              <w:t>。</w:t>
            </w:r>
          </w:p>
          <w:p>
            <w:pPr>
              <w:adjustRightInd w:val="0"/>
              <w:snapToGrid w:val="0"/>
              <w:spacing w:line="360" w:lineRule="auto"/>
              <w:ind w:firstLine="480" w:firstLineChars="200"/>
              <w:rPr>
                <w:rFonts w:cs="宋体"/>
                <w:bCs/>
                <w:sz w:val="24"/>
              </w:rPr>
            </w:pPr>
            <w:r>
              <w:rPr>
                <w:rFonts w:hint="eastAsia" w:cs="宋体"/>
                <w:bCs/>
                <w:sz w:val="24"/>
              </w:rPr>
              <w:t>1）投料粉尘</w:t>
            </w:r>
          </w:p>
          <w:p>
            <w:pPr>
              <w:adjustRightInd w:val="0"/>
              <w:snapToGrid w:val="0"/>
              <w:spacing w:line="360" w:lineRule="auto"/>
              <w:ind w:firstLine="482" w:firstLineChars="200"/>
              <w:rPr>
                <w:rFonts w:cs="宋体"/>
                <w:bCs/>
                <w:sz w:val="24"/>
              </w:rPr>
            </w:pPr>
            <w:r>
              <w:rPr>
                <w:rFonts w:hint="eastAsia" w:cs="宋体"/>
                <w:b/>
                <w:bCs/>
                <w:sz w:val="24"/>
              </w:rPr>
              <w:t>源强核算：</w:t>
            </w:r>
            <w:r>
              <w:rPr>
                <w:rFonts w:hint="eastAsia" w:cs="宋体"/>
                <w:bCs/>
                <w:sz w:val="24"/>
              </w:rPr>
              <w:t xml:space="preserve">项目原料经装载机投料至给料机过程中会产生少量粉尘。由于项目原料粒径较大，约0-80cm，含水率约8%，因此投料过程粉尘产生量较小。本次环评采用交通部水运研究所和武汉水运工程学院提出的机械落差起尘公式进行计算： </w:t>
            </w:r>
          </w:p>
          <w:p>
            <w:pPr>
              <w:adjustRightInd w:val="0"/>
              <w:snapToGrid w:val="0"/>
              <w:spacing w:line="360" w:lineRule="auto"/>
              <w:rPr>
                <w:rFonts w:cs="宋体"/>
                <w:bCs/>
                <w:i/>
                <w:sz w:val="24"/>
              </w:rPr>
            </w:pPr>
            <m:oMathPara>
              <m:oMath>
                <m:r>
                  <m:rPr/>
                  <w:rPr>
                    <w:rFonts w:hint="eastAsia" w:ascii="Cambria Math" w:hAnsi="Cambria Math" w:cs="宋体"/>
                    <w:sz w:val="24"/>
                  </w:rPr>
                  <m:t>Q</m:t>
                </m:r>
                <m:r>
                  <m:rPr/>
                  <w:rPr>
                    <w:rFonts w:ascii="Cambria Math" w:hAnsi="Cambria Math" w:cs="宋体"/>
                    <w:sz w:val="24"/>
                  </w:rPr>
                  <m:t>=0.03</m:t>
                </m:r>
                <m:sSup>
                  <m:sSupPr>
                    <m:ctrlPr>
                      <w:rPr>
                        <w:rFonts w:ascii="Cambria Math" w:hAnsi="Cambria Math" w:cs="宋体"/>
                        <w:bCs/>
                        <w:i/>
                        <w:sz w:val="24"/>
                      </w:rPr>
                    </m:ctrlPr>
                  </m:sSupPr>
                  <m:e>
                    <m:r>
                      <m:rPr/>
                      <w:rPr>
                        <w:rFonts w:ascii="Cambria Math" w:hAnsi="Cambria Math" w:cs="宋体"/>
                        <w:sz w:val="24"/>
                      </w:rPr>
                      <m:t>U</m:t>
                    </m:r>
                    <m:ctrlPr>
                      <w:rPr>
                        <w:rFonts w:ascii="Cambria Math" w:hAnsi="Cambria Math" w:cs="宋体"/>
                        <w:bCs/>
                        <w:i/>
                        <w:sz w:val="24"/>
                      </w:rPr>
                    </m:ctrlPr>
                  </m:e>
                  <m:sup>
                    <m:r>
                      <m:rPr/>
                      <w:rPr>
                        <w:rFonts w:ascii="Cambria Math" w:hAnsi="Cambria Math" w:cs="宋体"/>
                        <w:sz w:val="24"/>
                      </w:rPr>
                      <m:t>1.6</m:t>
                    </m:r>
                    <m:ctrlPr>
                      <w:rPr>
                        <w:rFonts w:ascii="Cambria Math" w:hAnsi="Cambria Math" w:cs="宋体"/>
                        <w:bCs/>
                        <w:i/>
                        <w:sz w:val="24"/>
                      </w:rPr>
                    </m:ctrlPr>
                  </m:sup>
                </m:sSup>
                <m:sSup>
                  <m:sSupPr>
                    <m:ctrlPr>
                      <w:rPr>
                        <w:rFonts w:ascii="Cambria Math" w:hAnsi="Cambria Math" w:cs="宋体"/>
                        <w:bCs/>
                        <w:i/>
                        <w:sz w:val="24"/>
                      </w:rPr>
                    </m:ctrlPr>
                  </m:sSupPr>
                  <m:e>
                    <m:r>
                      <m:rPr/>
                      <w:rPr>
                        <w:rFonts w:ascii="Cambria Math" w:hAnsi="Cambria Math" w:cs="宋体"/>
                        <w:sz w:val="24"/>
                      </w:rPr>
                      <m:t>H</m:t>
                    </m:r>
                    <m:ctrlPr>
                      <w:rPr>
                        <w:rFonts w:ascii="Cambria Math" w:hAnsi="Cambria Math" w:cs="宋体"/>
                        <w:bCs/>
                        <w:i/>
                        <w:sz w:val="24"/>
                      </w:rPr>
                    </m:ctrlPr>
                  </m:e>
                  <m:sup>
                    <m:r>
                      <m:rPr/>
                      <w:rPr>
                        <w:rFonts w:ascii="Cambria Math" w:hAnsi="Cambria Math" w:cs="宋体"/>
                        <w:sz w:val="24"/>
                      </w:rPr>
                      <m:t>1.23</m:t>
                    </m:r>
                    <m:ctrlPr>
                      <w:rPr>
                        <w:rFonts w:ascii="Cambria Math" w:hAnsi="Cambria Math" w:cs="宋体"/>
                        <w:bCs/>
                        <w:i/>
                        <w:sz w:val="24"/>
                      </w:rPr>
                    </m:ctrlPr>
                  </m:sup>
                </m:sSup>
                <m:sSup>
                  <m:sSupPr>
                    <m:ctrlPr>
                      <w:rPr>
                        <w:rFonts w:ascii="Cambria Math" w:hAnsi="Cambria Math" w:cs="宋体"/>
                        <w:bCs/>
                        <w:i/>
                        <w:sz w:val="24"/>
                      </w:rPr>
                    </m:ctrlPr>
                  </m:sSupPr>
                  <m:e>
                    <m:r>
                      <m:rPr/>
                      <w:rPr>
                        <w:rFonts w:ascii="Cambria Math" w:hAnsi="Cambria Math" w:cs="宋体"/>
                        <w:sz w:val="24"/>
                      </w:rPr>
                      <m:t>e</m:t>
                    </m:r>
                    <m:ctrlPr>
                      <w:rPr>
                        <w:rFonts w:ascii="Cambria Math" w:hAnsi="Cambria Math" w:cs="宋体"/>
                        <w:bCs/>
                        <w:i/>
                        <w:sz w:val="24"/>
                      </w:rPr>
                    </m:ctrlPr>
                  </m:e>
                  <m:sup>
                    <m:r>
                      <m:rPr/>
                      <w:rPr>
                        <w:rFonts w:ascii="Cambria Math" w:hAnsi="Cambria Math" w:cs="宋体"/>
                        <w:sz w:val="24"/>
                      </w:rPr>
                      <m:t>−0.28W</m:t>
                    </m:r>
                    <m:ctrlPr>
                      <w:rPr>
                        <w:rFonts w:ascii="Cambria Math" w:hAnsi="Cambria Math" w:cs="宋体"/>
                        <w:bCs/>
                        <w:i/>
                        <w:sz w:val="24"/>
                      </w:rPr>
                    </m:ctrlPr>
                  </m:sup>
                </m:sSup>
                <m:r>
                  <m:rPr/>
                  <w:rPr>
                    <w:rFonts w:ascii="Cambria Math" w:hAnsi="Cambria Math" w:cs="宋体"/>
                    <w:sz w:val="24"/>
                  </w:rPr>
                  <m:t>G</m:t>
                </m:r>
              </m:oMath>
            </m:oMathPara>
          </w:p>
          <w:p>
            <w:pPr>
              <w:adjustRightInd w:val="0"/>
              <w:snapToGrid w:val="0"/>
              <w:spacing w:line="360" w:lineRule="auto"/>
              <w:ind w:firstLine="480" w:firstLineChars="200"/>
              <w:rPr>
                <w:rFonts w:cs="宋体"/>
                <w:bCs/>
                <w:sz w:val="24"/>
              </w:rPr>
            </w:pPr>
            <w:r>
              <w:rPr>
                <w:rFonts w:hint="eastAsia" w:cs="宋体"/>
                <w:bCs/>
                <w:sz w:val="24"/>
              </w:rPr>
              <w:t>式中：Q——物料机械落差起尘量，kg；</w:t>
            </w:r>
          </w:p>
          <w:p>
            <w:pPr>
              <w:adjustRightInd w:val="0"/>
              <w:snapToGrid w:val="0"/>
              <w:spacing w:line="360" w:lineRule="auto"/>
              <w:ind w:firstLine="1200" w:firstLineChars="500"/>
              <w:rPr>
                <w:rFonts w:cs="宋体"/>
                <w:bCs/>
                <w:sz w:val="24"/>
              </w:rPr>
            </w:pPr>
            <w:r>
              <w:rPr>
                <w:rFonts w:hint="eastAsia" w:cs="宋体"/>
                <w:bCs/>
                <w:sz w:val="24"/>
              </w:rPr>
              <w:t>H——物料落差，取值0.5m；</w:t>
            </w:r>
          </w:p>
          <w:p>
            <w:pPr>
              <w:adjustRightInd w:val="0"/>
              <w:snapToGrid w:val="0"/>
              <w:spacing w:line="360" w:lineRule="auto"/>
              <w:ind w:firstLine="1200" w:firstLineChars="500"/>
              <w:rPr>
                <w:rFonts w:cs="宋体"/>
                <w:bCs/>
                <w:sz w:val="24"/>
              </w:rPr>
            </w:pPr>
            <w:r>
              <w:rPr>
                <w:rFonts w:hint="eastAsia" w:cs="宋体"/>
                <w:bCs/>
                <w:sz w:val="24"/>
              </w:rPr>
              <w:t>U——地面平均风速，项目采用地坑投料，且原料粒径较大（0-80cm），受风力作用影响较小，取值0.</w:t>
            </w:r>
            <w:r>
              <w:rPr>
                <w:rFonts w:cs="宋体"/>
                <w:bCs/>
                <w:sz w:val="24"/>
              </w:rPr>
              <w:t>3</w:t>
            </w:r>
            <w:r>
              <w:rPr>
                <w:rFonts w:hint="eastAsia" w:cs="宋体"/>
                <w:bCs/>
                <w:sz w:val="24"/>
              </w:rPr>
              <w:t>m/s；</w:t>
            </w:r>
          </w:p>
          <w:p>
            <w:pPr>
              <w:adjustRightInd w:val="0"/>
              <w:snapToGrid w:val="0"/>
              <w:spacing w:line="360" w:lineRule="auto"/>
              <w:ind w:firstLine="1200" w:firstLineChars="500"/>
              <w:rPr>
                <w:rFonts w:cs="宋体"/>
                <w:bCs/>
                <w:sz w:val="24"/>
              </w:rPr>
            </w:pPr>
            <w:r>
              <w:rPr>
                <w:rFonts w:hint="eastAsia" w:cs="宋体"/>
                <w:bCs/>
                <w:sz w:val="24"/>
              </w:rPr>
              <w:t>W——物料含水率，8%；</w:t>
            </w:r>
          </w:p>
          <w:p>
            <w:pPr>
              <w:adjustRightInd w:val="0"/>
              <w:snapToGrid w:val="0"/>
              <w:spacing w:line="360" w:lineRule="auto"/>
              <w:ind w:firstLine="1200" w:firstLineChars="500"/>
              <w:rPr>
                <w:rFonts w:cs="宋体"/>
                <w:bCs/>
                <w:sz w:val="24"/>
              </w:rPr>
            </w:pPr>
            <w:r>
              <w:rPr>
                <w:rFonts w:hint="eastAsia" w:cs="宋体"/>
                <w:bCs/>
                <w:sz w:val="24"/>
              </w:rPr>
              <w:t>G——物料量，</w:t>
            </w:r>
            <w:r>
              <w:rPr>
                <w:rFonts w:cs="宋体"/>
                <w:bCs/>
                <w:sz w:val="24"/>
              </w:rPr>
              <w:t>189.9</w:t>
            </w:r>
            <w:r>
              <w:rPr>
                <w:rFonts w:hint="eastAsia" w:cs="宋体"/>
                <w:bCs/>
                <w:sz w:val="24"/>
              </w:rPr>
              <w:t>万t。</w:t>
            </w:r>
          </w:p>
          <w:p>
            <w:pPr>
              <w:adjustRightInd w:val="0"/>
              <w:snapToGrid w:val="0"/>
              <w:spacing w:line="360" w:lineRule="auto"/>
              <w:ind w:firstLine="480" w:firstLineChars="200"/>
              <w:rPr>
                <w:rFonts w:cs="宋体"/>
                <w:bCs/>
                <w:sz w:val="24"/>
              </w:rPr>
            </w:pPr>
            <w:r>
              <w:rPr>
                <w:rFonts w:hint="eastAsia" w:cs="宋体"/>
                <w:bCs/>
                <w:sz w:val="24"/>
              </w:rPr>
              <w:t>根据上述公式进行计算，项目投料粉尘产生量为</w:t>
            </w:r>
            <w:r>
              <w:rPr>
                <w:rFonts w:cs="宋体"/>
                <w:bCs/>
                <w:sz w:val="24"/>
              </w:rPr>
              <w:t>3.462</w:t>
            </w:r>
            <w:r>
              <w:rPr>
                <w:rFonts w:hint="eastAsia" w:cs="宋体"/>
                <w:bCs/>
                <w:sz w:val="24"/>
              </w:rPr>
              <w:t>t/a。</w:t>
            </w:r>
          </w:p>
          <w:p>
            <w:pPr>
              <w:adjustRightInd w:val="0"/>
              <w:snapToGrid w:val="0"/>
              <w:spacing w:line="360" w:lineRule="auto"/>
              <w:ind w:firstLine="482" w:firstLineChars="200"/>
              <w:rPr>
                <w:rFonts w:cs="宋体"/>
                <w:bCs/>
                <w:sz w:val="24"/>
              </w:rPr>
            </w:pPr>
            <w:r>
              <w:rPr>
                <w:rFonts w:hint="eastAsia"/>
                <w:b/>
                <w:sz w:val="24"/>
              </w:rPr>
              <w:t>拟采取治理措施：</w:t>
            </w:r>
            <w:r>
              <w:rPr>
                <w:rFonts w:hint="eastAsia" w:cs="宋体"/>
                <w:bCs/>
                <w:sz w:val="24"/>
              </w:rPr>
              <w:t>针对项目投料粉尘，采用地坑投料，对投料区域采取三面一顶封闭措施，并在进料口设置雾炮机喷雾降尘。</w:t>
            </w:r>
          </w:p>
          <w:p>
            <w:pPr>
              <w:adjustRightInd w:val="0"/>
              <w:snapToGrid w:val="0"/>
              <w:spacing w:line="360" w:lineRule="auto"/>
              <w:ind w:firstLine="482" w:firstLineChars="200"/>
              <w:rPr>
                <w:rFonts w:cs="宋体"/>
                <w:bCs/>
                <w:sz w:val="24"/>
              </w:rPr>
            </w:pPr>
            <w:r>
              <w:rPr>
                <w:rFonts w:hint="eastAsia" w:cs="宋体"/>
                <w:b/>
                <w:bCs/>
                <w:sz w:val="24"/>
              </w:rPr>
              <w:t>排放情况：</w:t>
            </w:r>
            <w:r>
              <w:rPr>
                <w:rFonts w:hint="eastAsia" w:cs="宋体"/>
                <w:bCs/>
                <w:sz w:val="24"/>
              </w:rPr>
              <w:t>参考生态环境部《排放源统计调查产排污核算方法和系数手册》中粉尘控制措施控制效率，半敞开式控制效率为60%，洒水控制效率为74%，则项目投料区通过设置“地坑+喷雾降尘”后，粉尘控制效率为</w:t>
            </w:r>
            <w:r>
              <w:rPr>
                <w:bCs/>
                <w:sz w:val="24"/>
              </w:rPr>
              <w:t>1-(1-60%</w:t>
            </w:r>
            <w:r>
              <w:rPr>
                <w:rFonts w:hint="eastAsia"/>
                <w:bCs/>
                <w:sz w:val="24"/>
              </w:rPr>
              <w:t>)</w:t>
            </w:r>
            <w:r>
              <w:rPr>
                <w:bCs/>
                <w:sz w:val="24"/>
              </w:rPr>
              <w:t>×</w:t>
            </w:r>
            <w:r>
              <w:rPr>
                <w:rFonts w:hint="eastAsia"/>
                <w:bCs/>
                <w:sz w:val="24"/>
              </w:rPr>
              <w:t>(</w:t>
            </w:r>
            <w:r>
              <w:rPr>
                <w:bCs/>
                <w:sz w:val="24"/>
              </w:rPr>
              <w:t>1-74%</w:t>
            </w:r>
            <w:r>
              <w:rPr>
                <w:rFonts w:hint="eastAsia"/>
                <w:bCs/>
                <w:sz w:val="24"/>
              </w:rPr>
              <w:t>)</w:t>
            </w:r>
            <w:r>
              <w:rPr>
                <w:bCs/>
                <w:sz w:val="24"/>
              </w:rPr>
              <w:t>≈90%</w:t>
            </w:r>
            <w:r>
              <w:rPr>
                <w:rFonts w:hint="eastAsia" w:cs="宋体"/>
                <w:bCs/>
                <w:sz w:val="24"/>
              </w:rPr>
              <w:t>，则投料粉尘排放量为</w:t>
            </w:r>
            <w:r>
              <w:rPr>
                <w:rFonts w:cs="宋体"/>
                <w:bCs/>
                <w:sz w:val="24"/>
              </w:rPr>
              <w:t>0.360</w:t>
            </w:r>
            <w:r>
              <w:rPr>
                <w:rFonts w:hint="eastAsia" w:cs="宋体"/>
                <w:bCs/>
                <w:sz w:val="24"/>
              </w:rPr>
              <w:t>t/a，排放速率0.0</w:t>
            </w:r>
            <w:r>
              <w:rPr>
                <w:rFonts w:cs="宋体"/>
                <w:bCs/>
                <w:sz w:val="24"/>
              </w:rPr>
              <w:t>92</w:t>
            </w:r>
            <w:r>
              <w:rPr>
                <w:rFonts w:hint="eastAsia" w:cs="宋体"/>
                <w:bCs/>
                <w:sz w:val="24"/>
              </w:rPr>
              <w:t>kg/h（年生产时间</w:t>
            </w:r>
            <w:r>
              <w:rPr>
                <w:rFonts w:cs="宋体"/>
                <w:bCs/>
                <w:sz w:val="24"/>
              </w:rPr>
              <w:t>3960</w:t>
            </w:r>
            <w:r>
              <w:rPr>
                <w:rFonts w:hint="eastAsia" w:cs="宋体"/>
                <w:bCs/>
                <w:sz w:val="24"/>
              </w:rPr>
              <w:t>h）。</w:t>
            </w:r>
          </w:p>
          <w:p>
            <w:pPr>
              <w:adjustRightInd w:val="0"/>
              <w:snapToGrid w:val="0"/>
              <w:spacing w:line="360" w:lineRule="auto"/>
              <w:ind w:left="440"/>
              <w:jc w:val="left"/>
              <w:rPr>
                <w:bCs/>
                <w:sz w:val="24"/>
              </w:rPr>
            </w:pPr>
            <w:r>
              <w:rPr>
                <w:rFonts w:hint="eastAsia"/>
                <w:bCs/>
                <w:sz w:val="24"/>
              </w:rPr>
              <w:t>2）</w:t>
            </w:r>
            <w:r>
              <w:rPr>
                <w:rFonts w:hint="eastAsia" w:cs="宋体"/>
                <w:bCs/>
                <w:sz w:val="24"/>
              </w:rPr>
              <w:t>破碎和筛分粉尘</w:t>
            </w:r>
          </w:p>
          <w:p>
            <w:pPr>
              <w:adjustRightInd w:val="0"/>
              <w:snapToGrid w:val="0"/>
              <w:spacing w:line="360" w:lineRule="auto"/>
              <w:ind w:firstLine="482" w:firstLineChars="200"/>
              <w:rPr>
                <w:sz w:val="24"/>
              </w:rPr>
            </w:pPr>
            <w:r>
              <w:rPr>
                <w:rFonts w:hint="eastAsia" w:cs="宋体"/>
                <w:b/>
                <w:bCs/>
                <w:sz w:val="24"/>
              </w:rPr>
              <w:t>源强核算：</w:t>
            </w:r>
            <w:r>
              <w:rPr>
                <w:rFonts w:hint="eastAsia"/>
                <w:bCs/>
                <w:sz w:val="24"/>
              </w:rPr>
              <w:t>本项目生产过程中产生粉尘主要为破碎、筛分粉尘</w:t>
            </w:r>
            <w:r>
              <w:rPr>
                <w:rFonts w:hint="eastAsia"/>
                <w:sz w:val="24"/>
              </w:rPr>
              <w:t>。砂石破碎、筛分过程产生废气</w:t>
            </w:r>
            <w:r>
              <w:rPr>
                <w:rFonts w:hint="eastAsia"/>
                <w:color w:val="000000"/>
                <w:sz w:val="24"/>
              </w:rPr>
              <w:t>根据《</w:t>
            </w:r>
            <w:r>
              <w:rPr>
                <w:color w:val="000000"/>
                <w:sz w:val="24"/>
              </w:rPr>
              <w:t xml:space="preserve">303 </w:t>
            </w:r>
            <w:r>
              <w:rPr>
                <w:rFonts w:hint="eastAsia"/>
                <w:color w:val="000000"/>
                <w:sz w:val="24"/>
              </w:rPr>
              <w:t>砖瓦、石材等建筑材料制造行业系数手册》中</w:t>
            </w:r>
            <w:r>
              <w:rPr>
                <w:color w:val="000000"/>
                <w:sz w:val="24"/>
              </w:rPr>
              <w:t xml:space="preserve">3039 </w:t>
            </w:r>
            <w:r>
              <w:rPr>
                <w:rFonts w:hint="eastAsia"/>
                <w:color w:val="000000"/>
                <w:sz w:val="24"/>
              </w:rPr>
              <w:t>其他建筑材料行业，产排污系数见下表。</w:t>
            </w:r>
          </w:p>
          <w:p>
            <w:pPr>
              <w:wordWrap w:val="0"/>
              <w:adjustRightInd w:val="0"/>
              <w:snapToGrid w:val="0"/>
              <w:ind w:firstLine="422" w:firstLineChars="200"/>
              <w:jc w:val="center"/>
              <w:rPr>
                <w:b/>
                <w:color w:val="000000"/>
                <w:szCs w:val="21"/>
              </w:rPr>
            </w:pPr>
          </w:p>
          <w:p>
            <w:pPr>
              <w:wordWrap w:val="0"/>
              <w:adjustRightInd w:val="0"/>
              <w:snapToGrid w:val="0"/>
              <w:ind w:firstLine="422" w:firstLineChars="200"/>
              <w:jc w:val="center"/>
              <w:rPr>
                <w:b/>
                <w:color w:val="000000"/>
                <w:szCs w:val="21"/>
              </w:rPr>
            </w:pPr>
          </w:p>
          <w:p>
            <w:pPr>
              <w:wordWrap w:val="0"/>
              <w:adjustRightInd w:val="0"/>
              <w:snapToGrid w:val="0"/>
              <w:ind w:firstLine="422" w:firstLineChars="200"/>
              <w:jc w:val="center"/>
              <w:rPr>
                <w:b/>
                <w:color w:val="000000"/>
                <w:szCs w:val="21"/>
              </w:rPr>
            </w:pPr>
            <w:r>
              <w:rPr>
                <w:b/>
                <w:color w:val="000000"/>
                <w:szCs w:val="21"/>
              </w:rPr>
              <w:t>表4-2</w:t>
            </w:r>
            <w:r>
              <w:rPr>
                <w:rFonts w:hint="eastAsia"/>
                <w:b/>
                <w:color w:val="000000"/>
                <w:szCs w:val="21"/>
              </w:rPr>
              <w:t xml:space="preserve"> 产污系数表</w:t>
            </w:r>
          </w:p>
          <w:tbl>
            <w:tblPr>
              <w:tblStyle w:val="14"/>
              <w:tblW w:w="851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170"/>
              <w:gridCol w:w="1134"/>
              <w:gridCol w:w="709"/>
              <w:gridCol w:w="708"/>
              <w:gridCol w:w="851"/>
              <w:gridCol w:w="1417"/>
              <w:gridCol w:w="85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6" w:type="dxa"/>
                  <w:vAlign w:val="center"/>
                </w:tcPr>
                <w:p>
                  <w:pPr>
                    <w:adjustRightInd w:val="0"/>
                    <w:jc w:val="center"/>
                    <w:rPr>
                      <w:b/>
                      <w:color w:val="000000"/>
                      <w:szCs w:val="21"/>
                    </w:rPr>
                  </w:pPr>
                  <w:r>
                    <w:rPr>
                      <w:rFonts w:hint="eastAsia"/>
                      <w:b/>
                      <w:color w:val="000000"/>
                      <w:szCs w:val="21"/>
                    </w:rPr>
                    <w:t>产品名称</w:t>
                  </w:r>
                </w:p>
              </w:tc>
              <w:tc>
                <w:tcPr>
                  <w:tcW w:w="2170" w:type="dxa"/>
                  <w:vAlign w:val="center"/>
                </w:tcPr>
                <w:p>
                  <w:pPr>
                    <w:adjustRightInd w:val="0"/>
                    <w:jc w:val="center"/>
                    <w:rPr>
                      <w:b/>
                      <w:color w:val="000000"/>
                      <w:szCs w:val="21"/>
                    </w:rPr>
                  </w:pPr>
                  <w:r>
                    <w:rPr>
                      <w:rFonts w:hint="eastAsia"/>
                      <w:b/>
                      <w:color w:val="000000"/>
                      <w:szCs w:val="21"/>
                    </w:rPr>
                    <w:t>原料名称</w:t>
                  </w:r>
                </w:p>
              </w:tc>
              <w:tc>
                <w:tcPr>
                  <w:tcW w:w="1134" w:type="dxa"/>
                  <w:vAlign w:val="center"/>
                </w:tcPr>
                <w:p>
                  <w:pPr>
                    <w:adjustRightInd w:val="0"/>
                    <w:jc w:val="center"/>
                    <w:rPr>
                      <w:b/>
                      <w:color w:val="000000"/>
                      <w:szCs w:val="21"/>
                    </w:rPr>
                  </w:pPr>
                  <w:r>
                    <w:rPr>
                      <w:rFonts w:hint="eastAsia"/>
                      <w:b/>
                      <w:color w:val="000000"/>
                      <w:szCs w:val="21"/>
                    </w:rPr>
                    <w:t>工艺名称</w:t>
                  </w:r>
                </w:p>
              </w:tc>
              <w:tc>
                <w:tcPr>
                  <w:tcW w:w="709" w:type="dxa"/>
                  <w:vAlign w:val="center"/>
                </w:tcPr>
                <w:p>
                  <w:pPr>
                    <w:adjustRightInd w:val="0"/>
                    <w:jc w:val="center"/>
                    <w:rPr>
                      <w:b/>
                      <w:color w:val="000000"/>
                      <w:szCs w:val="21"/>
                    </w:rPr>
                  </w:pPr>
                  <w:r>
                    <w:rPr>
                      <w:rFonts w:hint="eastAsia"/>
                      <w:b/>
                      <w:color w:val="000000"/>
                      <w:szCs w:val="21"/>
                    </w:rPr>
                    <w:t>规模等级</w:t>
                  </w:r>
                </w:p>
              </w:tc>
              <w:tc>
                <w:tcPr>
                  <w:tcW w:w="1559" w:type="dxa"/>
                  <w:gridSpan w:val="2"/>
                  <w:vAlign w:val="center"/>
                </w:tcPr>
                <w:p>
                  <w:pPr>
                    <w:adjustRightInd w:val="0"/>
                    <w:jc w:val="center"/>
                    <w:rPr>
                      <w:b/>
                      <w:color w:val="000000"/>
                      <w:szCs w:val="21"/>
                    </w:rPr>
                  </w:pPr>
                  <w:r>
                    <w:rPr>
                      <w:rFonts w:hint="eastAsia"/>
                      <w:b/>
                      <w:color w:val="000000"/>
                      <w:szCs w:val="21"/>
                    </w:rPr>
                    <w:t>污染物指标</w:t>
                  </w:r>
                </w:p>
              </w:tc>
              <w:tc>
                <w:tcPr>
                  <w:tcW w:w="1417" w:type="dxa"/>
                  <w:vAlign w:val="center"/>
                </w:tcPr>
                <w:p>
                  <w:pPr>
                    <w:adjustRightInd w:val="0"/>
                    <w:jc w:val="center"/>
                    <w:rPr>
                      <w:b/>
                      <w:color w:val="000000"/>
                      <w:szCs w:val="21"/>
                    </w:rPr>
                  </w:pPr>
                  <w:r>
                    <w:rPr>
                      <w:rFonts w:hint="eastAsia"/>
                      <w:b/>
                      <w:color w:val="000000"/>
                      <w:szCs w:val="21"/>
                    </w:rPr>
                    <w:t>系数单位</w:t>
                  </w:r>
                </w:p>
              </w:tc>
              <w:tc>
                <w:tcPr>
                  <w:tcW w:w="851" w:type="dxa"/>
                  <w:vAlign w:val="center"/>
                </w:tcPr>
                <w:p>
                  <w:pPr>
                    <w:adjustRightInd w:val="0"/>
                    <w:jc w:val="center"/>
                    <w:rPr>
                      <w:b/>
                      <w:color w:val="000000"/>
                      <w:szCs w:val="21"/>
                    </w:rPr>
                  </w:pPr>
                  <w:r>
                    <w:rPr>
                      <w:rFonts w:hint="eastAsia"/>
                      <w:b/>
                      <w:color w:val="000000"/>
                      <w:szCs w:val="21"/>
                    </w:rPr>
                    <w:t>产污系数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676" w:type="dxa"/>
                  <w:vAlign w:val="center"/>
                </w:tcPr>
                <w:p>
                  <w:pPr>
                    <w:adjustRightInd w:val="0"/>
                    <w:jc w:val="center"/>
                    <w:rPr>
                      <w:color w:val="000000"/>
                      <w:szCs w:val="21"/>
                    </w:rPr>
                  </w:pPr>
                  <w:r>
                    <w:rPr>
                      <w:rFonts w:hint="eastAsia"/>
                      <w:color w:val="000000"/>
                      <w:szCs w:val="21"/>
                    </w:rPr>
                    <w:t>砂石骨料</w:t>
                  </w:r>
                </w:p>
              </w:tc>
              <w:tc>
                <w:tcPr>
                  <w:tcW w:w="2170" w:type="dxa"/>
                  <w:vAlign w:val="center"/>
                </w:tcPr>
                <w:p>
                  <w:pPr>
                    <w:adjustRightInd w:val="0"/>
                    <w:jc w:val="center"/>
                    <w:rPr>
                      <w:color w:val="000000"/>
                      <w:szCs w:val="21"/>
                    </w:rPr>
                  </w:pPr>
                  <w:r>
                    <w:rPr>
                      <w:rFonts w:hint="eastAsia"/>
                      <w:color w:val="000000"/>
                      <w:szCs w:val="21"/>
                    </w:rPr>
                    <w:t>岩石、矿石、建筑固体废弃物、尾矿等</w:t>
                  </w:r>
                </w:p>
              </w:tc>
              <w:tc>
                <w:tcPr>
                  <w:tcW w:w="1134" w:type="dxa"/>
                  <w:vAlign w:val="center"/>
                </w:tcPr>
                <w:p>
                  <w:pPr>
                    <w:adjustRightInd w:val="0"/>
                    <w:jc w:val="center"/>
                    <w:rPr>
                      <w:color w:val="000000"/>
                      <w:szCs w:val="21"/>
                    </w:rPr>
                  </w:pPr>
                  <w:r>
                    <w:rPr>
                      <w:rFonts w:hint="eastAsia"/>
                      <w:color w:val="000000"/>
                      <w:szCs w:val="21"/>
                    </w:rPr>
                    <w:t>破碎、筛分</w:t>
                  </w:r>
                </w:p>
              </w:tc>
              <w:tc>
                <w:tcPr>
                  <w:tcW w:w="709" w:type="dxa"/>
                  <w:vAlign w:val="center"/>
                </w:tcPr>
                <w:p>
                  <w:pPr>
                    <w:adjustRightInd w:val="0"/>
                    <w:jc w:val="center"/>
                    <w:rPr>
                      <w:color w:val="000000"/>
                      <w:szCs w:val="21"/>
                    </w:rPr>
                  </w:pPr>
                  <w:r>
                    <w:rPr>
                      <w:rFonts w:hint="eastAsia"/>
                      <w:color w:val="000000"/>
                      <w:szCs w:val="21"/>
                    </w:rPr>
                    <w:t>所有规模</w:t>
                  </w:r>
                </w:p>
              </w:tc>
              <w:tc>
                <w:tcPr>
                  <w:tcW w:w="708" w:type="dxa"/>
                  <w:vAlign w:val="center"/>
                </w:tcPr>
                <w:p>
                  <w:pPr>
                    <w:adjustRightInd w:val="0"/>
                    <w:jc w:val="center"/>
                    <w:rPr>
                      <w:color w:val="000000"/>
                      <w:szCs w:val="21"/>
                    </w:rPr>
                  </w:pPr>
                  <w:r>
                    <w:rPr>
                      <w:rFonts w:hint="eastAsia"/>
                      <w:color w:val="000000"/>
                      <w:szCs w:val="21"/>
                    </w:rPr>
                    <w:t>废气</w:t>
                  </w:r>
                </w:p>
              </w:tc>
              <w:tc>
                <w:tcPr>
                  <w:tcW w:w="851" w:type="dxa"/>
                  <w:vAlign w:val="center"/>
                </w:tcPr>
                <w:p>
                  <w:pPr>
                    <w:adjustRightInd w:val="0"/>
                    <w:jc w:val="center"/>
                    <w:rPr>
                      <w:color w:val="000000"/>
                      <w:szCs w:val="21"/>
                    </w:rPr>
                  </w:pPr>
                  <w:r>
                    <w:rPr>
                      <w:rFonts w:hint="eastAsia"/>
                      <w:color w:val="000000"/>
                      <w:szCs w:val="21"/>
                    </w:rPr>
                    <w:t>颗粒物</w:t>
                  </w:r>
                </w:p>
              </w:tc>
              <w:tc>
                <w:tcPr>
                  <w:tcW w:w="1417" w:type="dxa"/>
                  <w:vAlign w:val="center"/>
                </w:tcPr>
                <w:p>
                  <w:pPr>
                    <w:adjustRightInd w:val="0"/>
                    <w:jc w:val="center"/>
                    <w:rPr>
                      <w:color w:val="000000"/>
                      <w:szCs w:val="21"/>
                    </w:rPr>
                  </w:pPr>
                  <w:r>
                    <w:rPr>
                      <w:rFonts w:hint="eastAsia"/>
                      <w:color w:val="000000"/>
                      <w:szCs w:val="21"/>
                    </w:rPr>
                    <w:t>千克/吨-产品</w:t>
                  </w:r>
                </w:p>
              </w:tc>
              <w:tc>
                <w:tcPr>
                  <w:tcW w:w="851" w:type="dxa"/>
                  <w:vAlign w:val="center"/>
                </w:tcPr>
                <w:p>
                  <w:pPr>
                    <w:adjustRightInd w:val="0"/>
                    <w:jc w:val="center"/>
                    <w:rPr>
                      <w:color w:val="000000"/>
                      <w:szCs w:val="21"/>
                    </w:rPr>
                  </w:pPr>
                  <w:r>
                    <w:rPr>
                      <w:color w:val="000000"/>
                      <w:szCs w:val="21"/>
                    </w:rPr>
                    <w:t>1.89</w:t>
                  </w:r>
                </w:p>
              </w:tc>
            </w:tr>
          </w:tbl>
          <w:p>
            <w:pPr>
              <w:adjustRightInd w:val="0"/>
              <w:snapToGrid w:val="0"/>
              <w:spacing w:before="120" w:beforeLines="50" w:line="360" w:lineRule="auto"/>
              <w:ind w:firstLine="480" w:firstLineChars="200"/>
              <w:rPr>
                <w:rFonts w:cs="宋体"/>
                <w:b/>
                <w:bCs/>
                <w:sz w:val="24"/>
              </w:rPr>
            </w:pPr>
            <w:r>
              <w:rPr>
                <w:rFonts w:hint="eastAsia" w:cs="宋体"/>
                <w:bCs/>
                <w:sz w:val="24"/>
              </w:rPr>
              <w:t>本项目总计年产1</w:t>
            </w:r>
            <w:r>
              <w:rPr>
                <w:rFonts w:cs="宋体"/>
                <w:bCs/>
                <w:sz w:val="24"/>
              </w:rPr>
              <w:t>87</w:t>
            </w:r>
            <w:r>
              <w:rPr>
                <w:rFonts w:hint="eastAsia" w:cs="宋体"/>
                <w:bCs/>
                <w:sz w:val="24"/>
              </w:rPr>
              <w:t>万吨建筑砂石，则破碎、加工产生的颗粒物总量为3</w:t>
            </w:r>
            <w:r>
              <w:rPr>
                <w:rFonts w:cs="宋体"/>
                <w:bCs/>
                <w:sz w:val="24"/>
              </w:rPr>
              <w:t>543.3</w:t>
            </w:r>
            <w:r>
              <w:rPr>
                <w:rFonts w:hint="eastAsia" w:cs="宋体"/>
                <w:bCs/>
                <w:sz w:val="24"/>
              </w:rPr>
              <w:t>t</w:t>
            </w:r>
            <w:r>
              <w:rPr>
                <w:rFonts w:cs="宋体"/>
                <w:bCs/>
                <w:sz w:val="24"/>
              </w:rPr>
              <w:t>/a</w:t>
            </w:r>
            <w:r>
              <w:rPr>
                <w:rFonts w:hint="eastAsia" w:cs="宋体"/>
                <w:bCs/>
                <w:sz w:val="24"/>
              </w:rPr>
              <w:t>。</w:t>
            </w:r>
          </w:p>
          <w:p>
            <w:pPr>
              <w:adjustRightInd w:val="0"/>
              <w:snapToGrid w:val="0"/>
              <w:spacing w:line="360" w:lineRule="auto"/>
              <w:ind w:firstLine="482" w:firstLineChars="200"/>
              <w:rPr>
                <w:sz w:val="24"/>
              </w:rPr>
            </w:pPr>
            <w:r>
              <w:rPr>
                <w:rFonts w:hint="eastAsia"/>
                <w:b/>
                <w:sz w:val="24"/>
              </w:rPr>
              <w:t>拟采取治理措施：</w:t>
            </w:r>
            <w:r>
              <w:rPr>
                <w:rFonts w:hint="eastAsia"/>
                <w:sz w:val="24"/>
              </w:rPr>
              <w:t>采取湿法作业，</w:t>
            </w:r>
            <w:r>
              <w:rPr>
                <w:rFonts w:hint="eastAsia"/>
                <w:bCs/>
                <w:sz w:val="24"/>
              </w:rPr>
              <w:t>在筛分过程中加水</w:t>
            </w:r>
            <w:r>
              <w:rPr>
                <w:rFonts w:hint="eastAsia"/>
                <w:sz w:val="24"/>
              </w:rPr>
              <w:t>以降低粉尘产生量，同时吸收产生粉尘；采取洒水降尘措施，在屋顶设置喷雾降尘（间隔3m设一组喷头，每个喷头间距2m）；生产过程在全封闭厂房内进行，以减少粉尘逸散。</w:t>
            </w:r>
          </w:p>
          <w:p>
            <w:pPr>
              <w:widowControl/>
              <w:spacing w:line="360" w:lineRule="auto"/>
              <w:ind w:firstLine="482" w:firstLineChars="200"/>
              <w:rPr>
                <w:rFonts w:ascii="宋体" w:hAnsi="宋体" w:cs="宋体"/>
                <w:kern w:val="0"/>
                <w:sz w:val="24"/>
                <w:lang w:bidi="ar"/>
              </w:rPr>
            </w:pPr>
            <w:r>
              <w:rPr>
                <w:rFonts w:hint="eastAsia" w:cs="宋体"/>
                <w:b/>
                <w:bCs/>
                <w:sz w:val="24"/>
              </w:rPr>
              <w:t>排放情况：</w:t>
            </w:r>
            <w:r>
              <w:rPr>
                <w:rFonts w:hint="eastAsia" w:cs="宋体"/>
                <w:bCs/>
                <w:sz w:val="24"/>
              </w:rPr>
              <w:t>湿法作业能使粉尘产生量减少9</w:t>
            </w:r>
            <w:r>
              <w:rPr>
                <w:rFonts w:cs="宋体"/>
                <w:bCs/>
                <w:sz w:val="24"/>
              </w:rPr>
              <w:t>0</w:t>
            </w:r>
            <w:r>
              <w:rPr>
                <w:rFonts w:hint="eastAsia" w:cs="宋体"/>
                <w:bCs/>
                <w:sz w:val="24"/>
              </w:rPr>
              <w:t>%</w:t>
            </w:r>
            <w:r>
              <w:rPr>
                <w:rFonts w:hint="eastAsia" w:ascii="宋体" w:hAnsi="宋体" w:cs="宋体"/>
                <w:kern w:val="0"/>
                <w:sz w:val="24"/>
                <w:lang w:bidi="ar"/>
              </w:rPr>
              <w:t>，参考生态环境部《排放源统计调查产排污核算方法和系数手册》中粉尘控制措施控制效率，</w:t>
            </w:r>
            <w:r>
              <w:rPr>
                <w:rFonts w:hint="eastAsia"/>
                <w:sz w:val="24"/>
              </w:rPr>
              <w:t>洒水降尘对粉尘逸散控制效率为</w:t>
            </w:r>
            <w:r>
              <w:rPr>
                <w:sz w:val="24"/>
              </w:rPr>
              <w:t>74%</w:t>
            </w:r>
            <w:r>
              <w:rPr>
                <w:rFonts w:hint="eastAsia"/>
                <w:sz w:val="24"/>
              </w:rPr>
              <w:t>，厂房封闭对粉尘阻挡效率为</w:t>
            </w:r>
            <w:r>
              <w:rPr>
                <w:sz w:val="24"/>
              </w:rPr>
              <w:t>99%</w:t>
            </w:r>
            <w:r>
              <w:rPr>
                <w:rFonts w:hint="eastAsia"/>
                <w:sz w:val="24"/>
              </w:rPr>
              <w:t>。</w:t>
            </w:r>
            <w:r>
              <w:rPr>
                <w:rFonts w:hint="eastAsia" w:ascii="宋体" w:hAnsi="宋体" w:cs="宋体"/>
                <w:kern w:val="0"/>
                <w:sz w:val="24"/>
                <w:lang w:bidi="ar"/>
              </w:rPr>
              <w:t>则通过设置“湿法作业</w:t>
            </w:r>
            <w:r>
              <w:rPr>
                <w:kern w:val="0"/>
                <w:sz w:val="24"/>
                <w:lang w:bidi="ar"/>
              </w:rPr>
              <w:t>+</w:t>
            </w:r>
            <w:r>
              <w:rPr>
                <w:rFonts w:hint="eastAsia" w:ascii="宋体" w:hAnsi="宋体" w:cs="宋体"/>
                <w:kern w:val="0"/>
                <w:sz w:val="24"/>
                <w:lang w:bidi="ar"/>
              </w:rPr>
              <w:t>密闭车间</w:t>
            </w:r>
            <w:r>
              <w:rPr>
                <w:kern w:val="0"/>
                <w:sz w:val="24"/>
                <w:lang w:bidi="ar"/>
              </w:rPr>
              <w:t>+</w:t>
            </w:r>
            <w:r>
              <w:rPr>
                <w:rFonts w:hint="eastAsia" w:ascii="宋体" w:hAnsi="宋体" w:cs="宋体"/>
                <w:kern w:val="0"/>
                <w:sz w:val="24"/>
                <w:lang w:bidi="ar"/>
              </w:rPr>
              <w:t>喷雾降尘”后，粉尘控制效率为</w:t>
            </w:r>
            <w:r>
              <w:rPr>
                <w:kern w:val="0"/>
                <w:sz w:val="24"/>
                <w:lang w:bidi="ar"/>
              </w:rPr>
              <w:t>1-</w:t>
            </w:r>
            <w:r>
              <w:rPr>
                <w:rFonts w:hint="eastAsia"/>
                <w:kern w:val="0"/>
                <w:sz w:val="24"/>
                <w:lang w:bidi="ar"/>
              </w:rPr>
              <w:t>(</w:t>
            </w:r>
            <w:r>
              <w:rPr>
                <w:kern w:val="0"/>
                <w:sz w:val="24"/>
                <w:lang w:bidi="ar"/>
              </w:rPr>
              <w:t>1-90%</w:t>
            </w:r>
            <w:r>
              <w:rPr>
                <w:rFonts w:hint="eastAsia"/>
                <w:kern w:val="0"/>
                <w:sz w:val="24"/>
                <w:lang w:bidi="ar"/>
              </w:rPr>
              <w:t>)</w:t>
            </w:r>
            <w:r>
              <w:rPr>
                <w:kern w:val="0"/>
                <w:sz w:val="24"/>
                <w:lang w:bidi="ar"/>
              </w:rPr>
              <w:t>×</w:t>
            </w:r>
            <w:r>
              <w:rPr>
                <w:rFonts w:hint="eastAsia"/>
                <w:kern w:val="0"/>
                <w:sz w:val="24"/>
                <w:lang w:bidi="ar"/>
              </w:rPr>
              <w:t>(</w:t>
            </w:r>
            <w:r>
              <w:rPr>
                <w:kern w:val="0"/>
                <w:sz w:val="24"/>
                <w:lang w:bidi="ar"/>
              </w:rPr>
              <w:t>1-99%</w:t>
            </w:r>
            <w:r>
              <w:rPr>
                <w:rFonts w:hint="eastAsia"/>
                <w:kern w:val="0"/>
                <w:sz w:val="24"/>
                <w:lang w:bidi="ar"/>
              </w:rPr>
              <w:t>)</w:t>
            </w:r>
            <w:r>
              <w:rPr>
                <w:kern w:val="0"/>
                <w:sz w:val="24"/>
                <w:lang w:bidi="ar"/>
              </w:rPr>
              <w:t>×(1-74%</w:t>
            </w:r>
            <w:r>
              <w:rPr>
                <w:rFonts w:hint="eastAsia"/>
                <w:kern w:val="0"/>
                <w:sz w:val="24"/>
                <w:lang w:bidi="ar"/>
              </w:rPr>
              <w:t>)</w:t>
            </w:r>
            <w:r>
              <w:rPr>
                <w:kern w:val="0"/>
                <w:sz w:val="24"/>
                <w:lang w:bidi="ar"/>
              </w:rPr>
              <w:t>≈99.9%。</w:t>
            </w:r>
          </w:p>
          <w:p>
            <w:pPr>
              <w:adjustRightInd w:val="0"/>
              <w:snapToGrid w:val="0"/>
              <w:spacing w:line="360" w:lineRule="auto"/>
              <w:ind w:firstLine="480" w:firstLineChars="200"/>
              <w:rPr>
                <w:rFonts w:cs="宋体"/>
                <w:b/>
                <w:bCs/>
                <w:sz w:val="24"/>
              </w:rPr>
            </w:pPr>
            <w:r>
              <w:rPr>
                <w:rFonts w:hint="eastAsia" w:cs="宋体"/>
                <w:bCs/>
                <w:sz w:val="24"/>
              </w:rPr>
              <w:t>通过实施以上有效措施后，破碎、筛分过程中颗粒物无组织排放量为0</w:t>
            </w:r>
            <w:r>
              <w:rPr>
                <w:rFonts w:cs="宋体"/>
                <w:bCs/>
                <w:sz w:val="24"/>
              </w:rPr>
              <w:t>.921</w:t>
            </w:r>
            <w:r>
              <w:rPr>
                <w:rFonts w:hint="eastAsia" w:cs="宋体"/>
                <w:bCs/>
                <w:sz w:val="24"/>
              </w:rPr>
              <w:t>t</w:t>
            </w:r>
            <w:r>
              <w:rPr>
                <w:rFonts w:cs="宋体"/>
                <w:bCs/>
                <w:sz w:val="24"/>
              </w:rPr>
              <w:t>/a</w:t>
            </w:r>
            <w:r>
              <w:rPr>
                <w:rFonts w:hint="eastAsia" w:cs="宋体"/>
                <w:bCs/>
                <w:sz w:val="24"/>
              </w:rPr>
              <w:t>，排放速率0</w:t>
            </w:r>
            <w:r>
              <w:rPr>
                <w:rFonts w:cs="宋体"/>
                <w:bCs/>
                <w:sz w:val="24"/>
              </w:rPr>
              <w:t>.232kg</w:t>
            </w:r>
            <w:r>
              <w:rPr>
                <w:rFonts w:hint="eastAsia" w:cs="宋体"/>
                <w:bCs/>
                <w:sz w:val="24"/>
              </w:rPr>
              <w:t>/</w:t>
            </w:r>
            <w:r>
              <w:rPr>
                <w:rFonts w:cs="宋体"/>
                <w:bCs/>
                <w:sz w:val="24"/>
              </w:rPr>
              <w:t>h</w:t>
            </w:r>
            <w:r>
              <w:rPr>
                <w:rFonts w:hint="eastAsia" w:cs="宋体"/>
                <w:bCs/>
                <w:sz w:val="24"/>
              </w:rPr>
              <w:t>（年生产时间</w:t>
            </w:r>
            <w:r>
              <w:rPr>
                <w:rFonts w:cs="宋体"/>
                <w:bCs/>
                <w:sz w:val="24"/>
              </w:rPr>
              <w:t>3960</w:t>
            </w:r>
            <w:r>
              <w:rPr>
                <w:rFonts w:hint="eastAsia" w:cs="宋体"/>
                <w:bCs/>
                <w:sz w:val="24"/>
              </w:rPr>
              <w:t>h）。</w:t>
            </w:r>
          </w:p>
          <w:p>
            <w:pPr>
              <w:adjustRightInd w:val="0"/>
              <w:snapToGrid w:val="0"/>
              <w:spacing w:line="360" w:lineRule="auto"/>
              <w:ind w:firstLine="480" w:firstLineChars="200"/>
              <w:rPr>
                <w:rFonts w:cs="宋体"/>
                <w:bCs/>
                <w:sz w:val="24"/>
              </w:rPr>
            </w:pPr>
            <w:r>
              <w:rPr>
                <w:rFonts w:cs="宋体"/>
                <w:bCs/>
                <w:sz w:val="24"/>
              </w:rPr>
              <w:t>3</w:t>
            </w:r>
            <w:r>
              <w:rPr>
                <w:rFonts w:hint="eastAsia" w:cs="宋体"/>
                <w:bCs/>
                <w:sz w:val="24"/>
              </w:rPr>
              <w:t>）成品堆存和装卸粉尘</w:t>
            </w:r>
          </w:p>
          <w:p>
            <w:pPr>
              <w:pStyle w:val="38"/>
              <w:ind w:firstLine="482"/>
              <w:jc w:val="both"/>
              <w:rPr>
                <w:color w:val="000000"/>
              </w:rPr>
            </w:pPr>
            <w:r>
              <w:rPr>
                <w:rFonts w:hint="eastAsia"/>
                <w:b/>
              </w:rPr>
              <w:t>源强核算：</w:t>
            </w:r>
            <w:r>
              <w:rPr>
                <w:rFonts w:hint="eastAsia"/>
              </w:rPr>
              <w:t>原料通过载重汽车进入原料堆场，通过铲车转运至破碎进料斗，在原料堆放时和装卸时会产生一定扬尘。根据《</w:t>
            </w:r>
            <w:r>
              <w:rPr>
                <w:color w:val="000000"/>
              </w:rPr>
              <w:t>工业源固体物料堆场颗粒物核算系数手册</w:t>
            </w:r>
            <w:r>
              <w:rPr>
                <w:rFonts w:hint="eastAsia"/>
              </w:rPr>
              <w:t>》，</w:t>
            </w:r>
            <w:r>
              <w:rPr>
                <w:color w:val="000000"/>
              </w:rPr>
              <w:t>堆场粉尘产生量核算公式如下：</w:t>
            </w:r>
          </w:p>
          <w:p>
            <w:pPr>
              <w:pStyle w:val="38"/>
              <w:ind w:firstLine="480"/>
              <w:rPr>
                <w:color w:val="000000"/>
              </w:rPr>
            </w:pPr>
            <m:oMathPara>
              <m:oMathParaPr>
                <m:jc m:val="center"/>
              </m:oMathParaPr>
              <m:oMath>
                <m:r>
                  <m:rPr/>
                  <w:rPr>
                    <w:rFonts w:ascii="Cambria Math" w:hAnsi="Cambria Math"/>
                    <w:color w:val="000000"/>
                  </w:rPr>
                  <m:t>P=</m:t>
                </m:r>
                <m:sSub>
                  <m:sSubPr>
                    <m:ctrlPr>
                      <w:rPr>
                        <w:rFonts w:ascii="Cambria Math" w:hAnsi="Cambria Math"/>
                        <w:i/>
                        <w:color w:val="000000"/>
                      </w:rPr>
                    </m:ctrlPr>
                  </m:sSubPr>
                  <m:e>
                    <m:r>
                      <m:rPr/>
                      <w:rPr>
                        <w:rFonts w:ascii="Cambria Math" w:hAnsi="Cambria Math"/>
                        <w:color w:val="000000"/>
                      </w:rPr>
                      <m:t>ZC</m:t>
                    </m:r>
                    <m:ctrlPr>
                      <w:rPr>
                        <w:rFonts w:ascii="Cambria Math" w:hAnsi="Cambria Math"/>
                        <w:i/>
                        <w:color w:val="000000"/>
                      </w:rPr>
                    </m:ctrlPr>
                  </m:e>
                  <m:sub>
                    <m:r>
                      <m:rPr/>
                      <w:rPr>
                        <w:rFonts w:ascii="Cambria Math" w:hAnsi="Cambria Math"/>
                        <w:color w:val="000000"/>
                      </w:rPr>
                      <m:t>y</m:t>
                    </m:r>
                    <m:ctrlPr>
                      <w:rPr>
                        <w:rFonts w:ascii="Cambria Math" w:hAnsi="Cambria Math"/>
                        <w:i/>
                        <w:color w:val="000000"/>
                      </w:rPr>
                    </m:ctrlPr>
                  </m:sub>
                </m:sSub>
                <m:r>
                  <m:rPr/>
                  <w:rPr>
                    <w:rFonts w:ascii="Cambria Math" w:hAnsi="Cambria Math"/>
                    <w:color w:val="000000"/>
                  </w:rPr>
                  <m:t>+</m:t>
                </m:r>
                <m:sSub>
                  <m:sSubPr>
                    <m:ctrlPr>
                      <w:rPr>
                        <w:rFonts w:ascii="Cambria Math" w:hAnsi="Cambria Math"/>
                        <w:i/>
                        <w:color w:val="000000"/>
                      </w:rPr>
                    </m:ctrlPr>
                  </m:sSubPr>
                  <m:e>
                    <m:r>
                      <m:rPr/>
                      <w:rPr>
                        <w:rFonts w:ascii="Cambria Math" w:hAnsi="Cambria Math"/>
                        <w:color w:val="000000"/>
                      </w:rPr>
                      <m:t>FC</m:t>
                    </m:r>
                    <m:ctrlPr>
                      <w:rPr>
                        <w:rFonts w:ascii="Cambria Math" w:hAnsi="Cambria Math"/>
                        <w:i/>
                        <w:color w:val="000000"/>
                      </w:rPr>
                    </m:ctrlPr>
                  </m:e>
                  <m:sub>
                    <m:r>
                      <m:rPr/>
                      <w:rPr>
                        <w:rFonts w:ascii="Cambria Math" w:hAnsi="Cambria Math"/>
                        <w:color w:val="000000"/>
                      </w:rPr>
                      <m:t>y</m:t>
                    </m:r>
                    <m:ctrlPr>
                      <w:rPr>
                        <w:rFonts w:ascii="Cambria Math" w:hAnsi="Cambria Math"/>
                        <w:i/>
                        <w:color w:val="000000"/>
                      </w:rPr>
                    </m:ctrlPr>
                  </m:sub>
                </m:sSub>
                <m:r>
                  <m:rPr/>
                  <w:rPr>
                    <w:rFonts w:ascii="Cambria Math" w:hAnsi="Cambria Math"/>
                    <w:color w:val="000000"/>
                  </w:rPr>
                  <m:t>={NC×D×</m:t>
                </m:r>
                <m:d>
                  <m:dPr>
                    <m:ctrlPr>
                      <w:rPr>
                        <w:rFonts w:ascii="Cambria Math" w:hAnsi="Cambria Math"/>
                        <w:i/>
                        <w:color w:val="000000"/>
                      </w:rPr>
                    </m:ctrlPr>
                  </m:dPr>
                  <m:e>
                    <m:f>
                      <m:fPr>
                        <m:ctrlPr>
                          <w:rPr>
                            <w:rFonts w:ascii="Cambria Math" w:hAnsi="Cambria Math"/>
                            <w:i/>
                            <w:color w:val="000000"/>
                          </w:rPr>
                        </m:ctrlPr>
                      </m:fPr>
                      <m:num>
                        <m:r>
                          <m:rPr/>
                          <w:rPr>
                            <w:rFonts w:ascii="Cambria Math" w:hAnsi="Cambria Math"/>
                            <w:color w:val="000000"/>
                          </w:rPr>
                          <m:t>a</m:t>
                        </m:r>
                        <m:ctrlPr>
                          <w:rPr>
                            <w:rFonts w:ascii="Cambria Math" w:hAnsi="Cambria Math"/>
                            <w:i/>
                            <w:color w:val="000000"/>
                          </w:rPr>
                        </m:ctrlPr>
                      </m:num>
                      <m:den>
                        <m:r>
                          <m:rPr/>
                          <w:rPr>
                            <w:rFonts w:ascii="Cambria Math" w:hAnsi="Cambria Math"/>
                            <w:color w:val="000000"/>
                          </w:rPr>
                          <m:t>b</m:t>
                        </m:r>
                        <m:ctrlPr>
                          <w:rPr>
                            <w:rFonts w:ascii="Cambria Math" w:hAnsi="Cambria Math"/>
                            <w:i/>
                            <w:color w:val="000000"/>
                          </w:rPr>
                        </m:ctrlPr>
                      </m:den>
                    </m:f>
                    <m:ctrlPr>
                      <w:rPr>
                        <w:rFonts w:ascii="Cambria Math" w:hAnsi="Cambria Math"/>
                        <w:i/>
                        <w:color w:val="000000"/>
                      </w:rPr>
                    </m:ctrlPr>
                  </m:e>
                </m:d>
                <m:r>
                  <m:rPr/>
                  <w:rPr>
                    <w:rFonts w:ascii="Cambria Math" w:hAnsi="Cambria Math"/>
                    <w:color w:val="000000"/>
                  </w:rPr>
                  <m:t>+2×</m:t>
                </m:r>
                <m:sSub>
                  <m:sSubPr>
                    <m:ctrlPr>
                      <w:rPr>
                        <w:rFonts w:ascii="Cambria Math" w:hAnsi="Cambria Math"/>
                        <w:i/>
                        <w:color w:val="000000"/>
                      </w:rPr>
                    </m:ctrlPr>
                  </m:sSubPr>
                  <m:e>
                    <m:r>
                      <m:rPr/>
                      <w:rPr>
                        <w:rFonts w:ascii="Cambria Math" w:hAnsi="Cambria Math"/>
                        <w:color w:val="000000"/>
                      </w:rPr>
                      <m:t>E</m:t>
                    </m:r>
                    <m:ctrlPr>
                      <w:rPr>
                        <w:rFonts w:ascii="Cambria Math" w:hAnsi="Cambria Math"/>
                        <w:i/>
                        <w:color w:val="000000"/>
                      </w:rPr>
                    </m:ctrlPr>
                  </m:e>
                  <m:sub>
                    <m:r>
                      <m:rPr/>
                      <w:rPr>
                        <w:rFonts w:ascii="Cambria Math" w:hAnsi="Cambria Math"/>
                        <w:color w:val="000000"/>
                      </w:rPr>
                      <m:t>y</m:t>
                    </m:r>
                    <m:ctrlPr>
                      <w:rPr>
                        <w:rFonts w:ascii="Cambria Math" w:hAnsi="Cambria Math"/>
                        <w:i/>
                        <w:color w:val="000000"/>
                      </w:rPr>
                    </m:ctrlPr>
                  </m:sub>
                </m:sSub>
                <m:r>
                  <m:rPr/>
                  <w:rPr>
                    <w:rFonts w:ascii="Cambria Math" w:hAnsi="Cambria Math"/>
                    <w:color w:val="000000"/>
                  </w:rPr>
                  <m:t>×S}×</m:t>
                </m:r>
                <m:sSup>
                  <m:sSupPr>
                    <m:ctrlPr>
                      <w:rPr>
                        <w:rFonts w:ascii="Cambria Math" w:hAnsi="Cambria Math"/>
                        <w:i/>
                        <w:color w:val="000000"/>
                      </w:rPr>
                    </m:ctrlPr>
                  </m:sSupPr>
                  <m:e>
                    <m:r>
                      <m:rPr/>
                      <w:rPr>
                        <w:rFonts w:ascii="Cambria Math" w:hAnsi="Cambria Math"/>
                        <w:color w:val="000000"/>
                      </w:rPr>
                      <m:t>10</m:t>
                    </m:r>
                    <m:ctrlPr>
                      <w:rPr>
                        <w:rFonts w:ascii="Cambria Math" w:hAnsi="Cambria Math"/>
                        <w:i/>
                        <w:color w:val="000000"/>
                      </w:rPr>
                    </m:ctrlPr>
                  </m:e>
                  <m:sup>
                    <m:r>
                      <m:rPr/>
                      <w:rPr>
                        <w:rFonts w:ascii="Cambria Math" w:hAnsi="Cambria Math"/>
                        <w:color w:val="000000"/>
                      </w:rPr>
                      <m:t>−3</m:t>
                    </m:r>
                    <m:ctrlPr>
                      <w:rPr>
                        <w:rFonts w:ascii="Cambria Math" w:hAnsi="Cambria Math"/>
                        <w:i/>
                        <w:color w:val="000000"/>
                      </w:rPr>
                    </m:ctrlPr>
                  </m:sup>
                </m:sSup>
              </m:oMath>
            </m:oMathPara>
          </w:p>
          <w:p>
            <w:pPr>
              <w:snapToGrid w:val="0"/>
              <w:spacing w:line="360" w:lineRule="auto"/>
              <w:ind w:firstLine="480" w:firstLineChars="200"/>
              <w:rPr>
                <w:color w:val="000000"/>
                <w:sz w:val="24"/>
              </w:rPr>
            </w:pPr>
            <w:r>
              <w:rPr>
                <w:color w:val="000000"/>
                <w:sz w:val="24"/>
              </w:rPr>
              <w:t>式中：P</w:t>
            </w:r>
            <w:r>
              <w:rPr>
                <w:rFonts w:hint="eastAsia"/>
                <w:bCs/>
                <w:color w:val="000000"/>
                <w:sz w:val="24"/>
              </w:rPr>
              <w:t>——</w:t>
            </w:r>
            <w:r>
              <w:rPr>
                <w:color w:val="000000"/>
                <w:sz w:val="24"/>
              </w:rPr>
              <w:t>颗粒物产生量（单位：吨）；</w:t>
            </w:r>
          </w:p>
          <w:p>
            <w:pPr>
              <w:pStyle w:val="38"/>
              <w:wordWrap/>
              <w:ind w:firstLine="1200" w:firstLineChars="500"/>
              <w:jc w:val="both"/>
              <w:rPr>
                <w:color w:val="000000"/>
              </w:rPr>
            </w:pPr>
            <w:r>
              <w:rPr>
                <w:color w:val="000000"/>
              </w:rPr>
              <w:t>ZC</w:t>
            </w:r>
            <w:r>
              <w:rPr>
                <w:color w:val="000000"/>
                <w:vertAlign w:val="subscript"/>
              </w:rPr>
              <w:t xml:space="preserve">y </w:t>
            </w:r>
            <w:r>
              <w:rPr>
                <w:rFonts w:hint="eastAsia"/>
                <w:bCs/>
                <w:color w:val="000000"/>
              </w:rPr>
              <w:t>——</w:t>
            </w:r>
            <w:r>
              <w:rPr>
                <w:color w:val="000000"/>
              </w:rPr>
              <w:t>装卸扬尘产生量（单位：吨）；</w:t>
            </w:r>
          </w:p>
          <w:p>
            <w:pPr>
              <w:pStyle w:val="38"/>
              <w:wordWrap/>
              <w:ind w:firstLine="1200" w:firstLineChars="500"/>
              <w:jc w:val="both"/>
              <w:rPr>
                <w:color w:val="000000"/>
              </w:rPr>
            </w:pPr>
            <w:r>
              <w:rPr>
                <w:color w:val="000000"/>
              </w:rPr>
              <w:t>FC</w:t>
            </w:r>
            <w:r>
              <w:rPr>
                <w:color w:val="000000"/>
                <w:vertAlign w:val="subscript"/>
              </w:rPr>
              <w:t>y</w:t>
            </w:r>
            <w:r>
              <w:rPr>
                <w:rFonts w:hint="eastAsia"/>
                <w:bCs/>
                <w:color w:val="000000"/>
              </w:rPr>
              <w:t>——</w:t>
            </w:r>
            <w:r>
              <w:rPr>
                <w:color w:val="000000"/>
              </w:rPr>
              <w:t>风蚀扬尘产生量（单位：吨）；</w:t>
            </w:r>
          </w:p>
          <w:p>
            <w:pPr>
              <w:spacing w:line="360" w:lineRule="auto"/>
              <w:ind w:firstLine="1200" w:firstLineChars="500"/>
              <w:rPr>
                <w:color w:val="000000"/>
                <w:sz w:val="24"/>
              </w:rPr>
            </w:pPr>
            <w:r>
              <w:rPr>
                <w:color w:val="000000"/>
                <w:sz w:val="24"/>
              </w:rPr>
              <w:t>NC</w:t>
            </w:r>
            <w:r>
              <w:rPr>
                <w:rFonts w:hint="eastAsia"/>
                <w:bCs/>
                <w:color w:val="000000"/>
                <w:sz w:val="24"/>
              </w:rPr>
              <w:t>——</w:t>
            </w:r>
            <w:r>
              <w:rPr>
                <w:color w:val="000000"/>
                <w:sz w:val="24"/>
              </w:rPr>
              <w:t>年物料运载车次（单位：车/a）</w:t>
            </w:r>
            <w:r>
              <w:rPr>
                <w:rFonts w:hint="eastAsia"/>
                <w:color w:val="000000"/>
                <w:sz w:val="24"/>
              </w:rPr>
              <w:t>；</w:t>
            </w:r>
          </w:p>
          <w:p>
            <w:pPr>
              <w:spacing w:line="360" w:lineRule="auto"/>
              <w:ind w:firstLine="1200" w:firstLineChars="500"/>
              <w:rPr>
                <w:color w:val="000000"/>
                <w:sz w:val="24"/>
              </w:rPr>
            </w:pPr>
            <w:r>
              <w:rPr>
                <w:rFonts w:hint="eastAsia"/>
                <w:color w:val="000000"/>
                <w:sz w:val="24"/>
              </w:rPr>
              <w:t>D——单车平均运载量（单位：t/车）；</w:t>
            </w:r>
          </w:p>
          <w:p>
            <w:pPr>
              <w:spacing w:line="360" w:lineRule="auto"/>
              <w:ind w:firstLine="1200" w:firstLineChars="500"/>
              <w:rPr>
                <w:color w:val="000000"/>
                <w:sz w:val="24"/>
              </w:rPr>
            </w:pPr>
            <w:r>
              <w:rPr>
                <w:color w:val="000000"/>
                <w:sz w:val="24"/>
              </w:rPr>
              <w:t>a/b</w:t>
            </w:r>
            <w:r>
              <w:rPr>
                <w:rFonts w:hint="eastAsia"/>
                <w:color w:val="000000"/>
                <w:sz w:val="24"/>
              </w:rPr>
              <w:t>——装卸扬尘概化系数（单位：kg/t），a指各省风速概化系数，本项目位于四川省。根据《工业源固体物料堆场颗粒物核算系数手册》中附录1，a取0.0006。b指物料含水率概化系数，本项目原料堆场堆存物料为砂石，含水率约</w:t>
            </w:r>
            <w:r>
              <w:rPr>
                <w:color w:val="000000"/>
                <w:sz w:val="24"/>
              </w:rPr>
              <w:t>10</w:t>
            </w:r>
            <w:r>
              <w:rPr>
                <w:rFonts w:hint="eastAsia"/>
                <w:color w:val="000000"/>
                <w:sz w:val="24"/>
              </w:rPr>
              <w:t>%，参照《工业源固体物料堆场颗粒物核算系数手册》附录</w:t>
            </w:r>
            <w:r>
              <w:rPr>
                <w:color w:val="000000"/>
                <w:sz w:val="24"/>
              </w:rPr>
              <w:t>2</w:t>
            </w:r>
            <w:r>
              <w:rPr>
                <w:rFonts w:hint="eastAsia"/>
                <w:color w:val="000000"/>
                <w:sz w:val="24"/>
              </w:rPr>
              <w:t>，b取</w:t>
            </w:r>
            <w:r>
              <w:rPr>
                <w:color w:val="000000"/>
                <w:sz w:val="24"/>
              </w:rPr>
              <w:t>0.00151</w:t>
            </w:r>
            <w:r>
              <w:rPr>
                <w:rFonts w:hint="eastAsia"/>
                <w:color w:val="000000"/>
                <w:sz w:val="24"/>
              </w:rPr>
              <w:t>；</w:t>
            </w:r>
          </w:p>
          <w:p>
            <w:pPr>
              <w:spacing w:line="360" w:lineRule="auto"/>
              <w:ind w:firstLine="1200" w:firstLineChars="500"/>
              <w:rPr>
                <w:color w:val="000000"/>
                <w:sz w:val="24"/>
              </w:rPr>
            </w:pPr>
            <w:r>
              <w:rPr>
                <w:rFonts w:hint="eastAsia"/>
                <w:color w:val="000000"/>
                <w:sz w:val="24"/>
              </w:rPr>
              <w:t>Ey——指堆场风蚀扬尘概化系数（单位：kg/m</w:t>
            </w:r>
            <w:r>
              <w:rPr>
                <w:rFonts w:hint="eastAsia"/>
                <w:color w:val="000000"/>
                <w:sz w:val="24"/>
                <w:vertAlign w:val="superscript"/>
              </w:rPr>
              <w:t>2</w:t>
            </w:r>
            <w:r>
              <w:rPr>
                <w:rFonts w:hint="eastAsia"/>
                <w:color w:val="000000"/>
                <w:sz w:val="24"/>
              </w:rPr>
              <w:t>），参照《工业源固体物料堆场颗粒物核算系数手册》附录</w:t>
            </w:r>
            <w:r>
              <w:rPr>
                <w:color w:val="000000"/>
                <w:sz w:val="24"/>
              </w:rPr>
              <w:t>3</w:t>
            </w:r>
            <w:r>
              <w:rPr>
                <w:rFonts w:hint="eastAsia"/>
                <w:color w:val="000000"/>
                <w:sz w:val="24"/>
              </w:rPr>
              <w:t>，取</w:t>
            </w:r>
            <w:r>
              <w:rPr>
                <w:color w:val="000000"/>
                <w:sz w:val="24"/>
              </w:rPr>
              <w:t>41.5808</w:t>
            </w:r>
            <w:r>
              <w:rPr>
                <w:rFonts w:hint="eastAsia"/>
                <w:color w:val="000000"/>
                <w:sz w:val="24"/>
              </w:rPr>
              <w:t>kg/m</w:t>
            </w:r>
            <w:r>
              <w:rPr>
                <w:rFonts w:hint="eastAsia"/>
                <w:color w:val="000000"/>
                <w:sz w:val="24"/>
                <w:vertAlign w:val="superscript"/>
              </w:rPr>
              <w:t>2</w:t>
            </w:r>
            <w:r>
              <w:rPr>
                <w:rFonts w:hint="eastAsia"/>
                <w:color w:val="000000"/>
                <w:sz w:val="24"/>
              </w:rPr>
              <w:t>；</w:t>
            </w:r>
          </w:p>
          <w:p>
            <w:pPr>
              <w:spacing w:line="360" w:lineRule="auto"/>
              <w:ind w:firstLine="1200" w:firstLineChars="500"/>
              <w:rPr>
                <w:color w:val="000000"/>
                <w:sz w:val="24"/>
              </w:rPr>
            </w:pPr>
            <w:r>
              <w:rPr>
                <w:rFonts w:hint="eastAsia"/>
                <w:color w:val="000000"/>
                <w:sz w:val="24"/>
              </w:rPr>
              <w:t>S——堆场占地面积（单位：m</w:t>
            </w:r>
            <w:r>
              <w:rPr>
                <w:color w:val="000000"/>
                <w:sz w:val="24"/>
                <w:vertAlign w:val="superscript"/>
              </w:rPr>
              <w:t>2</w:t>
            </w:r>
            <w:r>
              <w:rPr>
                <w:rFonts w:hint="eastAsia"/>
                <w:color w:val="000000"/>
                <w:sz w:val="24"/>
              </w:rPr>
              <w:t>）</w:t>
            </w:r>
            <w:r>
              <w:rPr>
                <w:rFonts w:hint="eastAsia"/>
                <w:sz w:val="24"/>
              </w:rPr>
              <w:t>。</w:t>
            </w:r>
          </w:p>
          <w:p>
            <w:pPr>
              <w:spacing w:line="360" w:lineRule="auto"/>
              <w:ind w:firstLine="480" w:firstLineChars="200"/>
              <w:rPr>
                <w:sz w:val="24"/>
              </w:rPr>
            </w:pPr>
            <w:r>
              <w:rPr>
                <w:color w:val="000000"/>
                <w:sz w:val="24"/>
              </w:rPr>
              <w:t>本项目</w:t>
            </w:r>
            <w:r>
              <w:rPr>
                <w:rFonts w:hint="eastAsia"/>
                <w:color w:val="000000"/>
                <w:sz w:val="24"/>
              </w:rPr>
              <w:t>年运载成品砂石的次数约</w:t>
            </w:r>
            <w:r>
              <w:rPr>
                <w:color w:val="000000"/>
                <w:sz w:val="24"/>
              </w:rPr>
              <w:t>40000</w:t>
            </w:r>
            <w:r>
              <w:rPr>
                <w:rFonts w:hint="eastAsia"/>
                <w:color w:val="000000"/>
                <w:sz w:val="24"/>
              </w:rPr>
              <w:t>次，车运载量为</w:t>
            </w:r>
            <w:r>
              <w:rPr>
                <w:color w:val="000000"/>
                <w:sz w:val="24"/>
              </w:rPr>
              <w:t>40</w:t>
            </w:r>
            <w:r>
              <w:rPr>
                <w:rFonts w:hint="eastAsia"/>
                <w:color w:val="000000"/>
                <w:sz w:val="24"/>
              </w:rPr>
              <w:t>t/次，成品堆场占地面积为</w:t>
            </w:r>
            <w:r>
              <w:rPr>
                <w:sz w:val="24"/>
              </w:rPr>
              <w:t>1200</w:t>
            </w:r>
            <w:r>
              <w:rPr>
                <w:rFonts w:hint="eastAsia"/>
                <w:sz w:val="24"/>
              </w:rPr>
              <w:t>m</w:t>
            </w:r>
            <w:r>
              <w:rPr>
                <w:sz w:val="24"/>
                <w:vertAlign w:val="superscript"/>
              </w:rPr>
              <w:t>2</w:t>
            </w:r>
            <w:r>
              <w:rPr>
                <w:rFonts w:hint="eastAsia"/>
                <w:sz w:val="24"/>
              </w:rPr>
              <w:t>，则可计算出产品堆场颗粒物产生量为8</w:t>
            </w:r>
            <w:r>
              <w:rPr>
                <w:sz w:val="24"/>
              </w:rPr>
              <w:t>02.08</w:t>
            </w:r>
            <w:r>
              <w:rPr>
                <w:rFonts w:hint="eastAsia"/>
                <w:sz w:val="24"/>
              </w:rPr>
              <w:t>t/a。</w:t>
            </w:r>
          </w:p>
          <w:p>
            <w:pPr>
              <w:spacing w:line="360" w:lineRule="auto"/>
              <w:ind w:firstLine="482" w:firstLineChars="200"/>
              <w:rPr>
                <w:sz w:val="24"/>
              </w:rPr>
            </w:pPr>
            <w:r>
              <w:rPr>
                <w:rFonts w:hint="eastAsia"/>
                <w:b/>
                <w:sz w:val="24"/>
              </w:rPr>
              <w:t>拟采取措施：</w:t>
            </w:r>
            <w:r>
              <w:rPr>
                <w:rFonts w:hint="eastAsia"/>
                <w:sz w:val="24"/>
              </w:rPr>
              <w:t>对</w:t>
            </w:r>
            <w:r>
              <w:rPr>
                <w:rFonts w:hint="eastAsia"/>
                <w:color w:val="000000"/>
                <w:sz w:val="24"/>
              </w:rPr>
              <w:t>堆场周围进行围挡，配备雾炮机洒水；堆料上方覆盖防尘网；出入车辆进行冲洗。</w:t>
            </w:r>
          </w:p>
          <w:p>
            <w:pPr>
              <w:adjustRightInd w:val="0"/>
              <w:snapToGrid w:val="0"/>
              <w:spacing w:line="360" w:lineRule="auto"/>
              <w:ind w:firstLine="482" w:firstLineChars="200"/>
              <w:rPr>
                <w:kern w:val="0"/>
                <w:sz w:val="24"/>
                <w:lang w:bidi="ar"/>
              </w:rPr>
            </w:pPr>
            <w:r>
              <w:rPr>
                <w:rFonts w:hint="eastAsia" w:cs="宋体"/>
                <w:b/>
                <w:bCs/>
                <w:sz w:val="24"/>
              </w:rPr>
              <w:t>排放情况：</w:t>
            </w:r>
            <w:r>
              <w:rPr>
                <w:rFonts w:hint="eastAsia" w:ascii="宋体" w:hAnsi="宋体" w:cs="宋体"/>
                <w:kern w:val="0"/>
                <w:sz w:val="24"/>
                <w:lang w:bidi="ar"/>
              </w:rPr>
              <w:t>参考生态环境部《排放源统计调查产排污核算方法和系数手册》中粉尘控制措施控制效率，喷雾降尘</w:t>
            </w:r>
            <w:r>
              <w:rPr>
                <w:rFonts w:hint="eastAsia"/>
                <w:color w:val="000000"/>
                <w:sz w:val="24"/>
              </w:rPr>
              <w:t>控制效率为7</w:t>
            </w:r>
            <w:r>
              <w:rPr>
                <w:color w:val="000000"/>
                <w:sz w:val="24"/>
              </w:rPr>
              <w:t>4%</w:t>
            </w:r>
            <w:r>
              <w:rPr>
                <w:rFonts w:hint="eastAsia"/>
                <w:color w:val="000000"/>
                <w:sz w:val="24"/>
              </w:rPr>
              <w:t>，围挡控制效率为6</w:t>
            </w:r>
            <w:r>
              <w:rPr>
                <w:color w:val="000000"/>
                <w:sz w:val="24"/>
              </w:rPr>
              <w:t>0%</w:t>
            </w:r>
            <w:r>
              <w:rPr>
                <w:rFonts w:hint="eastAsia"/>
                <w:color w:val="000000"/>
                <w:sz w:val="24"/>
              </w:rPr>
              <w:t>，覆盖防尘网控制效率为</w:t>
            </w:r>
            <w:r>
              <w:rPr>
                <w:color w:val="000000"/>
                <w:sz w:val="24"/>
              </w:rPr>
              <w:t>86%</w:t>
            </w:r>
            <w:r>
              <w:rPr>
                <w:rFonts w:hint="eastAsia"/>
                <w:color w:val="000000"/>
                <w:sz w:val="24"/>
              </w:rPr>
              <w:t>，出入车辆冲洗控制效率为7</w:t>
            </w:r>
            <w:r>
              <w:rPr>
                <w:color w:val="000000"/>
                <w:sz w:val="24"/>
              </w:rPr>
              <w:t>8%</w:t>
            </w:r>
            <w:r>
              <w:rPr>
                <w:rFonts w:hint="eastAsia"/>
                <w:color w:val="000000"/>
                <w:sz w:val="24"/>
              </w:rPr>
              <w:t>。</w:t>
            </w:r>
            <w:r>
              <w:rPr>
                <w:rFonts w:hint="eastAsia" w:ascii="宋体" w:hAnsi="宋体" w:cs="宋体"/>
                <w:kern w:val="0"/>
                <w:sz w:val="24"/>
                <w:lang w:bidi="ar"/>
              </w:rPr>
              <w:t>则通过设置“喷雾降尘</w:t>
            </w:r>
            <w:r>
              <w:rPr>
                <w:kern w:val="0"/>
                <w:sz w:val="24"/>
                <w:lang w:bidi="ar"/>
              </w:rPr>
              <w:t>+</w:t>
            </w:r>
            <w:r>
              <w:rPr>
                <w:rFonts w:hint="eastAsia" w:ascii="宋体" w:hAnsi="宋体" w:cs="宋体"/>
                <w:kern w:val="0"/>
                <w:sz w:val="24"/>
                <w:lang w:bidi="ar"/>
              </w:rPr>
              <w:t>围挡</w:t>
            </w:r>
            <w:r>
              <w:rPr>
                <w:kern w:val="0"/>
                <w:sz w:val="24"/>
                <w:lang w:bidi="ar"/>
              </w:rPr>
              <w:t>+</w:t>
            </w:r>
            <w:r>
              <w:rPr>
                <w:rFonts w:hint="eastAsia"/>
                <w:color w:val="000000"/>
                <w:sz w:val="24"/>
              </w:rPr>
              <w:t>覆盖防尘网</w:t>
            </w:r>
            <w:r>
              <w:rPr>
                <w:kern w:val="0"/>
                <w:sz w:val="24"/>
                <w:lang w:bidi="ar"/>
              </w:rPr>
              <w:t>+</w:t>
            </w:r>
            <w:r>
              <w:rPr>
                <w:rFonts w:hint="eastAsia"/>
                <w:color w:val="000000"/>
                <w:sz w:val="24"/>
              </w:rPr>
              <w:t>出入车辆冲洗</w:t>
            </w:r>
            <w:r>
              <w:rPr>
                <w:rFonts w:hint="eastAsia" w:ascii="宋体" w:hAnsi="宋体" w:cs="宋体"/>
                <w:kern w:val="0"/>
                <w:sz w:val="24"/>
                <w:lang w:bidi="ar"/>
              </w:rPr>
              <w:t>”后，粉尘控制效率为</w:t>
            </w:r>
            <w:r>
              <w:rPr>
                <w:kern w:val="0"/>
                <w:sz w:val="24"/>
                <w:lang w:bidi="ar"/>
              </w:rPr>
              <w:t>1-(1-74%</w:t>
            </w:r>
            <w:r>
              <w:rPr>
                <w:rFonts w:hint="eastAsia"/>
                <w:kern w:val="0"/>
                <w:sz w:val="24"/>
                <w:lang w:bidi="ar"/>
              </w:rPr>
              <w:t>)</w:t>
            </w:r>
            <w:r>
              <w:rPr>
                <w:kern w:val="0"/>
                <w:sz w:val="24"/>
                <w:lang w:bidi="ar"/>
              </w:rPr>
              <w:t>×(1-60%</w:t>
            </w:r>
            <w:r>
              <w:rPr>
                <w:rFonts w:hint="eastAsia"/>
                <w:kern w:val="0"/>
                <w:sz w:val="24"/>
                <w:lang w:bidi="ar"/>
              </w:rPr>
              <w:t>)</w:t>
            </w:r>
            <w:r>
              <w:rPr>
                <w:kern w:val="0"/>
                <w:sz w:val="24"/>
                <w:lang w:bidi="ar"/>
              </w:rPr>
              <w:t>×(1-86%</w:t>
            </w:r>
            <w:r>
              <w:rPr>
                <w:rFonts w:hint="eastAsia"/>
                <w:kern w:val="0"/>
                <w:sz w:val="24"/>
                <w:lang w:bidi="ar"/>
              </w:rPr>
              <w:t>)</w:t>
            </w:r>
            <w:r>
              <w:rPr>
                <w:kern w:val="0"/>
                <w:sz w:val="24"/>
                <w:lang w:bidi="ar"/>
              </w:rPr>
              <w:t>×(1-78%</w:t>
            </w:r>
            <w:r>
              <w:rPr>
                <w:rFonts w:hint="eastAsia"/>
                <w:kern w:val="0"/>
                <w:sz w:val="24"/>
                <w:lang w:bidi="ar"/>
              </w:rPr>
              <w:t>)</w:t>
            </w:r>
            <w:r>
              <w:rPr>
                <w:kern w:val="0"/>
                <w:sz w:val="24"/>
                <w:lang w:bidi="ar"/>
              </w:rPr>
              <w:t>≈99.7%</w:t>
            </w:r>
          </w:p>
          <w:p>
            <w:pPr>
              <w:adjustRightInd w:val="0"/>
              <w:snapToGrid w:val="0"/>
              <w:spacing w:line="360" w:lineRule="auto"/>
              <w:ind w:firstLine="480" w:firstLineChars="200"/>
              <w:rPr>
                <w:rFonts w:cs="宋体"/>
                <w:b/>
                <w:bCs/>
                <w:sz w:val="24"/>
              </w:rPr>
            </w:pPr>
            <w:r>
              <w:rPr>
                <w:rFonts w:hint="eastAsia" w:cs="宋体"/>
                <w:bCs/>
                <w:sz w:val="24"/>
              </w:rPr>
              <w:t>通过实施以上有效措施后，成品堆存与装卸过程中颗粒物无组织排放量为</w:t>
            </w:r>
            <w:r>
              <w:rPr>
                <w:rFonts w:cs="宋体"/>
                <w:bCs/>
                <w:sz w:val="24"/>
              </w:rPr>
              <w:t>2.57</w:t>
            </w:r>
            <w:r>
              <w:rPr>
                <w:rFonts w:hint="eastAsia" w:cs="宋体"/>
                <w:bCs/>
                <w:sz w:val="24"/>
              </w:rPr>
              <w:t>t</w:t>
            </w:r>
            <w:r>
              <w:rPr>
                <w:rFonts w:cs="宋体"/>
                <w:bCs/>
                <w:sz w:val="24"/>
              </w:rPr>
              <w:t>/a</w:t>
            </w:r>
            <w:r>
              <w:rPr>
                <w:rFonts w:hint="eastAsia" w:cs="宋体"/>
                <w:bCs/>
                <w:sz w:val="24"/>
              </w:rPr>
              <w:t>，排放速率为</w:t>
            </w:r>
            <w:r>
              <w:rPr>
                <w:rFonts w:cs="宋体"/>
                <w:bCs/>
                <w:sz w:val="24"/>
              </w:rPr>
              <w:t>0.324kg</w:t>
            </w:r>
            <w:r>
              <w:rPr>
                <w:rFonts w:hint="eastAsia" w:cs="宋体"/>
                <w:bCs/>
                <w:sz w:val="24"/>
              </w:rPr>
              <w:t>/</w:t>
            </w:r>
            <w:r>
              <w:rPr>
                <w:rFonts w:cs="宋体"/>
                <w:bCs/>
                <w:sz w:val="24"/>
              </w:rPr>
              <w:t>h</w:t>
            </w:r>
            <w:r>
              <w:rPr>
                <w:rFonts w:hint="eastAsia" w:cs="宋体"/>
                <w:bCs/>
                <w:sz w:val="24"/>
              </w:rPr>
              <w:t>。</w:t>
            </w:r>
          </w:p>
          <w:p>
            <w:pPr>
              <w:adjustRightInd w:val="0"/>
              <w:snapToGrid w:val="0"/>
              <w:spacing w:line="360" w:lineRule="auto"/>
              <w:ind w:firstLine="480" w:firstLineChars="200"/>
              <w:rPr>
                <w:rFonts w:cs="宋体"/>
                <w:bCs/>
                <w:sz w:val="24"/>
              </w:rPr>
            </w:pPr>
            <w:r>
              <w:rPr>
                <w:rFonts w:cs="宋体"/>
                <w:bCs/>
                <w:sz w:val="24"/>
              </w:rPr>
              <w:t>4</w:t>
            </w:r>
            <w:r>
              <w:rPr>
                <w:rFonts w:hint="eastAsia" w:cs="宋体"/>
                <w:bCs/>
                <w:sz w:val="24"/>
              </w:rPr>
              <w:t>）车辆运输杨尘</w:t>
            </w:r>
          </w:p>
          <w:p>
            <w:pPr>
              <w:adjustRightInd w:val="0"/>
              <w:snapToGrid w:val="0"/>
              <w:spacing w:line="360" w:lineRule="auto"/>
              <w:ind w:firstLine="482" w:firstLineChars="200"/>
              <w:rPr>
                <w:rFonts w:cs="宋体"/>
                <w:bCs/>
                <w:sz w:val="24"/>
              </w:rPr>
            </w:pPr>
            <w:r>
              <w:rPr>
                <w:rFonts w:hint="eastAsia"/>
                <w:b/>
                <w:sz w:val="24"/>
              </w:rPr>
              <w:t>源强核算：</w:t>
            </w:r>
            <w:r>
              <w:rPr>
                <w:rFonts w:hint="eastAsia" w:cs="宋体"/>
                <w:bCs/>
                <w:sz w:val="24"/>
              </w:rPr>
              <w:t>运输道路扬尘主要在外界风力或车辆运动使聚集于道路表面的颗粒物进入环境污染空气，扬尘大小与路面颗粒物沉积量、车流量、路况及气象条件因素有关，扬尘飞扬距离还与颗粒物粒径大小、分布有关。运输扬尘计算公式：</w:t>
            </w:r>
          </w:p>
          <w:p>
            <w:pPr>
              <w:adjustRightInd w:val="0"/>
              <w:snapToGrid w:val="0"/>
              <w:spacing w:line="360" w:lineRule="auto"/>
              <w:ind w:firstLine="480" w:firstLineChars="200"/>
              <w:rPr>
                <w:rFonts w:cs="宋体"/>
                <w:bCs/>
                <w:sz w:val="24"/>
              </w:rPr>
            </w:pPr>
            <m:oMathPara>
              <m:oMath>
                <m:sSub>
                  <m:sSubPr>
                    <m:ctrlPr>
                      <w:rPr>
                        <w:rFonts w:ascii="Cambria Math" w:hAnsi="Cambria Math" w:cs="宋体"/>
                        <w:bCs/>
                        <w:sz w:val="24"/>
                      </w:rPr>
                    </m:ctrlPr>
                  </m:sSubPr>
                  <m:e>
                    <m:r>
                      <m:rPr/>
                      <w:rPr>
                        <w:rFonts w:hint="eastAsia" w:ascii="Cambria Math" w:hAnsi="Cambria Math" w:cs="宋体"/>
                        <w:sz w:val="24"/>
                      </w:rPr>
                      <m:t>Q</m:t>
                    </m:r>
                    <m:ctrlPr>
                      <w:rPr>
                        <w:rFonts w:ascii="Cambria Math" w:hAnsi="Cambria Math" w:cs="宋体"/>
                        <w:bCs/>
                        <w:sz w:val="24"/>
                      </w:rPr>
                    </m:ctrlPr>
                  </m:e>
                  <m:sub>
                    <m:r>
                      <m:rPr/>
                      <w:rPr>
                        <w:rFonts w:ascii="Cambria Math" w:hAnsi="Cambria Math" w:cs="宋体"/>
                        <w:sz w:val="24"/>
                      </w:rPr>
                      <m:t>i</m:t>
                    </m:r>
                    <m:ctrlPr>
                      <w:rPr>
                        <w:rFonts w:ascii="Cambria Math" w:hAnsi="Cambria Math" w:cs="宋体"/>
                        <w:bCs/>
                        <w:sz w:val="24"/>
                      </w:rPr>
                    </m:ctrlPr>
                  </m:sub>
                </m:sSub>
                <m:r>
                  <m:rPr/>
                  <w:rPr>
                    <w:rFonts w:ascii="Cambria Math" w:hAnsi="Cambria Math" w:cs="宋体"/>
                    <w:sz w:val="24"/>
                  </w:rPr>
                  <m:t>=0.0079V∙</m:t>
                </m:r>
                <m:sSup>
                  <m:sSupPr>
                    <m:ctrlPr>
                      <w:rPr>
                        <w:rFonts w:ascii="Cambria Math" w:hAnsi="Cambria Math" w:cs="宋体"/>
                        <w:bCs/>
                        <w:i/>
                        <w:sz w:val="24"/>
                      </w:rPr>
                    </m:ctrlPr>
                  </m:sSupPr>
                  <m:e>
                    <m:r>
                      <m:rPr/>
                      <w:rPr>
                        <w:rFonts w:ascii="Cambria Math" w:hAnsi="Cambria Math" w:cs="宋体"/>
                        <w:sz w:val="24"/>
                      </w:rPr>
                      <m:t>W</m:t>
                    </m:r>
                    <m:ctrlPr>
                      <w:rPr>
                        <w:rFonts w:ascii="Cambria Math" w:hAnsi="Cambria Math" w:cs="宋体"/>
                        <w:bCs/>
                        <w:i/>
                        <w:sz w:val="24"/>
                      </w:rPr>
                    </m:ctrlPr>
                  </m:e>
                  <m:sup>
                    <m:r>
                      <m:rPr/>
                      <w:rPr>
                        <w:rFonts w:ascii="Cambria Math" w:hAnsi="Cambria Math" w:cs="宋体"/>
                        <w:sz w:val="24"/>
                      </w:rPr>
                      <m:t>0.85</m:t>
                    </m:r>
                    <m:ctrlPr>
                      <w:rPr>
                        <w:rFonts w:ascii="Cambria Math" w:hAnsi="Cambria Math" w:cs="宋体"/>
                        <w:bCs/>
                        <w:i/>
                        <w:sz w:val="24"/>
                      </w:rPr>
                    </m:ctrlPr>
                  </m:sup>
                </m:sSup>
                <m:r>
                  <m:rPr/>
                  <w:rPr>
                    <w:rFonts w:ascii="Cambria Math" w:hAnsi="Cambria Math" w:cs="宋体"/>
                    <w:sz w:val="24"/>
                  </w:rPr>
                  <m:t>∙</m:t>
                </m:r>
                <m:sSup>
                  <m:sSupPr>
                    <m:ctrlPr>
                      <w:rPr>
                        <w:rFonts w:ascii="Cambria Math" w:hAnsi="Cambria Math" w:cs="宋体"/>
                        <w:bCs/>
                        <w:i/>
                        <w:sz w:val="24"/>
                      </w:rPr>
                    </m:ctrlPr>
                  </m:sSupPr>
                  <m:e>
                    <m:r>
                      <m:rPr/>
                      <w:rPr>
                        <w:rFonts w:ascii="Cambria Math" w:hAnsi="Cambria Math" w:cs="宋体"/>
                        <w:sz w:val="24"/>
                      </w:rPr>
                      <m:t>P</m:t>
                    </m:r>
                    <m:ctrlPr>
                      <w:rPr>
                        <w:rFonts w:ascii="Cambria Math" w:hAnsi="Cambria Math" w:cs="宋体"/>
                        <w:bCs/>
                        <w:i/>
                        <w:sz w:val="24"/>
                      </w:rPr>
                    </m:ctrlPr>
                  </m:e>
                  <m:sup>
                    <m:r>
                      <m:rPr/>
                      <w:rPr>
                        <w:rFonts w:ascii="Cambria Math" w:hAnsi="Cambria Math" w:cs="宋体"/>
                        <w:sz w:val="24"/>
                      </w:rPr>
                      <m:t>0.72</m:t>
                    </m:r>
                    <m:ctrlPr>
                      <w:rPr>
                        <w:rFonts w:ascii="Cambria Math" w:hAnsi="Cambria Math" w:cs="宋体"/>
                        <w:bCs/>
                        <w:i/>
                        <w:sz w:val="24"/>
                      </w:rPr>
                    </m:ctrlPr>
                  </m:sup>
                </m:sSup>
              </m:oMath>
            </m:oMathPara>
          </w:p>
          <w:p>
            <w:pPr>
              <w:adjustRightInd w:val="0"/>
              <w:snapToGrid w:val="0"/>
              <w:spacing w:line="360" w:lineRule="auto"/>
              <w:ind w:firstLine="480" w:firstLineChars="200"/>
              <w:rPr>
                <w:rFonts w:cs="宋体"/>
                <w:bCs/>
                <w:sz w:val="24"/>
              </w:rPr>
            </w:pPr>
            <w:r>
              <w:rPr>
                <w:rFonts w:hint="eastAsia" w:cs="宋体"/>
                <w:bCs/>
                <w:sz w:val="24"/>
              </w:rPr>
              <w:t>式中：Qi——汽车行驶的扬尘量，kg/km×辆；</w:t>
            </w:r>
          </w:p>
          <w:p>
            <w:pPr>
              <w:adjustRightInd w:val="0"/>
              <w:snapToGrid w:val="0"/>
              <w:spacing w:line="360" w:lineRule="auto"/>
              <w:ind w:firstLine="1200" w:firstLineChars="500"/>
              <w:rPr>
                <w:rFonts w:cs="宋体"/>
                <w:bCs/>
                <w:sz w:val="24"/>
              </w:rPr>
            </w:pPr>
            <w:r>
              <w:rPr>
                <w:rFonts w:hint="eastAsia" w:cs="宋体"/>
                <w:bCs/>
                <w:sz w:val="24"/>
              </w:rPr>
              <w:t>V——车辆行驶速度，km/h；</w:t>
            </w:r>
          </w:p>
          <w:p>
            <w:pPr>
              <w:adjustRightInd w:val="0"/>
              <w:snapToGrid w:val="0"/>
              <w:spacing w:line="360" w:lineRule="auto"/>
              <w:ind w:firstLine="1200" w:firstLineChars="500"/>
              <w:rPr>
                <w:rFonts w:cs="宋体"/>
                <w:bCs/>
                <w:sz w:val="24"/>
              </w:rPr>
            </w:pPr>
            <w:r>
              <w:rPr>
                <w:rFonts w:hint="eastAsia" w:cs="宋体"/>
                <w:bCs/>
                <w:sz w:val="24"/>
              </w:rPr>
              <w:t>W——车辆载重量，t/辆；</w:t>
            </w:r>
          </w:p>
          <w:p>
            <w:pPr>
              <w:adjustRightInd w:val="0"/>
              <w:snapToGrid w:val="0"/>
              <w:spacing w:line="360" w:lineRule="auto"/>
              <w:ind w:firstLine="1200" w:firstLineChars="500"/>
              <w:rPr>
                <w:rFonts w:cs="宋体"/>
                <w:bCs/>
                <w:sz w:val="24"/>
              </w:rPr>
            </w:pPr>
            <w:r>
              <w:rPr>
                <w:rFonts w:hint="eastAsia" w:cs="宋体"/>
                <w:bCs/>
                <w:sz w:val="24"/>
              </w:rPr>
              <w:t>P——路面灰尘覆盖率，kg/m</w:t>
            </w:r>
            <w:r>
              <w:rPr>
                <w:rFonts w:hint="eastAsia" w:cs="宋体"/>
                <w:bCs/>
                <w:sz w:val="24"/>
                <w:vertAlign w:val="superscript"/>
              </w:rPr>
              <w:t>2</w:t>
            </w:r>
            <w:r>
              <w:rPr>
                <w:rFonts w:hint="eastAsia" w:cs="宋体"/>
                <w:bCs/>
                <w:sz w:val="24"/>
              </w:rPr>
              <w:t>；</w:t>
            </w:r>
          </w:p>
          <w:p>
            <w:pPr>
              <w:adjustRightInd w:val="0"/>
              <w:snapToGrid w:val="0"/>
              <w:spacing w:line="360" w:lineRule="auto"/>
              <w:ind w:firstLine="480" w:firstLineChars="200"/>
              <w:rPr>
                <w:rFonts w:cs="宋体"/>
                <w:bCs/>
                <w:sz w:val="24"/>
              </w:rPr>
            </w:pPr>
            <w:r>
              <w:rPr>
                <w:rFonts w:hint="eastAsia"/>
                <w:sz w:val="24"/>
              </w:rPr>
              <w:t>厂区内运输车辆行驶速度</w:t>
            </w:r>
            <w:r>
              <w:rPr>
                <w:sz w:val="24"/>
              </w:rPr>
              <w:t>20</w:t>
            </w:r>
            <w:r>
              <w:rPr>
                <w:rFonts w:hint="eastAsia"/>
                <w:sz w:val="24"/>
              </w:rPr>
              <w:t>km/h，车辆载重4</w:t>
            </w:r>
            <w:r>
              <w:rPr>
                <w:sz w:val="24"/>
              </w:rPr>
              <w:t>0</w:t>
            </w:r>
            <w:r>
              <w:rPr>
                <w:rFonts w:hint="eastAsia"/>
                <w:sz w:val="24"/>
              </w:rPr>
              <w:t>t，车辆年运输次数约4</w:t>
            </w:r>
            <w:r>
              <w:rPr>
                <w:sz w:val="24"/>
              </w:rPr>
              <w:t>0000</w:t>
            </w:r>
            <w:r>
              <w:rPr>
                <w:rFonts w:hint="eastAsia"/>
                <w:sz w:val="24"/>
              </w:rPr>
              <w:t>次，路面灰尘覆盖率0</w:t>
            </w:r>
            <w:r>
              <w:rPr>
                <w:sz w:val="24"/>
              </w:rPr>
              <w:t>.5</w:t>
            </w:r>
            <w:r>
              <w:rPr>
                <w:rFonts w:hint="eastAsia" w:cs="宋体"/>
                <w:bCs/>
                <w:sz w:val="24"/>
              </w:rPr>
              <w:t>kg/m</w:t>
            </w:r>
            <w:r>
              <w:rPr>
                <w:rFonts w:hint="eastAsia" w:cs="宋体"/>
                <w:bCs/>
                <w:sz w:val="24"/>
                <w:vertAlign w:val="superscript"/>
              </w:rPr>
              <w:t>2</w:t>
            </w:r>
            <w:r>
              <w:rPr>
                <w:rFonts w:hint="eastAsia" w:cs="宋体"/>
                <w:bCs/>
                <w:sz w:val="24"/>
              </w:rPr>
              <w:t>，则可计算出车辆运输杨尘为</w:t>
            </w:r>
            <w:r>
              <w:rPr>
                <w:rFonts w:cs="宋体"/>
                <w:bCs/>
                <w:sz w:val="24"/>
              </w:rPr>
              <w:t>88.25</w:t>
            </w:r>
            <w:r>
              <w:rPr>
                <w:rFonts w:hint="eastAsia" w:cs="宋体"/>
                <w:bCs/>
                <w:sz w:val="24"/>
              </w:rPr>
              <w:t>t/a。</w:t>
            </w:r>
          </w:p>
          <w:p>
            <w:pPr>
              <w:widowControl/>
              <w:spacing w:line="360" w:lineRule="auto"/>
              <w:ind w:firstLine="482" w:firstLineChars="200"/>
              <w:rPr>
                <w:rFonts w:cs="宋体"/>
                <w:kern w:val="0"/>
                <w:sz w:val="24"/>
                <w:lang w:bidi="ar"/>
              </w:rPr>
            </w:pPr>
            <w:r>
              <w:rPr>
                <w:rFonts w:hint="eastAsia"/>
                <w:b/>
                <w:sz w:val="24"/>
              </w:rPr>
              <w:t>拟采取措施：</w:t>
            </w:r>
            <w:r>
              <w:rPr>
                <w:rFonts w:hint="eastAsia" w:cs="宋体"/>
                <w:kern w:val="0"/>
                <w:sz w:val="24"/>
                <w:lang w:bidi="ar"/>
              </w:rPr>
              <w:t>为降低汽车运输造成的扬尘污染，本次评价要求建设单位采取以下防治措施：</w:t>
            </w:r>
          </w:p>
          <w:p>
            <w:pPr>
              <w:widowControl/>
              <w:spacing w:line="360" w:lineRule="auto"/>
              <w:ind w:firstLine="480" w:firstLineChars="200"/>
              <w:rPr>
                <w:rFonts w:cs="宋体"/>
                <w:kern w:val="0"/>
                <w:sz w:val="24"/>
                <w:lang w:bidi="ar"/>
              </w:rPr>
            </w:pPr>
            <w:r>
              <w:rPr>
                <w:rFonts w:hint="eastAsia" w:cs="宋体"/>
                <w:kern w:val="0"/>
                <w:sz w:val="24"/>
                <w:lang w:bidi="ar"/>
              </w:rPr>
              <w:t>①厂区运输道路硬化（含进出场道路、与外道路衔接处）；</w:t>
            </w:r>
          </w:p>
          <w:p>
            <w:pPr>
              <w:widowControl/>
              <w:spacing w:line="360" w:lineRule="auto"/>
              <w:ind w:firstLine="480" w:firstLineChars="200"/>
              <w:rPr>
                <w:rFonts w:cs="宋体"/>
                <w:kern w:val="0"/>
                <w:sz w:val="24"/>
                <w:lang w:bidi="ar"/>
              </w:rPr>
            </w:pPr>
            <w:r>
              <w:rPr>
                <w:rFonts w:hint="eastAsia" w:cs="宋体"/>
                <w:kern w:val="0"/>
                <w:sz w:val="24"/>
                <w:lang w:bidi="ar"/>
              </w:rPr>
              <w:t>②运输车辆控制车速，加盖篷布，不得抛洒和泄露，严禁超高、超载；</w:t>
            </w:r>
          </w:p>
          <w:p>
            <w:pPr>
              <w:widowControl/>
              <w:spacing w:line="360" w:lineRule="auto"/>
              <w:ind w:firstLine="480" w:firstLineChars="200"/>
              <w:rPr>
                <w:rFonts w:cs="宋体"/>
                <w:kern w:val="0"/>
                <w:sz w:val="24"/>
                <w:lang w:bidi="ar"/>
              </w:rPr>
            </w:pPr>
            <w:r>
              <w:rPr>
                <w:rFonts w:hint="eastAsia" w:cs="宋体"/>
                <w:kern w:val="0"/>
                <w:sz w:val="24"/>
                <w:lang w:bidi="ar"/>
              </w:rPr>
              <w:t>③配备保洁人员，每天定时清扫厂区道路（含出厂道路）、喷洒水，每天清扫不得少于</w:t>
            </w:r>
            <w:r>
              <w:rPr>
                <w:rFonts w:cs="宋体"/>
                <w:kern w:val="0"/>
                <w:sz w:val="24"/>
                <w:lang w:bidi="ar"/>
              </w:rPr>
              <w:t>2</w:t>
            </w:r>
            <w:r>
              <w:rPr>
                <w:rFonts w:hint="eastAsia" w:cs="宋体"/>
                <w:kern w:val="0"/>
                <w:sz w:val="24"/>
                <w:lang w:bidi="ar"/>
              </w:rPr>
              <w:t>次，洒水不得少于</w:t>
            </w:r>
            <w:r>
              <w:rPr>
                <w:rFonts w:cs="宋体"/>
                <w:kern w:val="0"/>
                <w:sz w:val="24"/>
                <w:lang w:bidi="ar"/>
              </w:rPr>
              <w:t>4</w:t>
            </w:r>
            <w:r>
              <w:rPr>
                <w:rFonts w:hint="eastAsia" w:cs="宋体"/>
                <w:kern w:val="0"/>
                <w:sz w:val="24"/>
                <w:lang w:bidi="ar"/>
              </w:rPr>
              <w:t>次。干燥、大风天气时加大清扫、洒水频率，以保持路面清洁，不产生扬尘为目标；对洒落在地面的物料进行及时清理，保持地面清洁；</w:t>
            </w:r>
          </w:p>
          <w:p>
            <w:pPr>
              <w:widowControl/>
              <w:spacing w:line="360" w:lineRule="auto"/>
              <w:ind w:firstLine="480" w:firstLineChars="200"/>
              <w:rPr>
                <w:rFonts w:cs="宋体"/>
                <w:kern w:val="0"/>
                <w:sz w:val="24"/>
                <w:lang w:bidi="ar"/>
              </w:rPr>
            </w:pPr>
            <w:r>
              <w:rPr>
                <w:rFonts w:hint="eastAsia" w:cs="宋体"/>
                <w:kern w:val="0"/>
                <w:sz w:val="24"/>
                <w:lang w:bidi="ar"/>
              </w:rPr>
              <w:t xml:space="preserve">④车辆进出口设置轮胎冲洗装置，确保不带尘上路； </w:t>
            </w:r>
          </w:p>
          <w:p>
            <w:pPr>
              <w:adjustRightInd w:val="0"/>
              <w:snapToGrid w:val="0"/>
              <w:spacing w:line="360" w:lineRule="auto"/>
              <w:ind w:firstLine="482" w:firstLineChars="200"/>
              <w:rPr>
                <w:rFonts w:cs="宋体"/>
                <w:bCs/>
                <w:sz w:val="24"/>
              </w:rPr>
            </w:pPr>
            <w:r>
              <w:rPr>
                <w:rFonts w:hint="eastAsia" w:cs="宋体"/>
                <w:b/>
                <w:bCs/>
                <w:sz w:val="24"/>
              </w:rPr>
              <w:t>排放情况：</w:t>
            </w:r>
            <w:r>
              <w:rPr>
                <w:rFonts w:hint="eastAsia" w:cs="宋体"/>
                <w:bCs/>
                <w:sz w:val="24"/>
              </w:rPr>
              <w:t>道路硬化、及时清扫与洒水</w:t>
            </w:r>
            <w:r>
              <w:rPr>
                <w:rFonts w:hint="eastAsia"/>
                <w:sz w:val="24"/>
              </w:rPr>
              <w:t>使</w:t>
            </w:r>
            <w:r>
              <w:rPr>
                <w:rFonts w:hint="eastAsia" w:cs="宋体"/>
                <w:bCs/>
                <w:sz w:val="24"/>
              </w:rPr>
              <w:t>路面灰尘覆盖率保持在0</w:t>
            </w:r>
            <w:r>
              <w:rPr>
                <w:rFonts w:cs="宋体"/>
                <w:bCs/>
                <w:sz w:val="24"/>
              </w:rPr>
              <w:t>.01</w:t>
            </w:r>
            <w:r>
              <w:rPr>
                <w:rFonts w:hint="eastAsia" w:cs="宋体"/>
                <w:bCs/>
                <w:sz w:val="24"/>
              </w:rPr>
              <w:t>kg/m</w:t>
            </w:r>
            <w:r>
              <w:rPr>
                <w:rFonts w:hint="eastAsia" w:cs="宋体"/>
                <w:bCs/>
                <w:sz w:val="24"/>
                <w:vertAlign w:val="superscript"/>
              </w:rPr>
              <w:t>2</w:t>
            </w:r>
            <w:r>
              <w:rPr>
                <w:rFonts w:hint="eastAsia" w:cs="宋体"/>
                <w:bCs/>
                <w:sz w:val="24"/>
              </w:rPr>
              <w:t>以下，厂区内车辆速度控制在1</w:t>
            </w:r>
            <w:r>
              <w:rPr>
                <w:rFonts w:cs="宋体"/>
                <w:bCs/>
                <w:sz w:val="24"/>
              </w:rPr>
              <w:t>5</w:t>
            </w:r>
            <w:r>
              <w:rPr>
                <w:rFonts w:hint="eastAsia" w:cs="宋体"/>
                <w:bCs/>
                <w:sz w:val="24"/>
              </w:rPr>
              <w:t>km/h以下；</w:t>
            </w:r>
            <w:r>
              <w:rPr>
                <w:rFonts w:hint="eastAsia" w:ascii="宋体" w:hAnsi="宋体" w:cs="宋体"/>
                <w:kern w:val="0"/>
                <w:sz w:val="24"/>
                <w:lang w:bidi="ar"/>
              </w:rPr>
              <w:t>参考生态环境部《排放源统计调查产排污核算方法和系数手册》中粉尘控制措施控制效率，</w:t>
            </w:r>
            <w:r>
              <w:rPr>
                <w:rFonts w:hint="eastAsia"/>
                <w:color w:val="000000"/>
                <w:sz w:val="24"/>
              </w:rPr>
              <w:t>出入车辆冲洗控制效率为7</w:t>
            </w:r>
            <w:r>
              <w:rPr>
                <w:color w:val="000000"/>
                <w:sz w:val="24"/>
              </w:rPr>
              <w:t>8%</w:t>
            </w:r>
            <w:r>
              <w:rPr>
                <w:rFonts w:hint="eastAsia" w:cs="宋体"/>
                <w:bCs/>
                <w:sz w:val="24"/>
              </w:rPr>
              <w:t>。</w:t>
            </w:r>
          </w:p>
          <w:p>
            <w:pPr>
              <w:adjustRightInd w:val="0"/>
              <w:snapToGrid w:val="0"/>
              <w:spacing w:line="360" w:lineRule="auto"/>
              <w:ind w:firstLine="480" w:firstLineChars="200"/>
              <w:rPr>
                <w:rFonts w:cs="宋体"/>
                <w:b/>
                <w:bCs/>
                <w:sz w:val="24"/>
              </w:rPr>
            </w:pPr>
            <w:r>
              <w:rPr>
                <w:rFonts w:hint="eastAsia" w:cs="宋体"/>
                <w:bCs/>
                <w:sz w:val="24"/>
              </w:rPr>
              <w:t>通过实施以上有效措施后，车辆运输过程中颗粒物无组织排放量为</w:t>
            </w:r>
            <w:r>
              <w:rPr>
                <w:rFonts w:cs="宋体"/>
                <w:bCs/>
                <w:sz w:val="24"/>
              </w:rPr>
              <w:t>0.87</w:t>
            </w:r>
            <w:r>
              <w:rPr>
                <w:rFonts w:hint="eastAsia" w:cs="宋体"/>
                <w:bCs/>
                <w:sz w:val="24"/>
              </w:rPr>
              <w:t>t</w:t>
            </w:r>
            <w:r>
              <w:rPr>
                <w:rFonts w:cs="宋体"/>
                <w:bCs/>
                <w:sz w:val="24"/>
              </w:rPr>
              <w:t>/a</w:t>
            </w:r>
            <w:r>
              <w:rPr>
                <w:rFonts w:hint="eastAsia" w:cs="宋体"/>
                <w:bCs/>
                <w:sz w:val="24"/>
              </w:rPr>
              <w:t>，排放速率为</w:t>
            </w:r>
            <w:r>
              <w:rPr>
                <w:rFonts w:cs="宋体"/>
                <w:bCs/>
                <w:sz w:val="24"/>
              </w:rPr>
              <w:t>0.11kg</w:t>
            </w:r>
            <w:r>
              <w:rPr>
                <w:rFonts w:hint="eastAsia" w:cs="宋体"/>
                <w:bCs/>
                <w:sz w:val="24"/>
              </w:rPr>
              <w:t>/</w:t>
            </w:r>
            <w:r>
              <w:rPr>
                <w:rFonts w:cs="宋体"/>
                <w:bCs/>
                <w:sz w:val="24"/>
              </w:rPr>
              <w:t>h</w:t>
            </w:r>
            <w:r>
              <w:rPr>
                <w:rFonts w:hint="eastAsia" w:cs="宋体"/>
                <w:bCs/>
                <w:sz w:val="24"/>
              </w:rPr>
              <w:t>。</w:t>
            </w:r>
          </w:p>
          <w:p>
            <w:pPr>
              <w:adjustRightInd w:val="0"/>
              <w:snapToGrid w:val="0"/>
              <w:spacing w:line="360" w:lineRule="auto"/>
              <w:ind w:firstLine="480" w:firstLineChars="200"/>
              <w:rPr>
                <w:rFonts w:cs="宋体"/>
                <w:bCs/>
                <w:sz w:val="24"/>
              </w:rPr>
            </w:pPr>
            <w:r>
              <w:rPr>
                <w:rFonts w:cs="宋体"/>
                <w:bCs/>
                <w:sz w:val="24"/>
              </w:rPr>
              <w:t>5</w:t>
            </w:r>
            <w:r>
              <w:rPr>
                <w:rFonts w:hint="eastAsia" w:cs="宋体"/>
                <w:bCs/>
                <w:sz w:val="24"/>
              </w:rPr>
              <w:t>）车辆尾气</w:t>
            </w:r>
          </w:p>
          <w:p>
            <w:pPr>
              <w:adjustRightInd w:val="0"/>
              <w:snapToGrid w:val="0"/>
              <w:spacing w:line="360" w:lineRule="auto"/>
              <w:ind w:firstLine="480" w:firstLineChars="200"/>
              <w:rPr>
                <w:rFonts w:cs="宋体"/>
                <w:bCs/>
                <w:sz w:val="24"/>
              </w:rPr>
            </w:pPr>
            <w:r>
              <w:rPr>
                <w:rFonts w:hint="eastAsia" w:cs="宋体"/>
                <w:bCs/>
                <w:sz w:val="24"/>
              </w:rPr>
              <w:t>本项目加工作业主要是挖掘机进行原料挖采和运输车辆进行运输，挖掘机和运输车辆采用柴油作为能源，因此会产生柴油燃烧尾气，主要污染物为CO、NOx、总烃等。挖掘机和运输车辆较少，因此尾气产生量较小。同时，项目挖掘机和运输车辆尾气排放均符合国家规定的车辆尾气排放标准的要求，车辆尾气总体排放量较小，车辆尾气呈无组织形式排放，项目区周围通风扩散条件较好。项目车辆和施工机械产生的尾气量较少，通过加强设备维护保养等不会对当地大气环境造成影响。</w:t>
            </w:r>
          </w:p>
          <w:p>
            <w:pPr>
              <w:pStyle w:val="63"/>
              <w:kinsoku/>
              <w:spacing w:line="360" w:lineRule="auto"/>
              <w:ind w:firstLine="480" w:firstLineChars="200"/>
              <w:rPr>
                <w:snapToGrid w:val="0"/>
                <w:sz w:val="24"/>
              </w:rPr>
            </w:pPr>
            <w:r>
              <w:rPr>
                <w:rFonts w:hint="eastAsia"/>
                <w:snapToGrid w:val="0"/>
                <w:sz w:val="24"/>
              </w:rPr>
              <w:t>本项目运营期废气产生及排放情况核算见下表。</w:t>
            </w:r>
          </w:p>
          <w:p>
            <w:pPr>
              <w:pStyle w:val="63"/>
              <w:kinsoku/>
              <w:jc w:val="center"/>
              <w:rPr>
                <w:b/>
                <w:snapToGrid w:val="0"/>
              </w:rPr>
            </w:pPr>
            <w:r>
              <w:rPr>
                <w:rFonts w:hint="eastAsia"/>
                <w:b/>
                <w:snapToGrid w:val="0"/>
              </w:rPr>
              <w:t>表4-</w:t>
            </w:r>
            <w:r>
              <w:rPr>
                <w:b/>
                <w:snapToGrid w:val="0"/>
              </w:rPr>
              <w:t xml:space="preserve">3 </w:t>
            </w:r>
            <w:r>
              <w:rPr>
                <w:rFonts w:hint="eastAsia"/>
                <w:b/>
                <w:snapToGrid w:val="0"/>
              </w:rPr>
              <w:t>本项目运营期废气污染源源强核算结果及相关参数一览表</w:t>
            </w:r>
          </w:p>
          <w:tbl>
            <w:tblPr>
              <w:tblStyle w:val="14"/>
              <w:tblW w:w="498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895"/>
              <w:gridCol w:w="759"/>
              <w:gridCol w:w="1078"/>
              <w:gridCol w:w="3261"/>
              <w:gridCol w:w="709"/>
              <w:gridCol w:w="1135"/>
              <w:gridCol w:w="70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24" w:type="pct"/>
                  <w:vAlign w:val="center"/>
                </w:tcPr>
                <w:p>
                  <w:pPr>
                    <w:pStyle w:val="65"/>
                    <w:rPr>
                      <w:rFonts w:cs="Times New Roman"/>
                      <w:b/>
                    </w:rPr>
                  </w:pPr>
                  <w:r>
                    <w:rPr>
                      <w:rFonts w:hint="eastAsia" w:cs="Times New Roman"/>
                      <w:b/>
                    </w:rPr>
                    <w:t>污染源</w:t>
                  </w:r>
                </w:p>
              </w:tc>
              <w:tc>
                <w:tcPr>
                  <w:tcW w:w="444" w:type="pct"/>
                  <w:vAlign w:val="center"/>
                </w:tcPr>
                <w:p>
                  <w:pPr>
                    <w:pStyle w:val="65"/>
                    <w:rPr>
                      <w:rFonts w:cs="Times New Roman"/>
                      <w:b/>
                    </w:rPr>
                  </w:pPr>
                  <w:r>
                    <w:rPr>
                      <w:rFonts w:cs="Times New Roman"/>
                      <w:b/>
                    </w:rPr>
                    <w:t>污染</w:t>
                  </w:r>
                  <w:r>
                    <w:rPr>
                      <w:rFonts w:hint="eastAsia" w:cs="Times New Roman"/>
                      <w:b/>
                    </w:rPr>
                    <w:t>因子</w:t>
                  </w:r>
                </w:p>
              </w:tc>
              <w:tc>
                <w:tcPr>
                  <w:tcW w:w="631" w:type="pct"/>
                  <w:vAlign w:val="center"/>
                </w:tcPr>
                <w:p>
                  <w:pPr>
                    <w:pStyle w:val="65"/>
                    <w:rPr>
                      <w:rFonts w:cs="Times New Roman"/>
                      <w:b/>
                    </w:rPr>
                  </w:pPr>
                  <w:r>
                    <w:rPr>
                      <w:rFonts w:cs="Times New Roman"/>
                      <w:b/>
                    </w:rPr>
                    <w:t>产生情况</w:t>
                  </w:r>
                  <w:r>
                    <w:rPr>
                      <w:rFonts w:hint="eastAsia" w:cs="Times New Roman"/>
                      <w:b/>
                    </w:rPr>
                    <w:t>（</w:t>
                  </w:r>
                  <w:r>
                    <w:rPr>
                      <w:rFonts w:cs="Times New Roman"/>
                      <w:b/>
                    </w:rPr>
                    <w:t>t/a</w:t>
                  </w:r>
                  <w:r>
                    <w:rPr>
                      <w:rFonts w:hint="eastAsia" w:cs="Times New Roman"/>
                      <w:b/>
                    </w:rPr>
                    <w:t>）</w:t>
                  </w:r>
                </w:p>
              </w:tc>
              <w:tc>
                <w:tcPr>
                  <w:tcW w:w="1908" w:type="pct"/>
                  <w:vAlign w:val="center"/>
                </w:tcPr>
                <w:p>
                  <w:pPr>
                    <w:pStyle w:val="65"/>
                    <w:rPr>
                      <w:rFonts w:cs="Times New Roman"/>
                      <w:b/>
                    </w:rPr>
                  </w:pPr>
                  <w:r>
                    <w:rPr>
                      <w:rFonts w:cs="Times New Roman"/>
                      <w:b/>
                    </w:rPr>
                    <w:t>治理措施</w:t>
                  </w:r>
                </w:p>
              </w:tc>
              <w:tc>
                <w:tcPr>
                  <w:tcW w:w="415" w:type="pct"/>
                  <w:vAlign w:val="center"/>
                </w:tcPr>
                <w:p>
                  <w:pPr>
                    <w:pStyle w:val="65"/>
                    <w:rPr>
                      <w:rFonts w:cs="Times New Roman"/>
                      <w:b/>
                    </w:rPr>
                  </w:pPr>
                  <w:r>
                    <w:rPr>
                      <w:rFonts w:hint="eastAsia" w:cs="Times New Roman"/>
                      <w:b/>
                    </w:rPr>
                    <w:t>排放方式</w:t>
                  </w:r>
                </w:p>
              </w:tc>
              <w:tc>
                <w:tcPr>
                  <w:tcW w:w="664" w:type="pct"/>
                  <w:vAlign w:val="center"/>
                </w:tcPr>
                <w:p>
                  <w:pPr>
                    <w:pStyle w:val="65"/>
                    <w:rPr>
                      <w:rFonts w:cs="Times New Roman"/>
                      <w:b/>
                    </w:rPr>
                  </w:pPr>
                  <w:r>
                    <w:rPr>
                      <w:rFonts w:cs="Times New Roman"/>
                      <w:b/>
                    </w:rPr>
                    <w:t>排放情况</w:t>
                  </w:r>
                  <w:r>
                    <w:rPr>
                      <w:rFonts w:hint="eastAsia" w:cs="Times New Roman"/>
                      <w:b/>
                    </w:rPr>
                    <w:t>（</w:t>
                  </w:r>
                  <w:r>
                    <w:rPr>
                      <w:rFonts w:cs="Times New Roman"/>
                      <w:b/>
                    </w:rPr>
                    <w:t>t/a</w:t>
                  </w:r>
                  <w:r>
                    <w:rPr>
                      <w:rFonts w:hint="eastAsia" w:cs="Times New Roman"/>
                      <w:b/>
                    </w:rPr>
                    <w:t>）</w:t>
                  </w:r>
                </w:p>
              </w:tc>
              <w:tc>
                <w:tcPr>
                  <w:tcW w:w="414" w:type="pct"/>
                  <w:vAlign w:val="center"/>
                </w:tcPr>
                <w:p>
                  <w:pPr>
                    <w:pStyle w:val="65"/>
                    <w:rPr>
                      <w:rFonts w:cs="Times New Roman"/>
                      <w:b/>
                    </w:rPr>
                  </w:pPr>
                  <w:r>
                    <w:rPr>
                      <w:rFonts w:cs="Times New Roman"/>
                      <w:b/>
                    </w:rPr>
                    <w:t>是否可行</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24" w:type="pct"/>
                  <w:vAlign w:val="center"/>
                </w:tcPr>
                <w:p>
                  <w:pPr>
                    <w:pStyle w:val="65"/>
                    <w:rPr>
                      <w:rFonts w:cs="Times New Roman"/>
                    </w:rPr>
                  </w:pPr>
                  <w:r>
                    <w:rPr>
                      <w:rFonts w:hint="eastAsia" w:cs="Times New Roman"/>
                    </w:rPr>
                    <w:t>投料</w:t>
                  </w:r>
                </w:p>
              </w:tc>
              <w:tc>
                <w:tcPr>
                  <w:tcW w:w="444" w:type="pct"/>
                  <w:vAlign w:val="center"/>
                </w:tcPr>
                <w:p>
                  <w:pPr>
                    <w:pStyle w:val="65"/>
                    <w:rPr>
                      <w:rFonts w:cs="Times New Roman"/>
                    </w:rPr>
                  </w:pPr>
                  <w:r>
                    <w:rPr>
                      <w:rFonts w:cs="Times New Roman"/>
                    </w:rPr>
                    <w:t>颗粒物</w:t>
                  </w:r>
                </w:p>
              </w:tc>
              <w:tc>
                <w:tcPr>
                  <w:tcW w:w="631" w:type="pct"/>
                  <w:vAlign w:val="center"/>
                </w:tcPr>
                <w:p>
                  <w:pPr>
                    <w:pStyle w:val="65"/>
                    <w:rPr>
                      <w:rFonts w:cs="Times New Roman"/>
                    </w:rPr>
                  </w:pPr>
                  <w:r>
                    <w:rPr>
                      <w:rFonts w:cs="Times New Roman"/>
                    </w:rPr>
                    <w:t>3.462</w:t>
                  </w:r>
                </w:p>
              </w:tc>
              <w:tc>
                <w:tcPr>
                  <w:tcW w:w="1908" w:type="pct"/>
                  <w:vAlign w:val="center"/>
                </w:tcPr>
                <w:p>
                  <w:pPr>
                    <w:pStyle w:val="65"/>
                    <w:rPr>
                      <w:rFonts w:cs="Times New Roman"/>
                    </w:rPr>
                  </w:pPr>
                  <w:r>
                    <w:rPr>
                      <w:rFonts w:hint="eastAsia" w:cs="Times New Roman"/>
                    </w:rPr>
                    <w:t>采用地坑投料，对投料区域采取三面一顶封闭措施（60%），并在进料口设置雾炮机喷雾降尘（74%）</w:t>
                  </w:r>
                </w:p>
              </w:tc>
              <w:tc>
                <w:tcPr>
                  <w:tcW w:w="415" w:type="pct"/>
                  <w:vAlign w:val="center"/>
                </w:tcPr>
                <w:p>
                  <w:pPr>
                    <w:pStyle w:val="65"/>
                    <w:rPr>
                      <w:rFonts w:cs="Times New Roman"/>
                    </w:rPr>
                  </w:pPr>
                  <w:r>
                    <w:rPr>
                      <w:rFonts w:cs="Times New Roman"/>
                    </w:rPr>
                    <w:t>无组织</w:t>
                  </w:r>
                </w:p>
              </w:tc>
              <w:tc>
                <w:tcPr>
                  <w:tcW w:w="664" w:type="pct"/>
                  <w:vAlign w:val="center"/>
                </w:tcPr>
                <w:p>
                  <w:pPr>
                    <w:pStyle w:val="65"/>
                    <w:rPr>
                      <w:rFonts w:cs="Times New Roman"/>
                    </w:rPr>
                  </w:pPr>
                  <w:r>
                    <w:rPr>
                      <w:bCs w:val="0"/>
                    </w:rPr>
                    <w:t>0.360</w:t>
                  </w:r>
                </w:p>
              </w:tc>
              <w:tc>
                <w:tcPr>
                  <w:tcW w:w="414" w:type="pct"/>
                  <w:vAlign w:val="center"/>
                </w:tcPr>
                <w:p>
                  <w:pPr>
                    <w:pStyle w:val="65"/>
                    <w:rPr>
                      <w:rFonts w:cs="Times New Roman"/>
                    </w:rPr>
                  </w:pPr>
                  <w:r>
                    <w:rPr>
                      <w:rFonts w:cs="Times New Roman"/>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24" w:type="pct"/>
                  <w:vAlign w:val="center"/>
                </w:tcPr>
                <w:p>
                  <w:pPr>
                    <w:pStyle w:val="65"/>
                    <w:rPr>
                      <w:rFonts w:cs="Times New Roman"/>
                    </w:rPr>
                  </w:pPr>
                  <w:r>
                    <w:rPr>
                      <w:rFonts w:hint="eastAsia" w:cs="Times New Roman"/>
                    </w:rPr>
                    <w:t>破碎、筛分</w:t>
                  </w:r>
                </w:p>
              </w:tc>
              <w:tc>
                <w:tcPr>
                  <w:tcW w:w="444" w:type="pct"/>
                  <w:vAlign w:val="center"/>
                </w:tcPr>
                <w:p>
                  <w:pPr>
                    <w:pStyle w:val="65"/>
                    <w:rPr>
                      <w:rFonts w:cs="Times New Roman"/>
                    </w:rPr>
                  </w:pPr>
                  <w:r>
                    <w:rPr>
                      <w:rFonts w:cs="Times New Roman"/>
                    </w:rPr>
                    <w:t>颗粒物</w:t>
                  </w:r>
                </w:p>
              </w:tc>
              <w:tc>
                <w:tcPr>
                  <w:tcW w:w="631" w:type="pct"/>
                  <w:vAlign w:val="center"/>
                </w:tcPr>
                <w:p>
                  <w:pPr>
                    <w:pStyle w:val="65"/>
                    <w:rPr>
                      <w:rFonts w:cs="Times New Roman"/>
                    </w:rPr>
                  </w:pPr>
                  <w:r>
                    <w:rPr>
                      <w:rFonts w:cs="Times New Roman"/>
                    </w:rPr>
                    <w:t>3543.3</w:t>
                  </w:r>
                </w:p>
              </w:tc>
              <w:tc>
                <w:tcPr>
                  <w:tcW w:w="1908" w:type="pct"/>
                  <w:vAlign w:val="center"/>
                </w:tcPr>
                <w:p>
                  <w:pPr>
                    <w:pStyle w:val="65"/>
                    <w:rPr>
                      <w:rFonts w:cs="Times New Roman"/>
                    </w:rPr>
                  </w:pPr>
                  <w:r>
                    <w:rPr>
                      <w:rFonts w:hint="eastAsia" w:cs="Times New Roman"/>
                    </w:rPr>
                    <w:t>全封闭生产车间（99%），并设置屋顶喷雾降尘（74%）；湿法作业，在筛分过程中加水使其保持湿润</w:t>
                  </w:r>
                  <w:r>
                    <w:rPr>
                      <w:rFonts w:hint="eastAsia" w:ascii="宋体" w:hAnsi="宋体" w:cs="Times New Roman"/>
                    </w:rPr>
                    <w:t>（9</w:t>
                  </w:r>
                  <w:r>
                    <w:rPr>
                      <w:rFonts w:ascii="宋体" w:hAnsi="宋体" w:cs="Times New Roman"/>
                    </w:rPr>
                    <w:t>0%</w:t>
                  </w:r>
                  <w:r>
                    <w:rPr>
                      <w:rFonts w:hint="eastAsia" w:ascii="宋体" w:hAnsi="宋体" w:cs="Times New Roman"/>
                    </w:rPr>
                    <w:t>）</w:t>
                  </w:r>
                </w:p>
              </w:tc>
              <w:tc>
                <w:tcPr>
                  <w:tcW w:w="415" w:type="pct"/>
                  <w:vAlign w:val="center"/>
                </w:tcPr>
                <w:p>
                  <w:pPr>
                    <w:pStyle w:val="65"/>
                    <w:rPr>
                      <w:rFonts w:cs="Times New Roman"/>
                    </w:rPr>
                  </w:pPr>
                  <w:r>
                    <w:rPr>
                      <w:rFonts w:cs="Times New Roman"/>
                    </w:rPr>
                    <w:t>无组织</w:t>
                  </w:r>
                </w:p>
              </w:tc>
              <w:tc>
                <w:tcPr>
                  <w:tcW w:w="664" w:type="pct"/>
                  <w:vAlign w:val="center"/>
                </w:tcPr>
                <w:p>
                  <w:pPr>
                    <w:widowControl/>
                    <w:jc w:val="center"/>
                    <w:textAlignment w:val="center"/>
                    <w:rPr>
                      <w:szCs w:val="21"/>
                    </w:rPr>
                  </w:pPr>
                  <w:r>
                    <w:rPr>
                      <w:rFonts w:cs="宋体"/>
                      <w:bCs/>
                    </w:rPr>
                    <w:t>0.921</w:t>
                  </w:r>
                </w:p>
              </w:tc>
              <w:tc>
                <w:tcPr>
                  <w:tcW w:w="414" w:type="pct"/>
                  <w:vAlign w:val="center"/>
                </w:tcPr>
                <w:p>
                  <w:pPr>
                    <w:pStyle w:val="65"/>
                    <w:rPr>
                      <w:rFonts w:cs="Times New Roman"/>
                    </w:rPr>
                  </w:pPr>
                  <w:r>
                    <w:rPr>
                      <w:rFonts w:cs="Times New Roman"/>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24" w:type="pct"/>
                  <w:vAlign w:val="center"/>
                </w:tcPr>
                <w:p>
                  <w:pPr>
                    <w:pStyle w:val="65"/>
                    <w:rPr>
                      <w:rFonts w:cs="Times New Roman"/>
                    </w:rPr>
                  </w:pPr>
                  <w:r>
                    <w:rPr>
                      <w:rFonts w:hint="eastAsia" w:cs="Times New Roman"/>
                    </w:rPr>
                    <w:t>产品装卸与堆存</w:t>
                  </w:r>
                </w:p>
              </w:tc>
              <w:tc>
                <w:tcPr>
                  <w:tcW w:w="444" w:type="pct"/>
                  <w:vAlign w:val="center"/>
                </w:tcPr>
                <w:p>
                  <w:pPr>
                    <w:pStyle w:val="65"/>
                    <w:rPr>
                      <w:rFonts w:cs="Times New Roman"/>
                    </w:rPr>
                  </w:pPr>
                  <w:r>
                    <w:rPr>
                      <w:rFonts w:cs="Times New Roman"/>
                    </w:rPr>
                    <w:t>颗粒物</w:t>
                  </w:r>
                </w:p>
              </w:tc>
              <w:tc>
                <w:tcPr>
                  <w:tcW w:w="631" w:type="pct"/>
                  <w:vAlign w:val="center"/>
                </w:tcPr>
                <w:p>
                  <w:pPr>
                    <w:pStyle w:val="65"/>
                    <w:rPr>
                      <w:rFonts w:cs="Times New Roman"/>
                    </w:rPr>
                  </w:pPr>
                  <w:r>
                    <w:rPr>
                      <w:rFonts w:cs="Times New Roman"/>
                    </w:rPr>
                    <w:t>802.08</w:t>
                  </w:r>
                </w:p>
              </w:tc>
              <w:tc>
                <w:tcPr>
                  <w:tcW w:w="1908" w:type="pct"/>
                  <w:vAlign w:val="center"/>
                </w:tcPr>
                <w:p>
                  <w:pPr>
                    <w:pStyle w:val="65"/>
                    <w:rPr>
                      <w:rFonts w:cs="Times New Roman"/>
                    </w:rPr>
                  </w:pPr>
                  <w:r>
                    <w:rPr>
                      <w:rFonts w:hint="eastAsia" w:cs="Times New Roman"/>
                    </w:rPr>
                    <w:t>洒水降尘（74%），堆场四周围挡（60%），覆盖防尘网（86%），出入车辆冲洗（78%）</w:t>
                  </w:r>
                </w:p>
              </w:tc>
              <w:tc>
                <w:tcPr>
                  <w:tcW w:w="415" w:type="pct"/>
                  <w:vAlign w:val="center"/>
                </w:tcPr>
                <w:p>
                  <w:pPr>
                    <w:pStyle w:val="65"/>
                    <w:rPr>
                      <w:rFonts w:cs="Times New Roman"/>
                    </w:rPr>
                  </w:pPr>
                  <w:r>
                    <w:rPr>
                      <w:rFonts w:cs="Times New Roman"/>
                    </w:rPr>
                    <w:t>无组织</w:t>
                  </w:r>
                </w:p>
              </w:tc>
              <w:tc>
                <w:tcPr>
                  <w:tcW w:w="664" w:type="pct"/>
                  <w:vAlign w:val="center"/>
                </w:tcPr>
                <w:p>
                  <w:pPr>
                    <w:widowControl/>
                    <w:jc w:val="center"/>
                    <w:textAlignment w:val="center"/>
                    <w:rPr>
                      <w:kern w:val="0"/>
                      <w:szCs w:val="21"/>
                      <w:lang w:bidi="ar"/>
                    </w:rPr>
                  </w:pPr>
                  <w:r>
                    <w:rPr>
                      <w:kern w:val="0"/>
                      <w:szCs w:val="21"/>
                      <w:lang w:bidi="ar"/>
                    </w:rPr>
                    <w:t>2.57</w:t>
                  </w:r>
                </w:p>
              </w:tc>
              <w:tc>
                <w:tcPr>
                  <w:tcW w:w="414" w:type="pct"/>
                  <w:vAlign w:val="center"/>
                </w:tcPr>
                <w:p>
                  <w:pPr>
                    <w:pStyle w:val="65"/>
                    <w:rPr>
                      <w:rFonts w:cs="Times New Roman"/>
                    </w:rPr>
                  </w:pPr>
                  <w:r>
                    <w:rPr>
                      <w:rFonts w:cs="Times New Roman"/>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24" w:type="pct"/>
                  <w:vAlign w:val="center"/>
                </w:tcPr>
                <w:p>
                  <w:pPr>
                    <w:pStyle w:val="65"/>
                    <w:rPr>
                      <w:rFonts w:cs="Times New Roman"/>
                    </w:rPr>
                  </w:pPr>
                  <w:r>
                    <w:rPr>
                      <w:rFonts w:hint="eastAsia" w:cs="Times New Roman"/>
                    </w:rPr>
                    <w:t>车辆运输</w:t>
                  </w:r>
                </w:p>
              </w:tc>
              <w:tc>
                <w:tcPr>
                  <w:tcW w:w="444" w:type="pct"/>
                  <w:vAlign w:val="center"/>
                </w:tcPr>
                <w:p>
                  <w:pPr>
                    <w:pStyle w:val="65"/>
                    <w:rPr>
                      <w:rFonts w:cs="Times New Roman"/>
                    </w:rPr>
                  </w:pPr>
                  <w:r>
                    <w:rPr>
                      <w:rFonts w:cs="Times New Roman"/>
                    </w:rPr>
                    <w:t>颗粒物</w:t>
                  </w:r>
                </w:p>
              </w:tc>
              <w:tc>
                <w:tcPr>
                  <w:tcW w:w="631" w:type="pct"/>
                  <w:vAlign w:val="center"/>
                </w:tcPr>
                <w:p>
                  <w:pPr>
                    <w:pStyle w:val="65"/>
                    <w:rPr>
                      <w:rFonts w:cs="Times New Roman"/>
                    </w:rPr>
                  </w:pPr>
                  <w:r>
                    <w:rPr>
                      <w:rFonts w:hint="eastAsia" w:cs="Times New Roman"/>
                    </w:rPr>
                    <w:t>8</w:t>
                  </w:r>
                  <w:r>
                    <w:rPr>
                      <w:rFonts w:cs="Times New Roman"/>
                    </w:rPr>
                    <w:t>8.25</w:t>
                  </w:r>
                </w:p>
              </w:tc>
              <w:tc>
                <w:tcPr>
                  <w:tcW w:w="1908" w:type="pct"/>
                  <w:vAlign w:val="center"/>
                </w:tcPr>
                <w:p>
                  <w:pPr>
                    <w:pStyle w:val="65"/>
                    <w:rPr>
                      <w:rFonts w:cs="Times New Roman"/>
                    </w:rPr>
                  </w:pPr>
                  <w:r>
                    <w:rPr>
                      <w:rFonts w:hint="eastAsia" w:cs="Times New Roman"/>
                    </w:rPr>
                    <w:t>道路硬化，及时清扫，经常洒水，车辆减速行驶，出入车辆冲洗（78%）</w:t>
                  </w:r>
                </w:p>
              </w:tc>
              <w:tc>
                <w:tcPr>
                  <w:tcW w:w="415" w:type="pct"/>
                  <w:vAlign w:val="center"/>
                </w:tcPr>
                <w:p>
                  <w:pPr>
                    <w:pStyle w:val="65"/>
                    <w:rPr>
                      <w:rFonts w:cs="Times New Roman"/>
                    </w:rPr>
                  </w:pPr>
                  <w:r>
                    <w:rPr>
                      <w:rFonts w:cs="Times New Roman"/>
                    </w:rPr>
                    <w:t>无组织</w:t>
                  </w:r>
                </w:p>
              </w:tc>
              <w:tc>
                <w:tcPr>
                  <w:tcW w:w="664" w:type="pct"/>
                  <w:vAlign w:val="center"/>
                </w:tcPr>
                <w:p>
                  <w:pPr>
                    <w:widowControl/>
                    <w:jc w:val="center"/>
                    <w:textAlignment w:val="center"/>
                    <w:rPr>
                      <w:kern w:val="0"/>
                      <w:szCs w:val="21"/>
                      <w:lang w:bidi="ar"/>
                    </w:rPr>
                  </w:pPr>
                  <w:r>
                    <w:rPr>
                      <w:kern w:val="0"/>
                      <w:szCs w:val="21"/>
                      <w:lang w:bidi="ar"/>
                    </w:rPr>
                    <w:t>0.87</w:t>
                  </w:r>
                </w:p>
              </w:tc>
              <w:tc>
                <w:tcPr>
                  <w:tcW w:w="414" w:type="pct"/>
                  <w:vAlign w:val="center"/>
                </w:tcPr>
                <w:p>
                  <w:pPr>
                    <w:pStyle w:val="65"/>
                    <w:rPr>
                      <w:rFonts w:cs="Times New Roman"/>
                    </w:rPr>
                  </w:pPr>
                  <w:r>
                    <w:rPr>
                      <w:rFonts w:cs="Times New Roman"/>
                    </w:rPr>
                    <w:t>是</w:t>
                  </w:r>
                </w:p>
              </w:tc>
            </w:tr>
          </w:tbl>
          <w:p>
            <w:pPr>
              <w:adjustRightInd w:val="0"/>
              <w:snapToGrid w:val="0"/>
              <w:spacing w:before="120" w:beforeLines="50" w:line="360" w:lineRule="auto"/>
              <w:ind w:firstLine="482" w:firstLineChars="200"/>
              <w:jc w:val="left"/>
              <w:rPr>
                <w:b/>
                <w:sz w:val="24"/>
              </w:rPr>
            </w:pPr>
            <w:r>
              <w:rPr>
                <w:rFonts w:hint="eastAsia"/>
                <w:b/>
                <w:sz w:val="24"/>
              </w:rPr>
              <w:t>（2）大气污染物排放情况与可行性分析</w:t>
            </w:r>
          </w:p>
          <w:p>
            <w:pPr>
              <w:pStyle w:val="38"/>
              <w:ind w:firstLine="480"/>
              <w:rPr>
                <w:color w:val="000000"/>
              </w:rPr>
            </w:pPr>
            <w:r>
              <w:rPr>
                <w:rFonts w:hint="eastAsia"/>
                <w:color w:val="000000"/>
              </w:rPr>
              <w:t>1）大气污染物排放核算</w:t>
            </w:r>
          </w:p>
          <w:p>
            <w:pPr>
              <w:adjustRightInd w:val="0"/>
              <w:snapToGrid w:val="0"/>
              <w:spacing w:line="360" w:lineRule="auto"/>
              <w:ind w:firstLine="480" w:firstLineChars="200"/>
              <w:jc w:val="left"/>
              <w:rPr>
                <w:b/>
                <w:szCs w:val="21"/>
              </w:rPr>
            </w:pPr>
            <w:r>
              <w:rPr>
                <w:rFonts w:hint="eastAsia"/>
                <w:sz w:val="24"/>
              </w:rPr>
              <w:t>本项目无组织排放情况见下表。</w:t>
            </w:r>
          </w:p>
          <w:p>
            <w:pPr>
              <w:adjustRightInd w:val="0"/>
              <w:snapToGrid w:val="0"/>
              <w:jc w:val="center"/>
              <w:rPr>
                <w:b/>
                <w:szCs w:val="21"/>
              </w:rPr>
            </w:pPr>
            <w:r>
              <w:rPr>
                <w:rFonts w:hint="eastAsia"/>
                <w:b/>
                <w:szCs w:val="21"/>
              </w:rPr>
              <w:t>表4</w:t>
            </w:r>
            <w:r>
              <w:rPr>
                <w:b/>
                <w:szCs w:val="21"/>
              </w:rPr>
              <w:t xml:space="preserve">-4 </w:t>
            </w:r>
            <w:r>
              <w:rPr>
                <w:rFonts w:hint="eastAsia"/>
                <w:b/>
                <w:szCs w:val="21"/>
              </w:rPr>
              <w:t>项目无组织排放情况</w:t>
            </w:r>
          </w:p>
          <w:tbl>
            <w:tblPr>
              <w:tblStyle w:val="15"/>
              <w:tblW w:w="85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287"/>
              <w:gridCol w:w="850"/>
              <w:gridCol w:w="2126"/>
              <w:gridCol w:w="709"/>
              <w:gridCol w:w="779"/>
              <w:gridCol w:w="780"/>
              <w:gridCol w:w="709"/>
              <w:gridCol w:w="129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67" w:hRule="atLeast"/>
                <w:jc w:val="center"/>
              </w:trPr>
              <w:tc>
                <w:tcPr>
                  <w:tcW w:w="1287" w:type="dxa"/>
                  <w:vMerge w:val="restart"/>
                  <w:vAlign w:val="center"/>
                </w:tcPr>
                <w:p>
                  <w:pPr>
                    <w:adjustRightInd w:val="0"/>
                    <w:jc w:val="center"/>
                    <w:rPr>
                      <w:b/>
                      <w:szCs w:val="21"/>
                    </w:rPr>
                  </w:pPr>
                  <w:r>
                    <w:rPr>
                      <w:rFonts w:hint="eastAsia"/>
                      <w:b/>
                      <w:szCs w:val="21"/>
                    </w:rPr>
                    <w:t>产污环节</w:t>
                  </w:r>
                </w:p>
              </w:tc>
              <w:tc>
                <w:tcPr>
                  <w:tcW w:w="850" w:type="dxa"/>
                  <w:vMerge w:val="restart"/>
                  <w:vAlign w:val="center"/>
                </w:tcPr>
                <w:p>
                  <w:pPr>
                    <w:adjustRightInd w:val="0"/>
                    <w:jc w:val="center"/>
                    <w:rPr>
                      <w:b/>
                      <w:szCs w:val="21"/>
                    </w:rPr>
                  </w:pPr>
                  <w:r>
                    <w:rPr>
                      <w:rFonts w:hint="eastAsia"/>
                      <w:b/>
                      <w:szCs w:val="21"/>
                    </w:rPr>
                    <w:t>污染因子</w:t>
                  </w:r>
                </w:p>
              </w:tc>
              <w:tc>
                <w:tcPr>
                  <w:tcW w:w="2126" w:type="dxa"/>
                  <w:vMerge w:val="restart"/>
                  <w:vAlign w:val="center"/>
                </w:tcPr>
                <w:p>
                  <w:pPr>
                    <w:adjustRightInd w:val="0"/>
                    <w:jc w:val="center"/>
                    <w:rPr>
                      <w:b/>
                      <w:szCs w:val="21"/>
                    </w:rPr>
                  </w:pPr>
                  <w:r>
                    <w:rPr>
                      <w:rFonts w:hint="eastAsia"/>
                      <w:b/>
                      <w:szCs w:val="21"/>
                    </w:rPr>
                    <w:t>污染治理措施</w:t>
                  </w:r>
                </w:p>
              </w:tc>
              <w:tc>
                <w:tcPr>
                  <w:tcW w:w="2268" w:type="dxa"/>
                  <w:gridSpan w:val="3"/>
                  <w:vAlign w:val="center"/>
                </w:tcPr>
                <w:p>
                  <w:pPr>
                    <w:adjustRightInd w:val="0"/>
                    <w:jc w:val="center"/>
                    <w:rPr>
                      <w:b/>
                      <w:szCs w:val="21"/>
                    </w:rPr>
                  </w:pPr>
                  <w:r>
                    <w:rPr>
                      <w:rFonts w:hint="eastAsia"/>
                      <w:b/>
                      <w:szCs w:val="21"/>
                    </w:rPr>
                    <w:t>排放情况</w:t>
                  </w:r>
                </w:p>
              </w:tc>
              <w:tc>
                <w:tcPr>
                  <w:tcW w:w="709" w:type="dxa"/>
                  <w:vMerge w:val="restart"/>
                  <w:vAlign w:val="center"/>
                </w:tcPr>
                <w:p>
                  <w:pPr>
                    <w:adjustRightInd w:val="0"/>
                    <w:jc w:val="center"/>
                    <w:rPr>
                      <w:b/>
                      <w:szCs w:val="21"/>
                    </w:rPr>
                  </w:pPr>
                  <w:r>
                    <w:rPr>
                      <w:rFonts w:hint="eastAsia"/>
                      <w:b/>
                      <w:szCs w:val="21"/>
                    </w:rPr>
                    <w:t>是否可行</w:t>
                  </w:r>
                </w:p>
              </w:tc>
              <w:tc>
                <w:tcPr>
                  <w:tcW w:w="1298" w:type="dxa"/>
                  <w:vMerge w:val="restart"/>
                  <w:vAlign w:val="center"/>
                </w:tcPr>
                <w:p>
                  <w:pPr>
                    <w:adjustRightInd w:val="0"/>
                    <w:jc w:val="center"/>
                    <w:rPr>
                      <w:b/>
                      <w:szCs w:val="21"/>
                    </w:rPr>
                  </w:pPr>
                  <w:r>
                    <w:rPr>
                      <w:b/>
                      <w:color w:val="000000"/>
                      <w:szCs w:val="21"/>
                    </w:rPr>
                    <w:t>排放标准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67" w:hRule="atLeast"/>
                <w:jc w:val="center"/>
              </w:trPr>
              <w:tc>
                <w:tcPr>
                  <w:tcW w:w="1287" w:type="dxa"/>
                  <w:vMerge w:val="continue"/>
                  <w:vAlign w:val="center"/>
                </w:tcPr>
                <w:p>
                  <w:pPr>
                    <w:adjustRightInd w:val="0"/>
                    <w:jc w:val="center"/>
                    <w:rPr>
                      <w:szCs w:val="21"/>
                    </w:rPr>
                  </w:pPr>
                </w:p>
              </w:tc>
              <w:tc>
                <w:tcPr>
                  <w:tcW w:w="850" w:type="dxa"/>
                  <w:vMerge w:val="continue"/>
                  <w:vAlign w:val="center"/>
                </w:tcPr>
                <w:p>
                  <w:pPr>
                    <w:adjustRightInd w:val="0"/>
                    <w:jc w:val="center"/>
                    <w:rPr>
                      <w:szCs w:val="21"/>
                    </w:rPr>
                  </w:pPr>
                </w:p>
              </w:tc>
              <w:tc>
                <w:tcPr>
                  <w:tcW w:w="2126" w:type="dxa"/>
                  <w:vMerge w:val="continue"/>
                  <w:vAlign w:val="center"/>
                </w:tcPr>
                <w:p>
                  <w:pPr>
                    <w:adjustRightInd w:val="0"/>
                    <w:jc w:val="center"/>
                    <w:rPr>
                      <w:szCs w:val="21"/>
                    </w:rPr>
                  </w:pPr>
                </w:p>
              </w:tc>
              <w:tc>
                <w:tcPr>
                  <w:tcW w:w="709" w:type="dxa"/>
                  <w:vAlign w:val="center"/>
                </w:tcPr>
                <w:p>
                  <w:pPr>
                    <w:adjustRightInd w:val="0"/>
                    <w:jc w:val="center"/>
                    <w:rPr>
                      <w:b/>
                      <w:szCs w:val="21"/>
                    </w:rPr>
                  </w:pPr>
                  <w:r>
                    <w:rPr>
                      <w:rFonts w:hint="eastAsia"/>
                      <w:b/>
                      <w:szCs w:val="21"/>
                    </w:rPr>
                    <w:t>浓度限值mg/m</w:t>
                  </w:r>
                  <w:r>
                    <w:rPr>
                      <w:rFonts w:hint="eastAsia"/>
                      <w:b/>
                      <w:szCs w:val="21"/>
                      <w:vertAlign w:val="superscript"/>
                    </w:rPr>
                    <w:t>3</w:t>
                  </w:r>
                </w:p>
              </w:tc>
              <w:tc>
                <w:tcPr>
                  <w:tcW w:w="779" w:type="dxa"/>
                  <w:vAlign w:val="center"/>
                </w:tcPr>
                <w:p>
                  <w:pPr>
                    <w:adjustRightInd w:val="0"/>
                    <w:jc w:val="center"/>
                    <w:rPr>
                      <w:b/>
                      <w:szCs w:val="21"/>
                    </w:rPr>
                  </w:pPr>
                  <w:r>
                    <w:rPr>
                      <w:rFonts w:hint="eastAsia"/>
                      <w:b/>
                      <w:szCs w:val="21"/>
                    </w:rPr>
                    <w:t>排放量</w:t>
                  </w:r>
                </w:p>
                <w:p>
                  <w:pPr>
                    <w:adjustRightInd w:val="0"/>
                    <w:jc w:val="center"/>
                    <w:rPr>
                      <w:b/>
                      <w:szCs w:val="21"/>
                    </w:rPr>
                  </w:pPr>
                  <w:r>
                    <w:rPr>
                      <w:rFonts w:hint="eastAsia"/>
                      <w:b/>
                      <w:szCs w:val="21"/>
                    </w:rPr>
                    <w:t>t/a</w:t>
                  </w:r>
                </w:p>
              </w:tc>
              <w:tc>
                <w:tcPr>
                  <w:tcW w:w="780" w:type="dxa"/>
                  <w:vAlign w:val="center"/>
                </w:tcPr>
                <w:p>
                  <w:pPr>
                    <w:adjustRightInd w:val="0"/>
                    <w:jc w:val="center"/>
                    <w:rPr>
                      <w:b/>
                      <w:szCs w:val="21"/>
                    </w:rPr>
                  </w:pPr>
                  <w:r>
                    <w:rPr>
                      <w:rFonts w:hint="eastAsia"/>
                      <w:b/>
                      <w:szCs w:val="21"/>
                    </w:rPr>
                    <w:t>排放速率</w:t>
                  </w:r>
                </w:p>
                <w:p>
                  <w:pPr>
                    <w:adjustRightInd w:val="0"/>
                    <w:jc w:val="center"/>
                    <w:rPr>
                      <w:b/>
                      <w:szCs w:val="21"/>
                    </w:rPr>
                  </w:pPr>
                  <w:r>
                    <w:rPr>
                      <w:rFonts w:hint="eastAsia"/>
                      <w:b/>
                      <w:szCs w:val="21"/>
                    </w:rPr>
                    <w:t>kg/h</w:t>
                  </w:r>
                </w:p>
              </w:tc>
              <w:tc>
                <w:tcPr>
                  <w:tcW w:w="709" w:type="dxa"/>
                  <w:vMerge w:val="continue"/>
                  <w:vAlign w:val="center"/>
                </w:tcPr>
                <w:p>
                  <w:pPr>
                    <w:adjustRightInd w:val="0"/>
                    <w:jc w:val="center"/>
                    <w:rPr>
                      <w:szCs w:val="21"/>
                    </w:rPr>
                  </w:pPr>
                </w:p>
              </w:tc>
              <w:tc>
                <w:tcPr>
                  <w:tcW w:w="1298" w:type="dxa"/>
                  <w:vMerge w:val="continue"/>
                  <w:vAlign w:val="center"/>
                </w:tcPr>
                <w:p>
                  <w:pPr>
                    <w:adjustRightInd w:val="0"/>
                    <w:jc w:val="center"/>
                    <w:rPr>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70" w:hRule="atLeast"/>
                <w:jc w:val="center"/>
              </w:trPr>
              <w:tc>
                <w:tcPr>
                  <w:tcW w:w="1287" w:type="dxa"/>
                  <w:vAlign w:val="center"/>
                </w:tcPr>
                <w:p>
                  <w:pPr>
                    <w:adjustRightInd w:val="0"/>
                    <w:snapToGrid w:val="0"/>
                    <w:jc w:val="center"/>
                    <w:rPr>
                      <w:szCs w:val="21"/>
                    </w:rPr>
                  </w:pPr>
                  <w:r>
                    <w:rPr>
                      <w:rFonts w:hint="eastAsia"/>
                      <w:szCs w:val="21"/>
                    </w:rPr>
                    <w:t>投料</w:t>
                  </w:r>
                </w:p>
              </w:tc>
              <w:tc>
                <w:tcPr>
                  <w:tcW w:w="850" w:type="dxa"/>
                  <w:vAlign w:val="center"/>
                </w:tcPr>
                <w:p>
                  <w:pPr>
                    <w:adjustRightInd w:val="0"/>
                    <w:snapToGrid w:val="0"/>
                    <w:jc w:val="center"/>
                    <w:rPr>
                      <w:szCs w:val="21"/>
                    </w:rPr>
                  </w:pPr>
                  <w:r>
                    <w:rPr>
                      <w:rFonts w:hint="eastAsia"/>
                      <w:szCs w:val="21"/>
                    </w:rPr>
                    <w:t>颗粒物</w:t>
                  </w:r>
                </w:p>
              </w:tc>
              <w:tc>
                <w:tcPr>
                  <w:tcW w:w="2126" w:type="dxa"/>
                  <w:vAlign w:val="center"/>
                </w:tcPr>
                <w:p>
                  <w:pPr>
                    <w:adjustRightInd w:val="0"/>
                    <w:snapToGrid w:val="0"/>
                    <w:jc w:val="center"/>
                    <w:rPr>
                      <w:szCs w:val="21"/>
                    </w:rPr>
                  </w:pPr>
                  <w:r>
                    <w:rPr>
                      <w:rFonts w:hint="eastAsia"/>
                    </w:rPr>
                    <w:t>地坑投料，</w:t>
                  </w:r>
                  <w:r>
                    <w:rPr>
                      <w:rFonts w:hint="eastAsia"/>
                      <w:szCs w:val="21"/>
                    </w:rPr>
                    <w:t>洒水降尘</w:t>
                  </w:r>
                </w:p>
              </w:tc>
              <w:tc>
                <w:tcPr>
                  <w:tcW w:w="709" w:type="dxa"/>
                  <w:vMerge w:val="restart"/>
                  <w:vAlign w:val="center"/>
                </w:tcPr>
                <w:p>
                  <w:pPr>
                    <w:adjustRightInd w:val="0"/>
                    <w:snapToGrid w:val="0"/>
                    <w:jc w:val="center"/>
                    <w:rPr>
                      <w:szCs w:val="21"/>
                    </w:rPr>
                  </w:pPr>
                  <w:r>
                    <w:rPr>
                      <w:rFonts w:hint="eastAsia"/>
                      <w:szCs w:val="21"/>
                    </w:rPr>
                    <w:t>1</w:t>
                  </w:r>
                  <w:r>
                    <w:rPr>
                      <w:szCs w:val="21"/>
                    </w:rPr>
                    <w:t>.0</w:t>
                  </w:r>
                </w:p>
              </w:tc>
              <w:tc>
                <w:tcPr>
                  <w:tcW w:w="779" w:type="dxa"/>
                  <w:vAlign w:val="center"/>
                </w:tcPr>
                <w:p>
                  <w:pPr>
                    <w:jc w:val="center"/>
                  </w:pPr>
                  <w:r>
                    <w:t>0.360</w:t>
                  </w:r>
                </w:p>
              </w:tc>
              <w:tc>
                <w:tcPr>
                  <w:tcW w:w="780" w:type="dxa"/>
                  <w:vAlign w:val="center"/>
                </w:tcPr>
                <w:p>
                  <w:pPr>
                    <w:jc w:val="center"/>
                  </w:pPr>
                  <w:r>
                    <w:t>0.0902</w:t>
                  </w:r>
                </w:p>
              </w:tc>
              <w:tc>
                <w:tcPr>
                  <w:tcW w:w="709" w:type="dxa"/>
                  <w:vAlign w:val="center"/>
                </w:tcPr>
                <w:p>
                  <w:pPr>
                    <w:adjustRightInd w:val="0"/>
                    <w:snapToGrid w:val="0"/>
                    <w:jc w:val="center"/>
                    <w:rPr>
                      <w:szCs w:val="21"/>
                    </w:rPr>
                  </w:pPr>
                  <w:r>
                    <w:rPr>
                      <w:rFonts w:hint="eastAsia"/>
                      <w:szCs w:val="21"/>
                    </w:rPr>
                    <w:t>是</w:t>
                  </w:r>
                </w:p>
              </w:tc>
              <w:tc>
                <w:tcPr>
                  <w:tcW w:w="1298" w:type="dxa"/>
                  <w:vMerge w:val="restart"/>
                  <w:vAlign w:val="center"/>
                </w:tcPr>
                <w:p>
                  <w:pPr>
                    <w:adjustRightInd w:val="0"/>
                    <w:snapToGrid w:val="0"/>
                    <w:jc w:val="center"/>
                    <w:rPr>
                      <w:szCs w:val="21"/>
                    </w:rPr>
                  </w:pPr>
                  <w:r>
                    <w:rPr>
                      <w:rFonts w:hint="eastAsia"/>
                      <w:szCs w:val="21"/>
                    </w:rPr>
                    <w:t>《大气污染物综合排放标准》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70" w:hRule="atLeast"/>
                <w:jc w:val="center"/>
              </w:trPr>
              <w:tc>
                <w:tcPr>
                  <w:tcW w:w="1287" w:type="dxa"/>
                  <w:vAlign w:val="center"/>
                </w:tcPr>
                <w:p>
                  <w:pPr>
                    <w:adjustRightInd w:val="0"/>
                    <w:snapToGrid w:val="0"/>
                    <w:jc w:val="center"/>
                    <w:rPr>
                      <w:szCs w:val="21"/>
                    </w:rPr>
                  </w:pPr>
                  <w:r>
                    <w:rPr>
                      <w:rFonts w:hint="eastAsia"/>
                      <w:szCs w:val="21"/>
                    </w:rPr>
                    <w:t>破碎、筛分</w:t>
                  </w:r>
                </w:p>
              </w:tc>
              <w:tc>
                <w:tcPr>
                  <w:tcW w:w="850" w:type="dxa"/>
                  <w:vAlign w:val="center"/>
                </w:tcPr>
                <w:p>
                  <w:pPr>
                    <w:adjustRightInd w:val="0"/>
                    <w:snapToGrid w:val="0"/>
                    <w:jc w:val="center"/>
                    <w:rPr>
                      <w:szCs w:val="21"/>
                    </w:rPr>
                  </w:pPr>
                  <w:r>
                    <w:rPr>
                      <w:rFonts w:hint="eastAsia"/>
                      <w:szCs w:val="21"/>
                    </w:rPr>
                    <w:t>颗粒物</w:t>
                  </w:r>
                </w:p>
              </w:tc>
              <w:tc>
                <w:tcPr>
                  <w:tcW w:w="2126" w:type="dxa"/>
                  <w:vAlign w:val="center"/>
                </w:tcPr>
                <w:p>
                  <w:pPr>
                    <w:adjustRightInd w:val="0"/>
                    <w:snapToGrid w:val="0"/>
                    <w:jc w:val="center"/>
                    <w:rPr>
                      <w:szCs w:val="21"/>
                    </w:rPr>
                  </w:pPr>
                  <w:r>
                    <w:rPr>
                      <w:rFonts w:hint="eastAsia"/>
                      <w:szCs w:val="21"/>
                    </w:rPr>
                    <w:t>湿法作业，洒水降尘，厂房封闭</w:t>
                  </w:r>
                </w:p>
              </w:tc>
              <w:tc>
                <w:tcPr>
                  <w:tcW w:w="709" w:type="dxa"/>
                  <w:vMerge w:val="continue"/>
                  <w:vAlign w:val="center"/>
                </w:tcPr>
                <w:p>
                  <w:pPr>
                    <w:adjustRightInd w:val="0"/>
                    <w:snapToGrid w:val="0"/>
                    <w:jc w:val="center"/>
                    <w:rPr>
                      <w:szCs w:val="21"/>
                    </w:rPr>
                  </w:pPr>
                </w:p>
              </w:tc>
              <w:tc>
                <w:tcPr>
                  <w:tcW w:w="779" w:type="dxa"/>
                  <w:vAlign w:val="center"/>
                </w:tcPr>
                <w:p>
                  <w:pPr>
                    <w:jc w:val="center"/>
                  </w:pPr>
                  <w:r>
                    <w:t>0.921</w:t>
                  </w:r>
                </w:p>
              </w:tc>
              <w:tc>
                <w:tcPr>
                  <w:tcW w:w="780" w:type="dxa"/>
                  <w:vAlign w:val="center"/>
                </w:tcPr>
                <w:p>
                  <w:pPr>
                    <w:jc w:val="center"/>
                  </w:pPr>
                  <w:r>
                    <w:t>0.232</w:t>
                  </w:r>
                </w:p>
              </w:tc>
              <w:tc>
                <w:tcPr>
                  <w:tcW w:w="709" w:type="dxa"/>
                  <w:vAlign w:val="center"/>
                </w:tcPr>
                <w:p>
                  <w:pPr>
                    <w:adjustRightInd w:val="0"/>
                    <w:snapToGrid w:val="0"/>
                    <w:jc w:val="center"/>
                    <w:rPr>
                      <w:szCs w:val="21"/>
                    </w:rPr>
                  </w:pPr>
                  <w:r>
                    <w:rPr>
                      <w:rFonts w:hint="eastAsia"/>
                      <w:szCs w:val="21"/>
                    </w:rPr>
                    <w:t>是</w:t>
                  </w:r>
                </w:p>
              </w:tc>
              <w:tc>
                <w:tcPr>
                  <w:tcW w:w="1298" w:type="dxa"/>
                  <w:vMerge w:val="continue"/>
                  <w:vAlign w:val="center"/>
                </w:tcPr>
                <w:p>
                  <w:pPr>
                    <w:adjustRightInd w:val="0"/>
                    <w:snapToGrid w:val="0"/>
                    <w:jc w:val="center"/>
                    <w:rPr>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70" w:hRule="atLeast"/>
                <w:jc w:val="center"/>
              </w:trPr>
              <w:tc>
                <w:tcPr>
                  <w:tcW w:w="1287" w:type="dxa"/>
                  <w:vAlign w:val="center"/>
                </w:tcPr>
                <w:p>
                  <w:pPr>
                    <w:adjustRightInd w:val="0"/>
                    <w:snapToGrid w:val="0"/>
                    <w:jc w:val="center"/>
                    <w:rPr>
                      <w:szCs w:val="21"/>
                    </w:rPr>
                  </w:pPr>
                  <w:r>
                    <w:rPr>
                      <w:rFonts w:hint="eastAsia"/>
                      <w:szCs w:val="21"/>
                    </w:rPr>
                    <w:t>成品堆存和装卸</w:t>
                  </w:r>
                </w:p>
              </w:tc>
              <w:tc>
                <w:tcPr>
                  <w:tcW w:w="850" w:type="dxa"/>
                  <w:vAlign w:val="center"/>
                </w:tcPr>
                <w:p>
                  <w:pPr>
                    <w:adjustRightInd w:val="0"/>
                    <w:snapToGrid w:val="0"/>
                    <w:jc w:val="center"/>
                    <w:rPr>
                      <w:szCs w:val="21"/>
                    </w:rPr>
                  </w:pPr>
                  <w:r>
                    <w:rPr>
                      <w:rFonts w:hint="eastAsia"/>
                      <w:szCs w:val="21"/>
                    </w:rPr>
                    <w:t>颗粒物</w:t>
                  </w:r>
                </w:p>
              </w:tc>
              <w:tc>
                <w:tcPr>
                  <w:tcW w:w="2126" w:type="dxa"/>
                  <w:vAlign w:val="center"/>
                </w:tcPr>
                <w:p>
                  <w:pPr>
                    <w:adjustRightInd w:val="0"/>
                    <w:snapToGrid w:val="0"/>
                    <w:jc w:val="center"/>
                    <w:rPr>
                      <w:szCs w:val="21"/>
                    </w:rPr>
                  </w:pPr>
                  <w:r>
                    <w:rPr>
                      <w:rFonts w:hint="eastAsia"/>
                      <w:color w:val="000000"/>
                    </w:rPr>
                    <w:t>洒水降尘、围挡、</w:t>
                  </w:r>
                  <w:r>
                    <w:rPr>
                      <w:rFonts w:hint="eastAsia"/>
                    </w:rPr>
                    <w:t>覆盖防尘网</w:t>
                  </w:r>
                  <w:r>
                    <w:rPr>
                      <w:rFonts w:hint="eastAsia"/>
                      <w:color w:val="000000"/>
                    </w:rPr>
                    <w:t>，车辆冲洗</w:t>
                  </w:r>
                </w:p>
              </w:tc>
              <w:tc>
                <w:tcPr>
                  <w:tcW w:w="709" w:type="dxa"/>
                  <w:vMerge w:val="continue"/>
                  <w:vAlign w:val="center"/>
                </w:tcPr>
                <w:p>
                  <w:pPr>
                    <w:adjustRightInd w:val="0"/>
                    <w:snapToGrid w:val="0"/>
                    <w:jc w:val="center"/>
                    <w:rPr>
                      <w:szCs w:val="21"/>
                    </w:rPr>
                  </w:pPr>
                </w:p>
              </w:tc>
              <w:tc>
                <w:tcPr>
                  <w:tcW w:w="779" w:type="dxa"/>
                  <w:vAlign w:val="center"/>
                </w:tcPr>
                <w:p>
                  <w:pPr>
                    <w:widowControl/>
                    <w:jc w:val="center"/>
                    <w:textAlignment w:val="center"/>
                    <w:rPr>
                      <w:kern w:val="0"/>
                      <w:szCs w:val="21"/>
                      <w:lang w:bidi="ar"/>
                    </w:rPr>
                  </w:pPr>
                  <w:r>
                    <w:rPr>
                      <w:kern w:val="0"/>
                      <w:szCs w:val="21"/>
                      <w:lang w:bidi="ar"/>
                    </w:rPr>
                    <w:t>2.57</w:t>
                  </w:r>
                </w:p>
              </w:tc>
              <w:tc>
                <w:tcPr>
                  <w:tcW w:w="780" w:type="dxa"/>
                  <w:vAlign w:val="center"/>
                </w:tcPr>
                <w:p>
                  <w:pPr>
                    <w:adjustRightInd w:val="0"/>
                    <w:snapToGrid w:val="0"/>
                    <w:jc w:val="center"/>
                    <w:rPr>
                      <w:szCs w:val="21"/>
                    </w:rPr>
                  </w:pPr>
                  <w:r>
                    <w:rPr>
                      <w:rFonts w:hint="eastAsia"/>
                      <w:szCs w:val="21"/>
                    </w:rPr>
                    <w:t>0</w:t>
                  </w:r>
                  <w:r>
                    <w:rPr>
                      <w:szCs w:val="21"/>
                    </w:rPr>
                    <w:t>.324</w:t>
                  </w:r>
                </w:p>
              </w:tc>
              <w:tc>
                <w:tcPr>
                  <w:tcW w:w="709" w:type="dxa"/>
                  <w:vAlign w:val="center"/>
                </w:tcPr>
                <w:p>
                  <w:pPr>
                    <w:adjustRightInd w:val="0"/>
                    <w:snapToGrid w:val="0"/>
                    <w:jc w:val="center"/>
                    <w:rPr>
                      <w:szCs w:val="21"/>
                    </w:rPr>
                  </w:pPr>
                  <w:r>
                    <w:rPr>
                      <w:rFonts w:hint="eastAsia"/>
                      <w:szCs w:val="21"/>
                    </w:rPr>
                    <w:t>是</w:t>
                  </w:r>
                </w:p>
              </w:tc>
              <w:tc>
                <w:tcPr>
                  <w:tcW w:w="1298" w:type="dxa"/>
                  <w:vMerge w:val="continue"/>
                  <w:vAlign w:val="center"/>
                </w:tcPr>
                <w:p>
                  <w:pPr>
                    <w:adjustRightInd w:val="0"/>
                    <w:snapToGrid w:val="0"/>
                    <w:jc w:val="center"/>
                    <w:rPr>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70" w:hRule="atLeast"/>
                <w:jc w:val="center"/>
              </w:trPr>
              <w:tc>
                <w:tcPr>
                  <w:tcW w:w="1287" w:type="dxa"/>
                  <w:vAlign w:val="center"/>
                </w:tcPr>
                <w:p>
                  <w:pPr>
                    <w:adjustRightInd w:val="0"/>
                    <w:snapToGrid w:val="0"/>
                    <w:jc w:val="center"/>
                    <w:rPr>
                      <w:szCs w:val="21"/>
                    </w:rPr>
                  </w:pPr>
                  <w:r>
                    <w:rPr>
                      <w:rFonts w:hint="eastAsia"/>
                      <w:szCs w:val="21"/>
                    </w:rPr>
                    <w:t>车辆运输</w:t>
                  </w:r>
                </w:p>
              </w:tc>
              <w:tc>
                <w:tcPr>
                  <w:tcW w:w="850" w:type="dxa"/>
                  <w:vAlign w:val="center"/>
                </w:tcPr>
                <w:p>
                  <w:pPr>
                    <w:adjustRightInd w:val="0"/>
                    <w:snapToGrid w:val="0"/>
                    <w:jc w:val="center"/>
                    <w:rPr>
                      <w:szCs w:val="21"/>
                    </w:rPr>
                  </w:pPr>
                  <w:r>
                    <w:rPr>
                      <w:rFonts w:hint="eastAsia"/>
                      <w:szCs w:val="21"/>
                    </w:rPr>
                    <w:t>颗粒物</w:t>
                  </w:r>
                </w:p>
              </w:tc>
              <w:tc>
                <w:tcPr>
                  <w:tcW w:w="2126" w:type="dxa"/>
                  <w:vAlign w:val="center"/>
                </w:tcPr>
                <w:p>
                  <w:pPr>
                    <w:adjustRightInd w:val="0"/>
                    <w:snapToGrid w:val="0"/>
                    <w:jc w:val="center"/>
                    <w:rPr>
                      <w:szCs w:val="21"/>
                    </w:rPr>
                  </w:pPr>
                  <w:r>
                    <w:rPr>
                      <w:rFonts w:hint="eastAsia"/>
                      <w:szCs w:val="21"/>
                    </w:rPr>
                    <w:t>路面硬化、洒水、车辆减速、车辆冲洗</w:t>
                  </w:r>
                </w:p>
              </w:tc>
              <w:tc>
                <w:tcPr>
                  <w:tcW w:w="709" w:type="dxa"/>
                  <w:vMerge w:val="continue"/>
                  <w:vAlign w:val="center"/>
                </w:tcPr>
                <w:p>
                  <w:pPr>
                    <w:adjustRightInd w:val="0"/>
                    <w:snapToGrid w:val="0"/>
                    <w:jc w:val="center"/>
                    <w:rPr>
                      <w:szCs w:val="21"/>
                    </w:rPr>
                  </w:pPr>
                </w:p>
              </w:tc>
              <w:tc>
                <w:tcPr>
                  <w:tcW w:w="779" w:type="dxa"/>
                  <w:vAlign w:val="center"/>
                </w:tcPr>
                <w:p>
                  <w:pPr>
                    <w:widowControl/>
                    <w:jc w:val="center"/>
                    <w:textAlignment w:val="center"/>
                    <w:rPr>
                      <w:kern w:val="0"/>
                      <w:szCs w:val="21"/>
                      <w:lang w:bidi="ar"/>
                    </w:rPr>
                  </w:pPr>
                  <w:r>
                    <w:rPr>
                      <w:kern w:val="0"/>
                      <w:szCs w:val="21"/>
                      <w:lang w:bidi="ar"/>
                    </w:rPr>
                    <w:t>0.87</w:t>
                  </w:r>
                </w:p>
              </w:tc>
              <w:tc>
                <w:tcPr>
                  <w:tcW w:w="780" w:type="dxa"/>
                  <w:vAlign w:val="center"/>
                </w:tcPr>
                <w:p>
                  <w:pPr>
                    <w:adjustRightInd w:val="0"/>
                    <w:snapToGrid w:val="0"/>
                    <w:jc w:val="center"/>
                    <w:rPr>
                      <w:szCs w:val="21"/>
                    </w:rPr>
                  </w:pPr>
                  <w:r>
                    <w:rPr>
                      <w:rFonts w:hint="eastAsia"/>
                      <w:szCs w:val="21"/>
                    </w:rPr>
                    <w:t>0</w:t>
                  </w:r>
                  <w:r>
                    <w:rPr>
                      <w:szCs w:val="21"/>
                    </w:rPr>
                    <w:t>.110</w:t>
                  </w:r>
                </w:p>
              </w:tc>
              <w:tc>
                <w:tcPr>
                  <w:tcW w:w="709" w:type="dxa"/>
                  <w:vAlign w:val="center"/>
                </w:tcPr>
                <w:p>
                  <w:pPr>
                    <w:adjustRightInd w:val="0"/>
                    <w:snapToGrid w:val="0"/>
                    <w:jc w:val="center"/>
                    <w:rPr>
                      <w:szCs w:val="21"/>
                    </w:rPr>
                  </w:pPr>
                  <w:r>
                    <w:rPr>
                      <w:rFonts w:hint="eastAsia"/>
                      <w:szCs w:val="21"/>
                    </w:rPr>
                    <w:t>是</w:t>
                  </w:r>
                </w:p>
              </w:tc>
              <w:tc>
                <w:tcPr>
                  <w:tcW w:w="1298" w:type="dxa"/>
                  <w:vMerge w:val="continue"/>
                  <w:vAlign w:val="center"/>
                </w:tcPr>
                <w:p>
                  <w:pPr>
                    <w:adjustRightInd w:val="0"/>
                    <w:snapToGrid w:val="0"/>
                    <w:jc w:val="center"/>
                    <w:rPr>
                      <w:szCs w:val="21"/>
                    </w:rPr>
                  </w:pPr>
                </w:p>
              </w:tc>
            </w:tr>
          </w:tbl>
          <w:p>
            <w:pPr>
              <w:pStyle w:val="38"/>
              <w:spacing w:before="120" w:beforeLines="50"/>
              <w:ind w:firstLine="480"/>
            </w:pPr>
            <w:r>
              <w:rPr>
                <w:rFonts w:hint="eastAsia"/>
              </w:rPr>
              <w:t>2）大气污染物年排放情况</w:t>
            </w:r>
          </w:p>
          <w:p>
            <w:pPr>
              <w:wordWrap w:val="0"/>
              <w:adjustRightInd w:val="0"/>
              <w:snapToGrid w:val="0"/>
              <w:spacing w:line="360" w:lineRule="auto"/>
              <w:ind w:firstLine="480" w:firstLineChars="200"/>
              <w:jc w:val="left"/>
              <w:rPr>
                <w:color w:val="000000"/>
                <w:sz w:val="24"/>
              </w:rPr>
            </w:pPr>
            <w:r>
              <w:rPr>
                <w:color w:val="000000"/>
                <w:sz w:val="24"/>
              </w:rPr>
              <w:t>本项目大气污染物年排放情况见下表。</w:t>
            </w:r>
          </w:p>
          <w:p>
            <w:pPr>
              <w:jc w:val="center"/>
              <w:rPr>
                <w:b/>
                <w:color w:val="000000"/>
                <w:szCs w:val="21"/>
              </w:rPr>
            </w:pPr>
            <w:r>
              <w:rPr>
                <w:b/>
                <w:color w:val="000000"/>
                <w:szCs w:val="21"/>
              </w:rPr>
              <w:t>表4-5 大气污染物年排放情况</w:t>
            </w:r>
          </w:p>
          <w:tbl>
            <w:tblPr>
              <w:tblStyle w:val="1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18"/>
              <w:gridCol w:w="2818"/>
              <w:gridCol w:w="281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8" w:type="dxa"/>
                  <w:shd w:val="clear" w:color="auto" w:fill="auto"/>
                  <w:vAlign w:val="center"/>
                </w:tcPr>
                <w:p>
                  <w:pPr>
                    <w:adjustRightInd w:val="0"/>
                    <w:snapToGrid w:val="0"/>
                    <w:jc w:val="center"/>
                    <w:rPr>
                      <w:b/>
                      <w:color w:val="000000"/>
                      <w:szCs w:val="21"/>
                    </w:rPr>
                  </w:pPr>
                  <w:r>
                    <w:rPr>
                      <w:b/>
                      <w:color w:val="000000"/>
                      <w:szCs w:val="21"/>
                    </w:rPr>
                    <w:t>序号</w:t>
                  </w:r>
                </w:p>
              </w:tc>
              <w:tc>
                <w:tcPr>
                  <w:tcW w:w="2818" w:type="dxa"/>
                  <w:shd w:val="clear" w:color="auto" w:fill="auto"/>
                  <w:vAlign w:val="center"/>
                </w:tcPr>
                <w:p>
                  <w:pPr>
                    <w:adjustRightInd w:val="0"/>
                    <w:snapToGrid w:val="0"/>
                    <w:jc w:val="center"/>
                    <w:rPr>
                      <w:b/>
                      <w:color w:val="000000"/>
                      <w:szCs w:val="21"/>
                    </w:rPr>
                  </w:pPr>
                  <w:r>
                    <w:rPr>
                      <w:b/>
                      <w:color w:val="000000"/>
                      <w:szCs w:val="21"/>
                    </w:rPr>
                    <w:t>污染物种类</w:t>
                  </w:r>
                </w:p>
              </w:tc>
              <w:tc>
                <w:tcPr>
                  <w:tcW w:w="2819" w:type="dxa"/>
                  <w:shd w:val="clear" w:color="auto" w:fill="auto"/>
                  <w:vAlign w:val="center"/>
                </w:tcPr>
                <w:p>
                  <w:pPr>
                    <w:adjustRightInd w:val="0"/>
                    <w:snapToGrid w:val="0"/>
                    <w:jc w:val="center"/>
                    <w:rPr>
                      <w:b/>
                      <w:color w:val="000000"/>
                      <w:szCs w:val="21"/>
                    </w:rPr>
                  </w:pPr>
                  <w:r>
                    <w:rPr>
                      <w:b/>
                      <w:color w:val="000000"/>
                      <w:szCs w:val="21"/>
                    </w:rPr>
                    <w:t>年排放量t/a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818" w:type="dxa"/>
                  <w:shd w:val="clear" w:color="auto" w:fill="auto"/>
                  <w:vAlign w:val="center"/>
                </w:tcPr>
                <w:p>
                  <w:pPr>
                    <w:adjustRightInd w:val="0"/>
                    <w:snapToGrid w:val="0"/>
                    <w:jc w:val="center"/>
                    <w:rPr>
                      <w:color w:val="000000"/>
                      <w:szCs w:val="21"/>
                    </w:rPr>
                  </w:pPr>
                  <w:r>
                    <w:rPr>
                      <w:color w:val="000000"/>
                      <w:szCs w:val="21"/>
                    </w:rPr>
                    <w:t>1</w:t>
                  </w:r>
                </w:p>
              </w:tc>
              <w:tc>
                <w:tcPr>
                  <w:tcW w:w="2818" w:type="dxa"/>
                  <w:shd w:val="clear" w:color="auto" w:fill="auto"/>
                  <w:vAlign w:val="center"/>
                </w:tcPr>
                <w:p>
                  <w:pPr>
                    <w:adjustRightInd w:val="0"/>
                    <w:snapToGrid w:val="0"/>
                    <w:jc w:val="center"/>
                    <w:rPr>
                      <w:color w:val="000000"/>
                      <w:szCs w:val="21"/>
                    </w:rPr>
                  </w:pPr>
                  <w:r>
                    <w:rPr>
                      <w:color w:val="000000"/>
                      <w:szCs w:val="21"/>
                    </w:rPr>
                    <w:t>颗粒物</w:t>
                  </w:r>
                </w:p>
              </w:tc>
              <w:tc>
                <w:tcPr>
                  <w:tcW w:w="2819" w:type="dxa"/>
                  <w:shd w:val="clear" w:color="auto" w:fill="auto"/>
                  <w:vAlign w:val="center"/>
                </w:tcPr>
                <w:p>
                  <w:pPr>
                    <w:jc w:val="center"/>
                  </w:pPr>
                  <w:r>
                    <w:t>4.721</w:t>
                  </w:r>
                </w:p>
              </w:tc>
            </w:tr>
          </w:tbl>
          <w:p>
            <w:pPr>
              <w:adjustRightInd w:val="0"/>
              <w:snapToGrid w:val="0"/>
              <w:spacing w:before="120" w:beforeLines="50" w:line="360" w:lineRule="auto"/>
              <w:ind w:firstLine="480"/>
              <w:jc w:val="left"/>
              <w:rPr>
                <w:b/>
                <w:sz w:val="24"/>
              </w:rPr>
            </w:pPr>
            <w:r>
              <w:rPr>
                <w:rFonts w:hint="eastAsia"/>
                <w:b/>
                <w:sz w:val="24"/>
              </w:rPr>
              <w:t>（</w:t>
            </w:r>
            <w:r>
              <w:rPr>
                <w:b/>
                <w:sz w:val="24"/>
              </w:rPr>
              <w:t>3</w:t>
            </w:r>
            <w:r>
              <w:rPr>
                <w:rFonts w:hint="eastAsia"/>
                <w:b/>
                <w:sz w:val="24"/>
              </w:rPr>
              <w:t>）大气环境监测计划</w:t>
            </w:r>
          </w:p>
          <w:p>
            <w:pPr>
              <w:adjustRightInd w:val="0"/>
              <w:snapToGrid w:val="0"/>
              <w:spacing w:line="360" w:lineRule="auto"/>
              <w:ind w:firstLine="480" w:firstLineChars="200"/>
              <w:rPr>
                <w:color w:val="000000"/>
                <w:kern w:val="0"/>
                <w:sz w:val="24"/>
              </w:rPr>
            </w:pPr>
            <w:r>
              <w:rPr>
                <w:rFonts w:hint="eastAsia" w:cs="宋体"/>
                <w:bCs/>
                <w:color w:val="000000"/>
                <w:kern w:val="0"/>
                <w:sz w:val="24"/>
              </w:rPr>
              <w:t>本项目为新建砂石加工项目，</w:t>
            </w:r>
            <w:r>
              <w:rPr>
                <w:rFonts w:hint="eastAsia"/>
                <w:color w:val="000000"/>
                <w:kern w:val="0"/>
                <w:sz w:val="24"/>
              </w:rPr>
              <w:t>根据《固定污染源排污许可分类管理名录》（2019版），本项目为登记管理。根据《排污单位自行监测技术指南 总则》（HJ819-2017），本项目监测计划如下表所示。</w:t>
            </w:r>
          </w:p>
          <w:p>
            <w:pPr>
              <w:adjustRightInd w:val="0"/>
              <w:snapToGrid w:val="0"/>
              <w:jc w:val="center"/>
              <w:rPr>
                <w:b/>
                <w:color w:val="000000"/>
                <w:kern w:val="0"/>
                <w:szCs w:val="21"/>
              </w:rPr>
            </w:pPr>
            <w:r>
              <w:rPr>
                <w:rFonts w:hint="eastAsia"/>
                <w:b/>
                <w:color w:val="000000"/>
                <w:kern w:val="0"/>
                <w:szCs w:val="21"/>
              </w:rPr>
              <w:t>表4</w:t>
            </w:r>
            <w:r>
              <w:rPr>
                <w:b/>
                <w:color w:val="000000"/>
                <w:kern w:val="0"/>
                <w:szCs w:val="21"/>
              </w:rPr>
              <w:t xml:space="preserve">-6 </w:t>
            </w:r>
            <w:r>
              <w:rPr>
                <w:b/>
                <w:bCs/>
                <w:color w:val="000000"/>
                <w:szCs w:val="21"/>
              </w:rPr>
              <w:t>项目监测计划表</w:t>
            </w:r>
          </w:p>
          <w:tbl>
            <w:tblPr>
              <w:tblStyle w:val="1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881"/>
              <w:gridCol w:w="881"/>
              <w:gridCol w:w="1326"/>
              <w:gridCol w:w="1965"/>
              <w:gridCol w:w="1223"/>
              <w:gridCol w:w="119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1" w:type="pct"/>
                  <w:vAlign w:val="center"/>
                </w:tcPr>
                <w:p>
                  <w:pPr>
                    <w:pStyle w:val="36"/>
                    <w:rPr>
                      <w:b/>
                      <w:color w:val="000000"/>
                    </w:rPr>
                  </w:pPr>
                  <w:r>
                    <w:rPr>
                      <w:b/>
                      <w:color w:val="000000"/>
                    </w:rPr>
                    <w:t>监测时段</w:t>
                  </w:r>
                </w:p>
              </w:tc>
              <w:tc>
                <w:tcPr>
                  <w:tcW w:w="1028" w:type="pct"/>
                  <w:gridSpan w:val="2"/>
                  <w:vAlign w:val="center"/>
                </w:tcPr>
                <w:p>
                  <w:pPr>
                    <w:pStyle w:val="36"/>
                    <w:rPr>
                      <w:b/>
                      <w:color w:val="000000"/>
                    </w:rPr>
                  </w:pPr>
                  <w:r>
                    <w:rPr>
                      <w:b/>
                      <w:color w:val="000000"/>
                    </w:rPr>
                    <w:t>监测内容</w:t>
                  </w:r>
                </w:p>
              </w:tc>
              <w:tc>
                <w:tcPr>
                  <w:tcW w:w="774" w:type="pct"/>
                  <w:vAlign w:val="center"/>
                </w:tcPr>
                <w:p>
                  <w:pPr>
                    <w:pStyle w:val="36"/>
                    <w:rPr>
                      <w:b/>
                      <w:color w:val="000000"/>
                    </w:rPr>
                  </w:pPr>
                  <w:r>
                    <w:rPr>
                      <w:b/>
                      <w:color w:val="000000"/>
                    </w:rPr>
                    <w:t>监测点</w:t>
                  </w:r>
                  <w:r>
                    <w:rPr>
                      <w:rFonts w:hint="eastAsia"/>
                      <w:b/>
                      <w:color w:val="000000"/>
                    </w:rPr>
                    <w:t>位</w:t>
                  </w:r>
                </w:p>
              </w:tc>
              <w:tc>
                <w:tcPr>
                  <w:tcW w:w="1147" w:type="pct"/>
                  <w:vAlign w:val="center"/>
                </w:tcPr>
                <w:p>
                  <w:pPr>
                    <w:pStyle w:val="36"/>
                    <w:rPr>
                      <w:b/>
                      <w:color w:val="000000"/>
                    </w:rPr>
                  </w:pPr>
                  <w:r>
                    <w:rPr>
                      <w:b/>
                      <w:color w:val="000000"/>
                    </w:rPr>
                    <w:t>监测项目</w:t>
                  </w:r>
                </w:p>
              </w:tc>
              <w:tc>
                <w:tcPr>
                  <w:tcW w:w="714" w:type="pct"/>
                  <w:vAlign w:val="center"/>
                </w:tcPr>
                <w:p>
                  <w:pPr>
                    <w:pStyle w:val="36"/>
                    <w:rPr>
                      <w:b/>
                      <w:color w:val="000000"/>
                    </w:rPr>
                  </w:pPr>
                  <w:r>
                    <w:rPr>
                      <w:b/>
                      <w:color w:val="000000"/>
                    </w:rPr>
                    <w:t>监测频率</w:t>
                  </w:r>
                </w:p>
              </w:tc>
              <w:tc>
                <w:tcPr>
                  <w:tcW w:w="695" w:type="pct"/>
                  <w:vAlign w:val="center"/>
                </w:tcPr>
                <w:p>
                  <w:pPr>
                    <w:pStyle w:val="36"/>
                    <w:rPr>
                      <w:b/>
                      <w:color w:val="000000"/>
                    </w:rPr>
                  </w:pPr>
                  <w:r>
                    <w:rPr>
                      <w:b/>
                      <w:color w:val="000000"/>
                    </w:rPr>
                    <w:t>监测方法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1" w:type="pct"/>
                  <w:vAlign w:val="center"/>
                </w:tcPr>
                <w:p>
                  <w:pPr>
                    <w:pStyle w:val="36"/>
                    <w:rPr>
                      <w:color w:val="000000"/>
                    </w:rPr>
                  </w:pPr>
                  <w:r>
                    <w:rPr>
                      <w:rFonts w:hint="eastAsia"/>
                      <w:color w:val="000000"/>
                    </w:rPr>
                    <w:t>运营期</w:t>
                  </w:r>
                </w:p>
              </w:tc>
              <w:tc>
                <w:tcPr>
                  <w:tcW w:w="514" w:type="pct"/>
                  <w:vAlign w:val="center"/>
                </w:tcPr>
                <w:p>
                  <w:pPr>
                    <w:pStyle w:val="36"/>
                    <w:rPr>
                      <w:color w:val="000000"/>
                    </w:rPr>
                  </w:pPr>
                  <w:r>
                    <w:rPr>
                      <w:rFonts w:hint="eastAsia"/>
                      <w:color w:val="000000"/>
                    </w:rPr>
                    <w:t>废气</w:t>
                  </w:r>
                </w:p>
              </w:tc>
              <w:tc>
                <w:tcPr>
                  <w:tcW w:w="514" w:type="pct"/>
                  <w:vAlign w:val="center"/>
                </w:tcPr>
                <w:p>
                  <w:pPr>
                    <w:pStyle w:val="36"/>
                    <w:rPr>
                      <w:color w:val="000000"/>
                    </w:rPr>
                  </w:pPr>
                  <w:r>
                    <w:rPr>
                      <w:rFonts w:hint="eastAsia"/>
                      <w:color w:val="000000"/>
                    </w:rPr>
                    <w:t>无组织</w:t>
                  </w:r>
                </w:p>
              </w:tc>
              <w:tc>
                <w:tcPr>
                  <w:tcW w:w="774" w:type="pct"/>
                  <w:vAlign w:val="center"/>
                </w:tcPr>
                <w:p>
                  <w:pPr>
                    <w:pStyle w:val="36"/>
                    <w:rPr>
                      <w:color w:val="000000"/>
                    </w:rPr>
                  </w:pPr>
                  <w:r>
                    <w:rPr>
                      <w:rFonts w:hint="eastAsia"/>
                      <w:color w:val="000000"/>
                    </w:rPr>
                    <w:t>厂界</w:t>
                  </w:r>
                </w:p>
              </w:tc>
              <w:tc>
                <w:tcPr>
                  <w:tcW w:w="1147" w:type="pct"/>
                  <w:vAlign w:val="center"/>
                </w:tcPr>
                <w:p>
                  <w:pPr>
                    <w:pStyle w:val="36"/>
                    <w:rPr>
                      <w:color w:val="000000"/>
                    </w:rPr>
                  </w:pPr>
                  <w:r>
                    <w:rPr>
                      <w:rFonts w:hint="eastAsia"/>
                      <w:color w:val="000000"/>
                    </w:rPr>
                    <w:t>颗粒物</w:t>
                  </w:r>
                </w:p>
              </w:tc>
              <w:tc>
                <w:tcPr>
                  <w:tcW w:w="714" w:type="pct"/>
                  <w:vAlign w:val="center"/>
                </w:tcPr>
                <w:p>
                  <w:pPr>
                    <w:pStyle w:val="36"/>
                    <w:rPr>
                      <w:color w:val="000000"/>
                    </w:rPr>
                  </w:pPr>
                  <w:r>
                    <w:rPr>
                      <w:rFonts w:hint="eastAsia"/>
                      <w:color w:val="000000"/>
                    </w:rPr>
                    <w:t>每年一次</w:t>
                  </w:r>
                </w:p>
              </w:tc>
              <w:tc>
                <w:tcPr>
                  <w:tcW w:w="695" w:type="pct"/>
                  <w:vAlign w:val="center"/>
                </w:tcPr>
                <w:p>
                  <w:pPr>
                    <w:pStyle w:val="36"/>
                    <w:rPr>
                      <w:color w:val="000000"/>
                    </w:rPr>
                  </w:pPr>
                  <w:r>
                    <w:rPr>
                      <w:color w:val="000000"/>
                    </w:rPr>
                    <w:t>按相关规范进行</w:t>
                  </w:r>
                </w:p>
              </w:tc>
            </w:tr>
          </w:tbl>
          <w:p>
            <w:pPr>
              <w:spacing w:before="120" w:beforeLines="50" w:line="360" w:lineRule="auto"/>
              <w:ind w:firstLine="482" w:firstLineChars="200"/>
              <w:rPr>
                <w:b/>
                <w:color w:val="000000"/>
                <w:sz w:val="24"/>
              </w:rPr>
            </w:pPr>
            <w:r>
              <w:rPr>
                <w:rFonts w:hint="eastAsia"/>
                <w:b/>
                <w:color w:val="000000"/>
                <w:sz w:val="24"/>
              </w:rPr>
              <w:t>（</w:t>
            </w:r>
            <w:r>
              <w:rPr>
                <w:b/>
                <w:color w:val="000000"/>
                <w:sz w:val="24"/>
              </w:rPr>
              <w:t>4</w:t>
            </w:r>
            <w:r>
              <w:rPr>
                <w:rFonts w:hint="eastAsia"/>
                <w:b/>
                <w:color w:val="000000"/>
                <w:sz w:val="24"/>
              </w:rPr>
              <w:t>）大气非正常工况的排放情况</w:t>
            </w:r>
          </w:p>
          <w:p>
            <w:pPr>
              <w:pStyle w:val="38"/>
              <w:ind w:firstLine="480"/>
              <w:rPr>
                <w:color w:val="000000"/>
              </w:rPr>
            </w:pPr>
            <w:r>
              <w:rPr>
                <w:rFonts w:hint="eastAsia"/>
                <w:color w:val="000000"/>
              </w:rPr>
              <w:t>非正常工况下，项目废气治理设施短时失效，则项目非正常工况下大气污染物排放情况见下表。</w:t>
            </w:r>
          </w:p>
          <w:p>
            <w:pPr>
              <w:widowControl/>
              <w:snapToGrid w:val="0"/>
              <w:spacing w:line="276" w:lineRule="auto"/>
              <w:jc w:val="center"/>
              <w:rPr>
                <w:b/>
                <w:bCs/>
                <w:color w:val="000000"/>
                <w:kern w:val="0"/>
                <w:szCs w:val="21"/>
              </w:rPr>
            </w:pPr>
            <w:r>
              <w:rPr>
                <w:b/>
                <w:bCs/>
                <w:color w:val="000000"/>
                <w:kern w:val="0"/>
                <w:szCs w:val="21"/>
              </w:rPr>
              <w:t>表4-7 非正常工况下大气污染物排放情况表</w:t>
            </w:r>
          </w:p>
          <w:tbl>
            <w:tblPr>
              <w:tblStyle w:val="14"/>
              <w:tblW w:w="854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428"/>
              <w:gridCol w:w="1022"/>
              <w:gridCol w:w="1210"/>
              <w:gridCol w:w="860"/>
              <w:gridCol w:w="1160"/>
              <w:gridCol w:w="1080"/>
              <w:gridCol w:w="910"/>
              <w:gridCol w:w="803"/>
              <w:gridCol w:w="107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28" w:type="dxa"/>
                  <w:vAlign w:val="center"/>
                </w:tcPr>
                <w:p>
                  <w:pPr>
                    <w:adjustRightInd w:val="0"/>
                    <w:snapToGrid w:val="0"/>
                    <w:jc w:val="center"/>
                    <w:rPr>
                      <w:b/>
                      <w:bCs/>
                      <w:color w:val="000000"/>
                      <w:szCs w:val="21"/>
                    </w:rPr>
                  </w:pPr>
                  <w:r>
                    <w:rPr>
                      <w:b/>
                      <w:bCs/>
                      <w:color w:val="000000"/>
                      <w:szCs w:val="21"/>
                    </w:rPr>
                    <w:t>序号</w:t>
                  </w:r>
                </w:p>
              </w:tc>
              <w:tc>
                <w:tcPr>
                  <w:tcW w:w="1022" w:type="dxa"/>
                  <w:vAlign w:val="center"/>
                </w:tcPr>
                <w:p>
                  <w:pPr>
                    <w:adjustRightInd w:val="0"/>
                    <w:snapToGrid w:val="0"/>
                    <w:jc w:val="center"/>
                    <w:rPr>
                      <w:b/>
                      <w:bCs/>
                      <w:color w:val="000000"/>
                      <w:szCs w:val="21"/>
                    </w:rPr>
                  </w:pPr>
                  <w:r>
                    <w:rPr>
                      <w:b/>
                      <w:bCs/>
                      <w:color w:val="000000"/>
                      <w:szCs w:val="21"/>
                    </w:rPr>
                    <w:t>污染源</w:t>
                  </w:r>
                </w:p>
              </w:tc>
              <w:tc>
                <w:tcPr>
                  <w:tcW w:w="1210" w:type="dxa"/>
                  <w:vAlign w:val="center"/>
                </w:tcPr>
                <w:p>
                  <w:pPr>
                    <w:adjustRightInd w:val="0"/>
                    <w:snapToGrid w:val="0"/>
                    <w:jc w:val="center"/>
                    <w:rPr>
                      <w:b/>
                      <w:bCs/>
                      <w:color w:val="000000"/>
                      <w:szCs w:val="21"/>
                    </w:rPr>
                  </w:pPr>
                  <w:r>
                    <w:rPr>
                      <w:b/>
                      <w:bCs/>
                      <w:color w:val="000000"/>
                      <w:szCs w:val="21"/>
                    </w:rPr>
                    <w:t>非正常排放原因</w:t>
                  </w:r>
                </w:p>
              </w:tc>
              <w:tc>
                <w:tcPr>
                  <w:tcW w:w="860" w:type="dxa"/>
                  <w:vAlign w:val="center"/>
                </w:tcPr>
                <w:p>
                  <w:pPr>
                    <w:adjustRightInd w:val="0"/>
                    <w:snapToGrid w:val="0"/>
                    <w:jc w:val="center"/>
                    <w:rPr>
                      <w:b/>
                      <w:bCs/>
                      <w:color w:val="000000"/>
                      <w:szCs w:val="21"/>
                    </w:rPr>
                  </w:pPr>
                  <w:r>
                    <w:rPr>
                      <w:b/>
                      <w:bCs/>
                      <w:color w:val="000000"/>
                      <w:szCs w:val="21"/>
                    </w:rPr>
                    <w:t>污染物</w:t>
                  </w:r>
                </w:p>
              </w:tc>
              <w:tc>
                <w:tcPr>
                  <w:tcW w:w="1160" w:type="dxa"/>
                  <w:vAlign w:val="center"/>
                </w:tcPr>
                <w:p>
                  <w:pPr>
                    <w:adjustRightInd w:val="0"/>
                    <w:snapToGrid w:val="0"/>
                    <w:jc w:val="center"/>
                    <w:rPr>
                      <w:b/>
                      <w:bCs/>
                      <w:color w:val="000000"/>
                      <w:szCs w:val="21"/>
                    </w:rPr>
                  </w:pPr>
                  <w:r>
                    <w:rPr>
                      <w:b/>
                      <w:bCs/>
                      <w:color w:val="000000"/>
                      <w:szCs w:val="21"/>
                    </w:rPr>
                    <w:t>非正常排放浓度（mg/m</w:t>
                  </w:r>
                  <w:r>
                    <w:rPr>
                      <w:b/>
                      <w:bCs/>
                      <w:color w:val="000000"/>
                      <w:szCs w:val="21"/>
                      <w:vertAlign w:val="superscript"/>
                    </w:rPr>
                    <w:t>3</w:t>
                  </w:r>
                  <w:r>
                    <w:rPr>
                      <w:b/>
                      <w:bCs/>
                      <w:color w:val="000000"/>
                      <w:szCs w:val="21"/>
                    </w:rPr>
                    <w:t>）</w:t>
                  </w:r>
                </w:p>
              </w:tc>
              <w:tc>
                <w:tcPr>
                  <w:tcW w:w="1080" w:type="dxa"/>
                  <w:vAlign w:val="center"/>
                </w:tcPr>
                <w:p>
                  <w:pPr>
                    <w:adjustRightInd w:val="0"/>
                    <w:snapToGrid w:val="0"/>
                    <w:jc w:val="center"/>
                    <w:rPr>
                      <w:b/>
                      <w:bCs/>
                      <w:color w:val="000000"/>
                      <w:szCs w:val="21"/>
                    </w:rPr>
                  </w:pPr>
                  <w:r>
                    <w:rPr>
                      <w:b/>
                      <w:bCs/>
                      <w:color w:val="000000"/>
                      <w:szCs w:val="21"/>
                    </w:rPr>
                    <w:t>非正常排放速率（kg/h）</w:t>
                  </w:r>
                </w:p>
              </w:tc>
              <w:tc>
                <w:tcPr>
                  <w:tcW w:w="910" w:type="dxa"/>
                  <w:vAlign w:val="center"/>
                </w:tcPr>
                <w:p>
                  <w:pPr>
                    <w:adjustRightInd w:val="0"/>
                    <w:snapToGrid w:val="0"/>
                    <w:jc w:val="center"/>
                    <w:rPr>
                      <w:b/>
                      <w:bCs/>
                      <w:color w:val="000000"/>
                      <w:szCs w:val="21"/>
                    </w:rPr>
                  </w:pPr>
                  <w:r>
                    <w:rPr>
                      <w:b/>
                      <w:bCs/>
                      <w:color w:val="000000"/>
                      <w:szCs w:val="21"/>
                    </w:rPr>
                    <w:t>单次持续时间（h）</w:t>
                  </w:r>
                </w:p>
              </w:tc>
              <w:tc>
                <w:tcPr>
                  <w:tcW w:w="803" w:type="dxa"/>
                  <w:vAlign w:val="center"/>
                </w:tcPr>
                <w:p>
                  <w:pPr>
                    <w:adjustRightInd w:val="0"/>
                    <w:snapToGrid w:val="0"/>
                    <w:jc w:val="center"/>
                    <w:rPr>
                      <w:b/>
                      <w:bCs/>
                      <w:color w:val="000000"/>
                      <w:szCs w:val="21"/>
                    </w:rPr>
                  </w:pPr>
                  <w:r>
                    <w:rPr>
                      <w:b/>
                      <w:bCs/>
                      <w:color w:val="000000"/>
                      <w:szCs w:val="21"/>
                    </w:rPr>
                    <w:t>年发生频次（次）</w:t>
                  </w:r>
                </w:p>
              </w:tc>
              <w:tc>
                <w:tcPr>
                  <w:tcW w:w="1073" w:type="dxa"/>
                  <w:vAlign w:val="center"/>
                </w:tcPr>
                <w:p>
                  <w:pPr>
                    <w:adjustRightInd w:val="0"/>
                    <w:snapToGrid w:val="0"/>
                    <w:jc w:val="center"/>
                    <w:rPr>
                      <w:b/>
                      <w:bCs/>
                      <w:color w:val="000000"/>
                      <w:szCs w:val="21"/>
                    </w:rPr>
                  </w:pPr>
                  <w:r>
                    <w:rPr>
                      <w:b/>
                      <w:bCs/>
                      <w:color w:val="000000"/>
                      <w:szCs w:val="21"/>
                    </w:rPr>
                    <w:t>应对措施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428" w:type="dxa"/>
                  <w:vAlign w:val="center"/>
                </w:tcPr>
                <w:p>
                  <w:pPr>
                    <w:adjustRightInd w:val="0"/>
                    <w:snapToGrid w:val="0"/>
                    <w:jc w:val="center"/>
                    <w:rPr>
                      <w:color w:val="000000"/>
                      <w:szCs w:val="21"/>
                    </w:rPr>
                  </w:pPr>
                  <w:r>
                    <w:rPr>
                      <w:color w:val="000000"/>
                      <w:szCs w:val="21"/>
                    </w:rPr>
                    <w:t>1</w:t>
                  </w:r>
                </w:p>
              </w:tc>
              <w:tc>
                <w:tcPr>
                  <w:tcW w:w="1022" w:type="dxa"/>
                  <w:vAlign w:val="center"/>
                </w:tcPr>
                <w:p>
                  <w:pPr>
                    <w:adjustRightInd w:val="0"/>
                    <w:jc w:val="center"/>
                    <w:rPr>
                      <w:color w:val="000000"/>
                      <w:szCs w:val="21"/>
                    </w:rPr>
                  </w:pPr>
                  <w:r>
                    <w:rPr>
                      <w:rFonts w:hint="eastAsia"/>
                      <w:color w:val="000000"/>
                      <w:szCs w:val="21"/>
                    </w:rPr>
                    <w:t>破碎与筛分</w:t>
                  </w:r>
                </w:p>
              </w:tc>
              <w:tc>
                <w:tcPr>
                  <w:tcW w:w="1210" w:type="dxa"/>
                  <w:vAlign w:val="center"/>
                </w:tcPr>
                <w:p>
                  <w:pPr>
                    <w:adjustRightInd w:val="0"/>
                    <w:snapToGrid w:val="0"/>
                    <w:jc w:val="center"/>
                    <w:rPr>
                      <w:color w:val="000000"/>
                      <w:szCs w:val="21"/>
                    </w:rPr>
                  </w:pPr>
                  <w:r>
                    <w:rPr>
                      <w:rFonts w:hint="eastAsia"/>
                      <w:color w:val="000000"/>
                      <w:szCs w:val="21"/>
                    </w:rPr>
                    <w:t>停水或洒水装置停止工作</w:t>
                  </w:r>
                </w:p>
              </w:tc>
              <w:tc>
                <w:tcPr>
                  <w:tcW w:w="860" w:type="dxa"/>
                  <w:vAlign w:val="center"/>
                </w:tcPr>
                <w:p>
                  <w:pPr>
                    <w:adjustRightInd w:val="0"/>
                    <w:snapToGrid w:val="0"/>
                    <w:jc w:val="center"/>
                    <w:rPr>
                      <w:color w:val="000000"/>
                      <w:szCs w:val="21"/>
                    </w:rPr>
                  </w:pPr>
                  <w:r>
                    <w:rPr>
                      <w:rFonts w:hint="eastAsia"/>
                      <w:color w:val="000000"/>
                      <w:szCs w:val="21"/>
                    </w:rPr>
                    <w:t>颗粒物</w:t>
                  </w:r>
                </w:p>
              </w:tc>
              <w:tc>
                <w:tcPr>
                  <w:tcW w:w="1160" w:type="dxa"/>
                  <w:vAlign w:val="center"/>
                </w:tcPr>
                <w:p>
                  <w:pPr>
                    <w:adjustRightInd w:val="0"/>
                    <w:snapToGrid w:val="0"/>
                    <w:jc w:val="center"/>
                    <w:rPr>
                      <w:color w:val="000000"/>
                      <w:szCs w:val="21"/>
                    </w:rPr>
                  </w:pPr>
                  <w:r>
                    <w:rPr>
                      <w:color w:val="000000"/>
                      <w:szCs w:val="21"/>
                    </w:rPr>
                    <w:t>/</w:t>
                  </w:r>
                </w:p>
              </w:tc>
              <w:tc>
                <w:tcPr>
                  <w:tcW w:w="1080" w:type="dxa"/>
                  <w:vAlign w:val="center"/>
                </w:tcPr>
                <w:p>
                  <w:pPr>
                    <w:adjustRightInd w:val="0"/>
                    <w:snapToGrid w:val="0"/>
                    <w:jc w:val="center"/>
                    <w:rPr>
                      <w:color w:val="000000"/>
                      <w:szCs w:val="21"/>
                    </w:rPr>
                  </w:pPr>
                  <w:r>
                    <w:rPr>
                      <w:color w:val="000000"/>
                      <w:szCs w:val="21"/>
                    </w:rPr>
                    <w:t>44.74</w:t>
                  </w:r>
                </w:p>
              </w:tc>
              <w:tc>
                <w:tcPr>
                  <w:tcW w:w="910" w:type="dxa"/>
                  <w:vAlign w:val="center"/>
                </w:tcPr>
                <w:p>
                  <w:pPr>
                    <w:adjustRightInd w:val="0"/>
                    <w:snapToGrid w:val="0"/>
                    <w:jc w:val="center"/>
                    <w:rPr>
                      <w:color w:val="000000"/>
                      <w:szCs w:val="21"/>
                    </w:rPr>
                  </w:pPr>
                  <w:r>
                    <w:rPr>
                      <w:rFonts w:hint="eastAsia"/>
                      <w:color w:val="000000"/>
                      <w:szCs w:val="21"/>
                    </w:rPr>
                    <w:t>0.5</w:t>
                  </w:r>
                </w:p>
              </w:tc>
              <w:tc>
                <w:tcPr>
                  <w:tcW w:w="803" w:type="dxa"/>
                  <w:vAlign w:val="center"/>
                </w:tcPr>
                <w:p>
                  <w:pPr>
                    <w:adjustRightInd w:val="0"/>
                    <w:snapToGrid w:val="0"/>
                    <w:jc w:val="center"/>
                    <w:rPr>
                      <w:color w:val="000000"/>
                      <w:szCs w:val="21"/>
                    </w:rPr>
                  </w:pPr>
                  <w:r>
                    <w:rPr>
                      <w:rFonts w:hint="eastAsia"/>
                      <w:color w:val="000000"/>
                      <w:szCs w:val="21"/>
                    </w:rPr>
                    <w:t>1</w:t>
                  </w:r>
                </w:p>
              </w:tc>
              <w:tc>
                <w:tcPr>
                  <w:tcW w:w="1073" w:type="dxa"/>
                  <w:vAlign w:val="center"/>
                </w:tcPr>
                <w:p>
                  <w:pPr>
                    <w:adjustRightInd w:val="0"/>
                    <w:snapToGrid w:val="0"/>
                    <w:jc w:val="center"/>
                    <w:rPr>
                      <w:color w:val="000000"/>
                      <w:szCs w:val="21"/>
                    </w:rPr>
                  </w:pPr>
                  <w:r>
                    <w:rPr>
                      <w:color w:val="000000"/>
                      <w:szCs w:val="21"/>
                    </w:rPr>
                    <w:t>关停生产设施，及时检修</w:t>
                  </w:r>
                </w:p>
              </w:tc>
            </w:tr>
          </w:tbl>
          <w:p>
            <w:pPr>
              <w:widowControl/>
              <w:spacing w:before="120" w:beforeLines="50" w:line="360" w:lineRule="auto"/>
              <w:ind w:firstLine="480" w:firstLineChars="200"/>
              <w:rPr>
                <w:color w:val="000000"/>
                <w:sz w:val="24"/>
              </w:rPr>
            </w:pPr>
            <w:r>
              <w:rPr>
                <w:color w:val="000000"/>
                <w:sz w:val="24"/>
                <w:lang w:bidi="ar"/>
              </w:rPr>
              <w:t>非正常工况下排放的污染物会对周围环境产生一定的影响。因此，建设单位必须加强废气治理措施的管理和维护，最大可能地减小废气非正常排放状况发生的概率。</w:t>
            </w:r>
          </w:p>
          <w:p>
            <w:pPr>
              <w:widowControl/>
              <w:spacing w:line="360" w:lineRule="auto"/>
              <w:ind w:firstLine="480" w:firstLineChars="200"/>
              <w:rPr>
                <w:color w:val="000000"/>
                <w:sz w:val="24"/>
              </w:rPr>
            </w:pPr>
            <w:r>
              <w:rPr>
                <w:rFonts w:hint="eastAsia" w:cs="宋体"/>
                <w:color w:val="000000"/>
                <w:sz w:val="24"/>
                <w:lang w:bidi="ar"/>
              </w:rPr>
              <w:t xml:space="preserve">本环评要求企业必须做好污染治理设施的日常维护与事故性排放的防护措施，尽量避免事故排放的发生，一旦发生事故时，能及时维修并采取相应防护措施，将污染影响降低到最小，建议建设单位做好以下防范工作： </w:t>
            </w:r>
          </w:p>
          <w:p>
            <w:pPr>
              <w:widowControl/>
              <w:spacing w:line="360" w:lineRule="auto"/>
              <w:ind w:firstLine="480" w:firstLineChars="200"/>
              <w:rPr>
                <w:color w:val="000000"/>
                <w:sz w:val="24"/>
              </w:rPr>
            </w:pPr>
            <w:r>
              <w:rPr>
                <w:rFonts w:hint="eastAsia" w:cs="宋体"/>
                <w:color w:val="000000"/>
                <w:sz w:val="24"/>
                <w:lang w:bidi="ar"/>
              </w:rPr>
              <w:t>①平时注意废气处理设施的维护，及时发现处理设备的隐患，确保废气处理系统正常运行；开、停、检修要有预案，有严密周全的计划，确保不发生非正常排放，或使影响最小。</w:t>
            </w:r>
          </w:p>
          <w:p>
            <w:pPr>
              <w:widowControl/>
              <w:spacing w:line="360" w:lineRule="auto"/>
              <w:ind w:firstLine="480" w:firstLineChars="200"/>
              <w:rPr>
                <w:color w:val="000000"/>
                <w:sz w:val="24"/>
              </w:rPr>
            </w:pPr>
            <w:r>
              <w:rPr>
                <w:rFonts w:hint="eastAsia" w:cs="宋体"/>
                <w:color w:val="000000"/>
                <w:sz w:val="24"/>
                <w:lang w:bidi="ar"/>
              </w:rPr>
              <w:t xml:space="preserve">②应设有备用电源和备用处理设备和零件，以备停电或设备出现故障时保障及时更换使废气全部做到达标排放。 </w:t>
            </w:r>
          </w:p>
          <w:p>
            <w:pPr>
              <w:spacing w:line="360" w:lineRule="auto"/>
              <w:ind w:firstLine="480" w:firstLineChars="200"/>
              <w:rPr>
                <w:rFonts w:cs="宋体"/>
                <w:color w:val="000000"/>
                <w:sz w:val="24"/>
                <w:lang w:bidi="ar"/>
              </w:rPr>
            </w:pPr>
            <w:r>
              <w:rPr>
                <w:rFonts w:hint="eastAsia" w:cs="宋体"/>
                <w:color w:val="000000"/>
                <w:sz w:val="24"/>
                <w:lang w:bidi="ar"/>
              </w:rPr>
              <w:t>对员工进行岗位培训。做好值班记录，实行岗位责任制。</w:t>
            </w:r>
          </w:p>
          <w:p>
            <w:pPr>
              <w:pStyle w:val="38"/>
              <w:ind w:firstLine="482"/>
              <w:rPr>
                <w:b/>
                <w:lang w:bidi="ar"/>
              </w:rPr>
            </w:pPr>
            <w:r>
              <w:rPr>
                <w:rFonts w:hint="eastAsia"/>
                <w:b/>
                <w:lang w:bidi="ar"/>
              </w:rPr>
              <w:t>（5）重污染天气响应措施</w:t>
            </w:r>
          </w:p>
          <w:p>
            <w:pPr>
              <w:spacing w:line="360" w:lineRule="auto"/>
              <w:ind w:firstLine="480" w:firstLineChars="200"/>
              <w:rPr>
                <w:rFonts w:cs="宋体"/>
                <w:color w:val="000000"/>
                <w:sz w:val="24"/>
                <w:lang w:bidi="ar"/>
              </w:rPr>
            </w:pPr>
            <w:r>
              <w:rPr>
                <w:rFonts w:hint="eastAsia" w:cs="宋体"/>
                <w:color w:val="000000"/>
                <w:sz w:val="24"/>
                <w:lang w:bidi="ar"/>
              </w:rPr>
              <w:t>项目运营期主要产生大气污染物为颗粒物，根据《乐山市重污染天气预防和应急预案（2</w:t>
            </w:r>
            <w:r>
              <w:rPr>
                <w:rFonts w:cs="宋体"/>
                <w:color w:val="000000"/>
                <w:sz w:val="24"/>
                <w:lang w:bidi="ar"/>
              </w:rPr>
              <w:t>022</w:t>
            </w:r>
            <w:r>
              <w:rPr>
                <w:rFonts w:hint="eastAsia" w:cs="宋体"/>
                <w:color w:val="000000"/>
                <w:sz w:val="24"/>
                <w:lang w:bidi="ar"/>
              </w:rPr>
              <w:t>年修订）》相关要求，本次评价要求重污染天气预警期间应结合实际自主采取轮产、降低生产负荷、加强污染治理措施等，减少污染物排放；运输车辆禁止进入建成区。预警响应期间砂石厂停止运输和露天作业；重污染天气期间应当停止生产，并加强产品堆场的洒水频率。</w:t>
            </w:r>
          </w:p>
          <w:p>
            <w:pPr>
              <w:spacing w:line="360" w:lineRule="auto"/>
              <w:ind w:firstLine="482" w:firstLineChars="200"/>
              <w:rPr>
                <w:rFonts w:eastAsiaTheme="minorEastAsia"/>
                <w:b/>
                <w:sz w:val="24"/>
              </w:rPr>
            </w:pPr>
            <w:r>
              <w:rPr>
                <w:rFonts w:hint="eastAsia"/>
                <w:b/>
                <w:sz w:val="24"/>
              </w:rPr>
              <w:t>2、废水</w:t>
            </w:r>
          </w:p>
          <w:p>
            <w:pPr>
              <w:spacing w:line="360" w:lineRule="auto"/>
              <w:ind w:firstLine="480" w:firstLineChars="200"/>
              <w:rPr>
                <w:rFonts w:eastAsiaTheme="minorEastAsia"/>
                <w:sz w:val="24"/>
              </w:rPr>
            </w:pPr>
            <w:r>
              <w:rPr>
                <w:rFonts w:hint="eastAsia"/>
                <w:sz w:val="24"/>
              </w:rPr>
              <w:t>项目运营期产生的废水主要为生活污水和生产废水，生产废水主要包括洗砂废水和车辆冲洗废水。</w:t>
            </w:r>
          </w:p>
          <w:p>
            <w:pPr>
              <w:pStyle w:val="38"/>
              <w:ind w:firstLine="482"/>
              <w:rPr>
                <w:b/>
                <w:color w:val="000000"/>
              </w:rPr>
            </w:pPr>
            <w:r>
              <w:rPr>
                <w:rFonts w:hint="eastAsia"/>
                <w:b/>
                <w:color w:val="000000"/>
              </w:rPr>
              <w:t>（1）源强核算及治理措施</w:t>
            </w:r>
          </w:p>
          <w:p>
            <w:pPr>
              <w:spacing w:line="360" w:lineRule="auto"/>
              <w:ind w:firstLine="480" w:firstLineChars="200"/>
              <w:rPr>
                <w:sz w:val="24"/>
              </w:rPr>
            </w:pPr>
            <w:r>
              <w:rPr>
                <w:sz w:val="24"/>
              </w:rPr>
              <w:t>1</w:t>
            </w:r>
            <w:r>
              <w:rPr>
                <w:rFonts w:hint="eastAsia"/>
                <w:sz w:val="24"/>
              </w:rPr>
              <w:t>）洗砂废水</w:t>
            </w:r>
          </w:p>
          <w:p>
            <w:pPr>
              <w:adjustRightInd w:val="0"/>
              <w:snapToGrid w:val="0"/>
              <w:spacing w:line="360" w:lineRule="auto"/>
              <w:ind w:firstLine="482" w:firstLineChars="200"/>
              <w:rPr>
                <w:sz w:val="24"/>
              </w:rPr>
            </w:pPr>
            <w:r>
              <w:rPr>
                <w:rFonts w:hint="eastAsia"/>
                <w:b/>
                <w:color w:val="000000"/>
                <w:sz w:val="24"/>
              </w:rPr>
              <w:t>源强核算：</w:t>
            </w:r>
            <w:r>
              <w:rPr>
                <w:rFonts w:hint="eastAsia"/>
                <w:sz w:val="24"/>
              </w:rPr>
              <w:t>项目筛分过程加水进行冲洗，将筛分机内小于5mm的自然砂和机制砂带出，随水带入洗砂机。每吨砂需用水</w:t>
            </w:r>
            <w:r>
              <w:rPr>
                <w:sz w:val="24"/>
              </w:rPr>
              <w:t>0.5</w:t>
            </w:r>
            <w:r>
              <w:rPr>
                <w:rFonts w:hint="eastAsia"/>
                <w:sz w:val="24"/>
              </w:rPr>
              <w:t>m³，项目年加工弃方</w:t>
            </w:r>
            <w:r>
              <w:rPr>
                <w:bCs/>
                <w:sz w:val="24"/>
              </w:rPr>
              <w:t>189.9</w:t>
            </w:r>
            <w:r>
              <w:rPr>
                <w:rFonts w:hint="eastAsia"/>
                <w:bCs/>
                <w:sz w:val="24"/>
              </w:rPr>
              <w:t>万</w:t>
            </w:r>
            <w:r>
              <w:rPr>
                <w:bCs/>
                <w:sz w:val="24"/>
              </w:rPr>
              <w:t>t</w:t>
            </w:r>
            <w:r>
              <w:rPr>
                <w:rFonts w:hint="eastAsia"/>
                <w:sz w:val="24"/>
              </w:rPr>
              <w:t>，则需清洗用水量为</w:t>
            </w:r>
            <w:r>
              <w:rPr>
                <w:sz w:val="24"/>
              </w:rPr>
              <w:t>949818.51</w:t>
            </w:r>
            <w:r>
              <w:rPr>
                <w:rFonts w:hint="eastAsia"/>
                <w:sz w:val="24"/>
              </w:rPr>
              <w:t>m³/a（</w:t>
            </w:r>
            <w:r>
              <w:rPr>
                <w:sz w:val="24"/>
              </w:rPr>
              <w:t>2878.24</w:t>
            </w:r>
            <w:r>
              <w:rPr>
                <w:rFonts w:hint="eastAsia"/>
                <w:sz w:val="24"/>
              </w:rPr>
              <w:t>m³/d）。生产过程蒸发等损耗10%，损耗量为</w:t>
            </w:r>
            <w:r>
              <w:rPr>
                <w:sz w:val="24"/>
              </w:rPr>
              <w:t>287.96m³/d</w:t>
            </w:r>
            <w:r>
              <w:rPr>
                <w:rFonts w:hint="eastAsia"/>
                <w:sz w:val="24"/>
              </w:rPr>
              <w:t>；产品带走水分约0</w:t>
            </w:r>
            <w:r>
              <w:rPr>
                <w:sz w:val="24"/>
              </w:rPr>
              <w:t>.02</w:t>
            </w:r>
            <w:r>
              <w:rPr>
                <w:rFonts w:hint="eastAsia"/>
                <w:sz w:val="24"/>
              </w:rPr>
              <w:t>m</w:t>
            </w:r>
            <w:r>
              <w:rPr>
                <w:sz w:val="24"/>
                <w:vertAlign w:val="superscript"/>
              </w:rPr>
              <w:t>3</w:t>
            </w:r>
            <w:r>
              <w:rPr>
                <w:sz w:val="24"/>
              </w:rPr>
              <w:t>/t</w:t>
            </w:r>
            <w:r>
              <w:rPr>
                <w:rFonts w:hint="eastAsia"/>
                <w:sz w:val="24"/>
              </w:rPr>
              <w:t>，项目年产砂石1</w:t>
            </w:r>
            <w:r>
              <w:rPr>
                <w:sz w:val="24"/>
              </w:rPr>
              <w:t>87</w:t>
            </w:r>
            <w:r>
              <w:rPr>
                <w:rFonts w:hint="eastAsia"/>
                <w:sz w:val="24"/>
              </w:rPr>
              <w:t>万t，产品带走水分为</w:t>
            </w:r>
            <w:r>
              <w:rPr>
                <w:sz w:val="24"/>
              </w:rPr>
              <w:t>37400</w:t>
            </w:r>
            <w:r>
              <w:rPr>
                <w:rFonts w:hint="eastAsia"/>
                <w:sz w:val="24"/>
              </w:rPr>
              <w:t>m³/a（1</w:t>
            </w:r>
            <w:r>
              <w:rPr>
                <w:sz w:val="24"/>
              </w:rPr>
              <w:t>13.33</w:t>
            </w:r>
            <w:r>
              <w:rPr>
                <w:rFonts w:hint="eastAsia"/>
                <w:sz w:val="24"/>
              </w:rPr>
              <w:t>m³/d）；泥饼含水率</w:t>
            </w:r>
            <w:r>
              <w:rPr>
                <w:sz w:val="24"/>
              </w:rPr>
              <w:t>60</w:t>
            </w:r>
            <w:r>
              <w:rPr>
                <w:rFonts w:hint="eastAsia"/>
                <w:sz w:val="24"/>
              </w:rPr>
              <w:t>%，项目原料含泥量约为</w:t>
            </w:r>
            <w:r>
              <w:rPr>
                <w:sz w:val="24"/>
              </w:rPr>
              <w:t>1.5</w:t>
            </w:r>
            <w:r>
              <w:rPr>
                <w:rFonts w:hint="eastAsia"/>
                <w:sz w:val="24"/>
              </w:rPr>
              <w:t>%（</w:t>
            </w:r>
            <w:r>
              <w:rPr>
                <w:sz w:val="24"/>
              </w:rPr>
              <w:t>28477.16</w:t>
            </w:r>
            <w:r>
              <w:rPr>
                <w:rFonts w:hint="eastAsia"/>
                <w:sz w:val="24"/>
              </w:rPr>
              <w:t>t），含水率8%，则泥饼带走水分</w:t>
            </w:r>
            <w:r>
              <w:rPr>
                <w:sz w:val="24"/>
              </w:rPr>
              <w:t>37020.3</w:t>
            </w:r>
            <w:r>
              <w:rPr>
                <w:rFonts w:hint="eastAsia"/>
                <w:sz w:val="24"/>
              </w:rPr>
              <w:t>t/a（</w:t>
            </w:r>
            <w:r>
              <w:rPr>
                <w:sz w:val="24"/>
              </w:rPr>
              <w:t>112.18</w:t>
            </w:r>
            <w:r>
              <w:rPr>
                <w:rFonts w:hint="eastAsia"/>
                <w:sz w:val="24"/>
              </w:rPr>
              <w:t>m³/d）。综上，项目洗砂用水损耗量共计</w:t>
            </w:r>
            <w:r>
              <w:rPr>
                <w:sz w:val="24"/>
              </w:rPr>
              <w:t>169447.1</w:t>
            </w:r>
            <w:r>
              <w:rPr>
                <w:rFonts w:hint="eastAsia"/>
                <w:sz w:val="24"/>
              </w:rPr>
              <w:t>m³/a（</w:t>
            </w:r>
            <w:r>
              <w:rPr>
                <w:sz w:val="24"/>
              </w:rPr>
              <w:t>513.48</w:t>
            </w:r>
            <w:r>
              <w:rPr>
                <w:rFonts w:hint="eastAsia"/>
                <w:sz w:val="24"/>
              </w:rPr>
              <w:t>m³/d），废水产生量为</w:t>
            </w:r>
            <w:r>
              <w:rPr>
                <w:sz w:val="24"/>
              </w:rPr>
              <w:t>78037.41</w:t>
            </w:r>
            <w:r>
              <w:rPr>
                <w:rFonts w:hint="eastAsia"/>
                <w:sz w:val="24"/>
              </w:rPr>
              <w:t>m³/a（约</w:t>
            </w:r>
            <w:r>
              <w:rPr>
                <w:sz w:val="24"/>
              </w:rPr>
              <w:t>2364.76</w:t>
            </w:r>
            <w:r>
              <w:rPr>
                <w:rFonts w:hint="eastAsia"/>
                <w:sz w:val="24"/>
              </w:rPr>
              <w:t>m³/d）。</w:t>
            </w:r>
          </w:p>
          <w:p>
            <w:pPr>
              <w:adjustRightInd w:val="0"/>
              <w:snapToGrid w:val="0"/>
              <w:spacing w:line="360" w:lineRule="auto"/>
              <w:ind w:firstLine="482" w:firstLineChars="200"/>
              <w:rPr>
                <w:sz w:val="24"/>
              </w:rPr>
            </w:pPr>
            <w:r>
              <w:rPr>
                <w:rFonts w:hint="eastAsia"/>
                <w:b/>
                <w:color w:val="000000"/>
                <w:sz w:val="24"/>
              </w:rPr>
              <w:t>治理措施：</w:t>
            </w:r>
            <w:r>
              <w:rPr>
                <w:rFonts w:hint="eastAsia"/>
                <w:sz w:val="24"/>
              </w:rPr>
              <w:t>通过设置导流沟及管道，将洗砂废水导流至污水收集池，再通过浓缩罐（一台，处理能力250m³/h）处理后，清水进入清水池，用水泵抽回用于生产，不外排。</w:t>
            </w:r>
          </w:p>
          <w:p>
            <w:pPr>
              <w:spacing w:line="360" w:lineRule="auto"/>
              <w:ind w:firstLine="480" w:firstLineChars="200"/>
              <w:rPr>
                <w:sz w:val="24"/>
              </w:rPr>
            </w:pPr>
            <w:r>
              <w:rPr>
                <w:sz w:val="24"/>
              </w:rPr>
              <w:t>2</w:t>
            </w:r>
            <w:r>
              <w:rPr>
                <w:rFonts w:hint="eastAsia"/>
                <w:sz w:val="24"/>
              </w:rPr>
              <w:t>）车辆冲洗废水</w:t>
            </w:r>
          </w:p>
          <w:p>
            <w:pPr>
              <w:spacing w:line="360" w:lineRule="auto"/>
              <w:ind w:firstLine="482" w:firstLineChars="200"/>
              <w:rPr>
                <w:sz w:val="24"/>
              </w:rPr>
            </w:pPr>
            <w:r>
              <w:rPr>
                <w:rFonts w:hint="eastAsia"/>
                <w:b/>
                <w:color w:val="000000"/>
                <w:sz w:val="24"/>
              </w:rPr>
              <w:t>源强核算：</w:t>
            </w:r>
            <w:r>
              <w:rPr>
                <w:sz w:val="24"/>
              </w:rPr>
              <w:t>本项目在厂区入口处设置洗车平台，进出厂区的车辆必须进行冲洗。</w:t>
            </w:r>
            <w:r>
              <w:rPr>
                <w:rFonts w:hint="eastAsia"/>
                <w:sz w:val="24"/>
              </w:rPr>
              <w:t>根据《建筑给水排水设计标准》（GB 50015-2019），本项目冲洗车辆用水按40L/（辆</w:t>
            </w:r>
            <w:r>
              <w:rPr>
                <w:sz w:val="24"/>
              </w:rPr>
              <w:t>·</w:t>
            </w:r>
            <w:r>
              <w:rPr>
                <w:rFonts w:hint="eastAsia"/>
                <w:sz w:val="24"/>
              </w:rPr>
              <w:t>次）计，本项目每天车辆进出约1</w:t>
            </w:r>
            <w:r>
              <w:rPr>
                <w:sz w:val="24"/>
              </w:rPr>
              <w:t>2</w:t>
            </w:r>
            <w:r>
              <w:rPr>
                <w:rFonts w:hint="eastAsia"/>
                <w:sz w:val="24"/>
              </w:rPr>
              <w:t>0辆车次。本项目洗车用水量为</w:t>
            </w:r>
            <w:r>
              <w:rPr>
                <w:sz w:val="24"/>
              </w:rPr>
              <w:t>4.80m</w:t>
            </w:r>
            <w:r>
              <w:rPr>
                <w:sz w:val="24"/>
                <w:vertAlign w:val="superscript"/>
              </w:rPr>
              <w:t>3</w:t>
            </w:r>
            <w:r>
              <w:rPr>
                <w:sz w:val="24"/>
              </w:rPr>
              <w:t>/d</w:t>
            </w:r>
            <w:r>
              <w:rPr>
                <w:rFonts w:hint="eastAsia"/>
                <w:sz w:val="24"/>
              </w:rPr>
              <w:t>。</w:t>
            </w:r>
            <w:r>
              <w:rPr>
                <w:sz w:val="24"/>
              </w:rPr>
              <w:t>蒸发和损耗的水量按20%计，则</w:t>
            </w:r>
            <w:r>
              <w:rPr>
                <w:rFonts w:hint="eastAsia"/>
                <w:sz w:val="24"/>
              </w:rPr>
              <w:t>车辆冲洗</w:t>
            </w:r>
            <w:r>
              <w:rPr>
                <w:sz w:val="24"/>
              </w:rPr>
              <w:t>废水</w:t>
            </w:r>
            <w:r>
              <w:rPr>
                <w:rFonts w:hint="eastAsia"/>
                <w:sz w:val="24"/>
              </w:rPr>
              <w:t>产生</w:t>
            </w:r>
            <w:r>
              <w:rPr>
                <w:sz w:val="24"/>
              </w:rPr>
              <w:t>量为3.84m</w:t>
            </w:r>
            <w:r>
              <w:rPr>
                <w:sz w:val="24"/>
                <w:vertAlign w:val="superscript"/>
              </w:rPr>
              <w:t>3</w:t>
            </w:r>
            <w:r>
              <w:rPr>
                <w:sz w:val="24"/>
              </w:rPr>
              <w:t>/d。</w:t>
            </w:r>
          </w:p>
          <w:p>
            <w:pPr>
              <w:pStyle w:val="38"/>
              <w:ind w:firstLine="482"/>
              <w:jc w:val="both"/>
            </w:pPr>
            <w:r>
              <w:rPr>
                <w:rFonts w:hint="eastAsia"/>
                <w:b/>
                <w:color w:val="000000"/>
              </w:rPr>
              <w:t>治理措施：</w:t>
            </w:r>
            <w:r>
              <w:rPr>
                <w:rFonts w:hint="eastAsia"/>
              </w:rPr>
              <w:t>车辆冲洗废水通过浓缩罐（一台，处理能力250m³/h）处理后，清水进入清水池，用水泵抽回用于生产，不外排。</w:t>
            </w:r>
          </w:p>
          <w:p>
            <w:pPr>
              <w:pStyle w:val="38"/>
              <w:ind w:firstLine="480"/>
              <w:rPr>
                <w:color w:val="000000"/>
              </w:rPr>
            </w:pPr>
            <w:r>
              <w:rPr>
                <w:color w:val="000000"/>
              </w:rPr>
              <w:t>4</w:t>
            </w:r>
            <w:r>
              <w:rPr>
                <w:rFonts w:hint="eastAsia"/>
                <w:color w:val="000000"/>
              </w:rPr>
              <w:t>）生活污水</w:t>
            </w:r>
          </w:p>
          <w:p>
            <w:pPr>
              <w:pStyle w:val="38"/>
              <w:ind w:firstLine="482"/>
              <w:jc w:val="both"/>
              <w:rPr>
                <w:color w:val="000000"/>
              </w:rPr>
            </w:pPr>
            <w:r>
              <w:rPr>
                <w:rFonts w:hint="eastAsia"/>
                <w:b/>
                <w:color w:val="000000"/>
              </w:rPr>
              <w:t>源强核算：</w:t>
            </w:r>
            <w:r>
              <w:rPr>
                <w:rFonts w:hint="eastAsia"/>
                <w:color w:val="000000"/>
              </w:rPr>
              <w:t>本项目运营期指新增劳动定员</w:t>
            </w:r>
            <w:r>
              <w:rPr>
                <w:color w:val="000000"/>
              </w:rPr>
              <w:t>20</w:t>
            </w:r>
            <w:r>
              <w:rPr>
                <w:rFonts w:hint="eastAsia"/>
                <w:color w:val="000000"/>
              </w:rPr>
              <w:t>人，生活用水按《四川省用水定额》（川府函[2021]8号）所制定的用水定额核算该项目给排水量，生活用水量为130L/人•d，则生活用水量为</w:t>
            </w:r>
            <w:r>
              <w:t>2.6</w:t>
            </w:r>
            <w:r>
              <w:rPr>
                <w:rFonts w:hint="eastAsia"/>
              </w:rPr>
              <w:t>m</w:t>
            </w:r>
            <w:r>
              <w:rPr>
                <w:rFonts w:hint="eastAsia"/>
                <w:vertAlign w:val="superscript"/>
              </w:rPr>
              <w:t>3</w:t>
            </w:r>
            <w:r>
              <w:rPr>
                <w:rFonts w:hint="eastAsia"/>
              </w:rPr>
              <w:t>/d（</w:t>
            </w:r>
            <w:r>
              <w:t>780</w:t>
            </w:r>
            <w:r>
              <w:rPr>
                <w:rFonts w:hint="eastAsia"/>
              </w:rPr>
              <w:t>m</w:t>
            </w:r>
            <w:r>
              <w:rPr>
                <w:rFonts w:hint="eastAsia"/>
                <w:vertAlign w:val="superscript"/>
              </w:rPr>
              <w:t>3</w:t>
            </w:r>
            <w:r>
              <w:rPr>
                <w:rFonts w:hint="eastAsia"/>
              </w:rPr>
              <w:t>/a）</w:t>
            </w:r>
            <w:r>
              <w:rPr>
                <w:rFonts w:hint="eastAsia"/>
                <w:color w:val="000000"/>
              </w:rPr>
              <w:t>，生活污水量按用水量的85%计，生活污水产生量为</w:t>
            </w:r>
            <w:r>
              <w:t>2.1</w:t>
            </w:r>
            <w:r>
              <w:rPr>
                <w:rFonts w:hint="eastAsia"/>
              </w:rPr>
              <w:t>m</w:t>
            </w:r>
            <w:r>
              <w:rPr>
                <w:rFonts w:hint="eastAsia"/>
                <w:vertAlign w:val="superscript"/>
              </w:rPr>
              <w:t>3</w:t>
            </w:r>
            <w:r>
              <w:rPr>
                <w:rFonts w:hint="eastAsia"/>
              </w:rPr>
              <w:t>/d（</w:t>
            </w:r>
            <w:r>
              <w:t>624</w:t>
            </w:r>
            <w:r>
              <w:rPr>
                <w:rFonts w:hint="eastAsia"/>
              </w:rPr>
              <w:t>m</w:t>
            </w:r>
            <w:r>
              <w:rPr>
                <w:rFonts w:hint="eastAsia"/>
                <w:vertAlign w:val="superscript"/>
              </w:rPr>
              <w:t>3</w:t>
            </w:r>
            <w:r>
              <w:rPr>
                <w:rFonts w:hint="eastAsia"/>
              </w:rPr>
              <w:t>/a）</w:t>
            </w:r>
            <w:r>
              <w:rPr>
                <w:rFonts w:hint="eastAsia"/>
                <w:color w:val="000000"/>
              </w:rPr>
              <w:t>m</w:t>
            </w:r>
            <w:r>
              <w:rPr>
                <w:rFonts w:hint="eastAsia"/>
                <w:color w:val="000000"/>
                <w:vertAlign w:val="superscript"/>
              </w:rPr>
              <w:t>3</w:t>
            </w:r>
            <w:r>
              <w:rPr>
                <w:rFonts w:hint="eastAsia"/>
                <w:color w:val="000000"/>
              </w:rPr>
              <w:t>/d。主要污染物为COD、BOD</w:t>
            </w:r>
            <w:r>
              <w:rPr>
                <w:rFonts w:hint="eastAsia"/>
                <w:color w:val="000000"/>
                <w:vertAlign w:val="subscript"/>
              </w:rPr>
              <w:t>5</w:t>
            </w:r>
            <w:r>
              <w:rPr>
                <w:rFonts w:hint="eastAsia"/>
                <w:color w:val="000000"/>
              </w:rPr>
              <w:t>、NH</w:t>
            </w:r>
            <w:r>
              <w:rPr>
                <w:rFonts w:hint="eastAsia"/>
                <w:color w:val="000000"/>
                <w:vertAlign w:val="subscript"/>
              </w:rPr>
              <w:t>3</w:t>
            </w:r>
            <w:r>
              <w:rPr>
                <w:rFonts w:hint="eastAsia"/>
                <w:color w:val="000000"/>
              </w:rPr>
              <w:t>-N、SS、TP，产生浓度分别为350mg/L、200mg/L、25mg/L、200mg/L、4mg/L。</w:t>
            </w:r>
          </w:p>
          <w:p>
            <w:pPr>
              <w:pStyle w:val="38"/>
              <w:ind w:firstLine="482"/>
              <w:jc w:val="both"/>
              <w:rPr>
                <w:color w:val="000000"/>
              </w:rPr>
            </w:pPr>
            <w:r>
              <w:rPr>
                <w:rFonts w:hint="eastAsia"/>
                <w:b/>
                <w:color w:val="000000"/>
              </w:rPr>
              <w:t>治理措施：</w:t>
            </w:r>
            <w:r>
              <w:rPr>
                <w:rFonts w:hint="eastAsia" w:ascii="Calibri" w:hAnsi="宋体" w:cs="宋体"/>
                <w:color w:val="000000"/>
                <w:szCs w:val="21"/>
              </w:rPr>
              <w:t>生活污水</w:t>
            </w:r>
            <w:r>
              <w:rPr>
                <w:rFonts w:hint="eastAsia"/>
              </w:rPr>
              <w:t>依托附近既有污水处理设施处理。</w:t>
            </w:r>
          </w:p>
          <w:p>
            <w:pPr>
              <w:pStyle w:val="38"/>
              <w:ind w:firstLine="482"/>
              <w:rPr>
                <w:b/>
                <w:color w:val="000000"/>
              </w:rPr>
            </w:pPr>
            <w:r>
              <w:rPr>
                <w:rFonts w:hint="eastAsia"/>
                <w:b/>
                <w:color w:val="000000"/>
              </w:rPr>
              <w:t>（2）废水排放情况</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本项目</w:t>
            </w:r>
            <w:r>
              <w:rPr>
                <w:rFonts w:hint="eastAsia"/>
                <w:sz w:val="24"/>
              </w:rPr>
              <w:t>实行雨污分流，厂区周围设置雨水截留沟，雨水通过截流沟排入园区雨水管网。</w:t>
            </w:r>
            <w:r>
              <w:rPr>
                <w:rFonts w:hint="eastAsia" w:ascii="宋体" w:hAnsi="宋体" w:cs="宋体"/>
                <w:bCs/>
                <w:sz w:val="24"/>
              </w:rPr>
              <w:t>生产废水全部回用于生产或自然蒸发损耗，不外排；生活污水</w:t>
            </w:r>
            <w:r>
              <w:rPr>
                <w:rFonts w:hint="eastAsia"/>
                <w:sz w:val="24"/>
              </w:rPr>
              <w:t>依托附近既有污水处理设施处理</w:t>
            </w:r>
            <w:r>
              <w:rPr>
                <w:rFonts w:hint="eastAsia" w:ascii="宋体" w:hAnsi="宋体" w:cs="宋体"/>
                <w:bCs/>
                <w:sz w:val="24"/>
              </w:rPr>
              <w:t>。因此本项目不设置废水排放口，设置。</w:t>
            </w:r>
          </w:p>
          <w:p>
            <w:pPr>
              <w:pStyle w:val="38"/>
              <w:ind w:firstLine="482"/>
            </w:pPr>
            <w:r>
              <w:rPr>
                <w:rFonts w:hint="eastAsia"/>
                <w:b/>
              </w:rPr>
              <w:t>（3）废水处理可行性分析</w:t>
            </w:r>
          </w:p>
          <w:p>
            <w:pPr>
              <w:pStyle w:val="38"/>
              <w:wordWrap/>
              <w:autoSpaceDE w:val="0"/>
              <w:autoSpaceDN w:val="0"/>
              <w:ind w:firstLine="480"/>
              <w:jc w:val="both"/>
              <w:rPr>
                <w:color w:val="FF0000"/>
              </w:rPr>
            </w:pPr>
            <w:r>
              <w:rPr>
                <w:rFonts w:hint="eastAsia" w:ascii="宋体" w:hAnsi="宋体" w:cs="宋体"/>
                <w:bCs/>
              </w:rPr>
              <w:t>项目</w:t>
            </w:r>
            <w:r>
              <w:rPr>
                <w:rFonts w:hint="eastAsia"/>
              </w:rPr>
              <w:t>洗砂废水和车辆冲洗废水均由一个处理能力2</w:t>
            </w:r>
            <w:r>
              <w:t>50</w:t>
            </w:r>
            <w:r>
              <w:rPr>
                <w:rFonts w:hint="eastAsia"/>
              </w:rPr>
              <w:t>m³/h的浓密罐处理后进入清水池，清水池容量5</w:t>
            </w:r>
            <w:r>
              <w:t>00</w:t>
            </w:r>
            <w:r>
              <w:rPr>
                <w:rFonts w:hint="eastAsia"/>
              </w:rPr>
              <w:t>m</w:t>
            </w:r>
            <w:r>
              <w:rPr>
                <w:vertAlign w:val="superscript"/>
              </w:rPr>
              <w:t>3</w:t>
            </w:r>
            <w:r>
              <w:rPr>
                <w:rFonts w:hint="eastAsia"/>
              </w:rPr>
              <w:t>，清水池内清水回用于生产或洒水降尘。项目废水产生量为</w:t>
            </w:r>
            <w:r>
              <w:t>2368.6</w:t>
            </w:r>
            <w:r>
              <w:rPr>
                <w:rFonts w:hint="eastAsia"/>
              </w:rPr>
              <w:t>m</w:t>
            </w:r>
            <w:r>
              <w:rPr>
                <w:vertAlign w:val="superscript"/>
              </w:rPr>
              <w:t>3</w:t>
            </w:r>
            <w:r>
              <w:rPr>
                <w:rFonts w:hint="eastAsia"/>
              </w:rPr>
              <w:t>/d，则每小时废水产生量为</w:t>
            </w:r>
            <w:r>
              <w:t>197.38</w:t>
            </w:r>
            <w:r>
              <w:rPr>
                <w:rFonts w:hint="eastAsia"/>
              </w:rPr>
              <w:t>m</w:t>
            </w:r>
            <w:r>
              <w:rPr>
                <w:vertAlign w:val="superscript"/>
              </w:rPr>
              <w:t>3</w:t>
            </w:r>
            <w:r>
              <w:rPr>
                <w:rFonts w:hint="eastAsia"/>
              </w:rPr>
              <w:t>/h，小于浓密罐2</w:t>
            </w:r>
            <w:r>
              <w:t>50</w:t>
            </w:r>
            <w:r>
              <w:rPr>
                <w:rFonts w:hint="eastAsia"/>
              </w:rPr>
              <w:t>m³/h的处理能力。同时，洗砂工序对水质要求不高，经浓缩罐处理后的回用水满足洗砂工序的要求。因此项目废水的处理是可行的。</w:t>
            </w:r>
          </w:p>
          <w:p>
            <w:pPr>
              <w:adjustRightInd w:val="0"/>
              <w:snapToGrid w:val="0"/>
              <w:spacing w:line="360" w:lineRule="auto"/>
              <w:jc w:val="center"/>
              <w:rPr>
                <w:rFonts w:ascii="宋体" w:hAnsi="宋体" w:cs="宋体"/>
                <w:bCs/>
                <w:sz w:val="24"/>
              </w:rPr>
            </w:pPr>
            <w:r>
              <w:rPr>
                <w:sz w:val="24"/>
              </w:rPr>
              <mc:AlternateContent>
                <mc:Choice Requires="wpc">
                  <w:drawing>
                    <wp:inline distT="0" distB="0" distL="0" distR="0">
                      <wp:extent cx="5326380" cy="1831340"/>
                      <wp:effectExtent l="0" t="0" r="0" b="0"/>
                      <wp:docPr id="509" name="画布 509"/>
                      <wp:cNvGraphicFramePr/>
                      <a:graphic xmlns:a="http://schemas.openxmlformats.org/drawingml/2006/main">
                        <a:graphicData uri="http://schemas.microsoft.com/office/word/2010/wordprocessingCanvas">
                          <wpc:wpc>
                            <wpc:bg>
                              <a:noFill/>
                            </wpc:bg>
                            <wpc:whole>
                              <a:ln>
                                <a:noFill/>
                              </a:ln>
                            </wpc:whole>
                            <wps:wsp>
                              <wps:cNvPr id="510" name="文本框 510"/>
                              <wps:cNvSpPr txBox="1"/>
                              <wps:spPr>
                                <a:xfrm>
                                  <a:off x="1414663" y="1560934"/>
                                  <a:ext cx="2499360" cy="270510"/>
                                </a:xfrm>
                                <a:prstGeom prst="rect">
                                  <a:avLst/>
                                </a:prstGeom>
                                <a:solidFill>
                                  <a:schemeClr val="lt1"/>
                                </a:solidFill>
                                <a:ln w="6350">
                                  <a:noFill/>
                                </a:ln>
                              </wps:spPr>
                              <wps:txbx>
                                <w:txbxContent>
                                  <w:p>
                                    <w:pPr>
                                      <w:pStyle w:val="6"/>
                                      <w:spacing w:before="0" w:after="0" w:line="240" w:lineRule="auto"/>
                                      <w:ind w:right="0"/>
                                      <w:jc w:val="center"/>
                                      <w:rPr>
                                        <w:rFonts w:ascii="宋体" w:hAnsi="宋体"/>
                                        <w:b/>
                                        <w:sz w:val="24"/>
                                      </w:rPr>
                                    </w:pPr>
                                    <w:r>
                                      <w:rPr>
                                        <w:rStyle w:val="18"/>
                                        <w:rFonts w:hint="eastAsia" w:ascii="宋体" w:hAnsi="宋体" w:cs="黑体"/>
                                        <w:b/>
                                        <w:szCs w:val="21"/>
                                      </w:rPr>
                                      <w:t>图4-1 项目浓缩罐废水处理工艺流程图</w:t>
                                    </w:r>
                                  </w:p>
                                </w:txbxContent>
                              </wps:txbx>
                              <wps:bodyPr rot="0" spcFirstLastPara="0" vertOverflow="overflow" horzOverflow="overflow" vert="horz" wrap="none" lIns="91440" tIns="45720" rIns="91440" bIns="45720" numCol="1" spcCol="0" rtlCol="0" fromWordArt="0" anchor="t" anchorCtr="0" forceAA="0" compatLnSpc="1">
                                <a:spAutoFit/>
                              </wps:bodyPr>
                            </wps:wsp>
                            <wps:wsp>
                              <wps:cNvPr id="487" name="矩形 776"/>
                              <wps:cNvSpPr>
                                <a:spLocks noChangeArrowheads="1"/>
                              </wps:cNvSpPr>
                              <wps:spPr bwMode="auto">
                                <a:xfrm>
                                  <a:off x="91105" y="44609"/>
                                  <a:ext cx="889635" cy="264160"/>
                                </a:xfrm>
                                <a:prstGeom prst="rect">
                                  <a:avLst/>
                                </a:prstGeom>
                                <a:noFill/>
                                <a:ln>
                                  <a:noFill/>
                                </a:ln>
                                <a:effectLst/>
                              </wps:spPr>
                              <wps:txbx>
                                <w:txbxContent>
                                  <w:p>
                                    <w:pPr>
                                      <w:jc w:val="center"/>
                                    </w:pPr>
                                    <w:r>
                                      <w:rPr>
                                        <w:rFonts w:hint="eastAsia"/>
                                      </w:rPr>
                                      <w:t>投加絮凝剂</w:t>
                                    </w:r>
                                  </w:p>
                                </w:txbxContent>
                              </wps:txbx>
                              <wps:bodyPr rot="0" vert="horz" wrap="square" lIns="91440" tIns="45720" rIns="91440" bIns="45720" anchor="t" anchorCtr="0" upright="1">
                                <a:spAutoFit/>
                              </wps:bodyPr>
                            </wps:wsp>
                            <wps:wsp>
                              <wps:cNvPr id="488" name="矩形 777"/>
                              <wps:cNvSpPr>
                                <a:spLocks noChangeArrowheads="1"/>
                              </wps:cNvSpPr>
                              <wps:spPr bwMode="auto">
                                <a:xfrm>
                                  <a:off x="16510" y="791089"/>
                                  <a:ext cx="767715" cy="264160"/>
                                </a:xfrm>
                                <a:prstGeom prst="rect">
                                  <a:avLst/>
                                </a:prstGeom>
                                <a:noFill/>
                                <a:ln>
                                  <a:noFill/>
                                </a:ln>
                                <a:effectLst/>
                              </wps:spPr>
                              <wps:txbx>
                                <w:txbxContent>
                                  <w:p>
                                    <w:pPr>
                                      <w:jc w:val="center"/>
                                    </w:pPr>
                                    <w:r>
                                      <w:rPr>
                                        <w:rFonts w:hint="eastAsia"/>
                                      </w:rPr>
                                      <w:t>生产废水</w:t>
                                    </w:r>
                                  </w:p>
                                </w:txbxContent>
                              </wps:txbx>
                              <wps:bodyPr rot="0" vert="horz" wrap="square" lIns="91440" tIns="45720" rIns="91440" bIns="45720" anchor="t" anchorCtr="0" upright="1">
                                <a:spAutoFit/>
                              </wps:bodyPr>
                            </wps:wsp>
                            <wps:wsp>
                              <wps:cNvPr id="489" name="直线 779"/>
                              <wps:cNvCnPr>
                                <a:cxnSpLocks noChangeShapeType="1"/>
                                <a:stCxn id="487" idx="3"/>
                                <a:endCxn id="490" idx="1"/>
                              </wps:cNvCnPr>
                              <wps:spPr bwMode="auto">
                                <a:xfrm>
                                  <a:off x="980740" y="176689"/>
                                  <a:ext cx="433923" cy="462"/>
                                </a:xfrm>
                                <a:prstGeom prst="line">
                                  <a:avLst/>
                                </a:prstGeom>
                                <a:noFill/>
                                <a:ln w="9525" cmpd="sng">
                                  <a:solidFill>
                                    <a:srgbClr val="000000"/>
                                  </a:solidFill>
                                  <a:round/>
                                  <a:tailEnd type="triangle" w="med" len="med"/>
                                </a:ln>
                                <a:effectLst/>
                              </wps:spPr>
                              <wps:bodyPr/>
                            </wps:wsp>
                            <wps:wsp>
                              <wps:cNvPr id="490" name="矩形 780"/>
                              <wps:cNvSpPr>
                                <a:spLocks noChangeArrowheads="1"/>
                              </wps:cNvSpPr>
                              <wps:spPr bwMode="auto">
                                <a:xfrm>
                                  <a:off x="1414663" y="40309"/>
                                  <a:ext cx="1129029" cy="273684"/>
                                </a:xfrm>
                                <a:prstGeom prst="rect">
                                  <a:avLst/>
                                </a:prstGeom>
                                <a:noFill/>
                                <a:ln w="9525" cmpd="sng">
                                  <a:solidFill>
                                    <a:srgbClr val="000000"/>
                                  </a:solidFill>
                                  <a:miter lim="800000"/>
                                </a:ln>
                                <a:effectLst/>
                              </wps:spPr>
                              <wps:txbx>
                                <w:txbxContent>
                                  <w:p>
                                    <w:r>
                                      <w:rPr>
                                        <w:rFonts w:hint="eastAsia"/>
                                      </w:rPr>
                                      <w:t>250m³/h浓密罐</w:t>
                                    </w:r>
                                  </w:p>
                                </w:txbxContent>
                              </wps:txbx>
                              <wps:bodyPr rot="0" vert="horz" wrap="square" lIns="91440" tIns="45720" rIns="91440" bIns="45720" anchor="t" anchorCtr="0" upright="1">
                                <a:spAutoFit/>
                              </wps:bodyPr>
                            </wps:wsp>
                            <wps:wsp>
                              <wps:cNvPr id="491" name="直线 781"/>
                              <wps:cNvCnPr>
                                <a:cxnSpLocks noChangeShapeType="1"/>
                                <a:stCxn id="490" idx="3"/>
                                <a:endCxn id="495" idx="1"/>
                              </wps:cNvCnPr>
                              <wps:spPr bwMode="auto">
                                <a:xfrm>
                                  <a:off x="2543692" y="177151"/>
                                  <a:ext cx="576064" cy="4300"/>
                                </a:xfrm>
                                <a:prstGeom prst="line">
                                  <a:avLst/>
                                </a:prstGeom>
                                <a:ln>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92" name="直线 782"/>
                              <wps:cNvCnPr>
                                <a:cxnSpLocks noChangeShapeType="1"/>
                                <a:stCxn id="488" idx="3"/>
                                <a:endCxn id="493" idx="1"/>
                              </wps:cNvCnPr>
                              <wps:spPr bwMode="auto">
                                <a:xfrm>
                                  <a:off x="784225" y="923169"/>
                                  <a:ext cx="311151" cy="4756"/>
                                </a:xfrm>
                                <a:prstGeom prst="line">
                                  <a:avLst/>
                                </a:prstGeom>
                                <a:noFill/>
                                <a:ln w="9525" cmpd="sng">
                                  <a:solidFill>
                                    <a:srgbClr val="000000"/>
                                  </a:solidFill>
                                  <a:round/>
                                  <a:tailEnd type="triangle" w="med" len="med"/>
                                </a:ln>
                                <a:effectLst/>
                              </wps:spPr>
                              <wps:bodyPr/>
                            </wps:wsp>
                            <wps:wsp>
                              <wps:cNvPr id="493" name="矩形 783"/>
                              <wps:cNvSpPr>
                                <a:spLocks noChangeArrowheads="1"/>
                              </wps:cNvSpPr>
                              <wps:spPr bwMode="auto">
                                <a:xfrm>
                                  <a:off x="1095376" y="791083"/>
                                  <a:ext cx="906779" cy="273684"/>
                                </a:xfrm>
                                <a:prstGeom prst="rect">
                                  <a:avLst/>
                                </a:prstGeom>
                                <a:noFill/>
                                <a:ln w="9525" cmpd="sng">
                                  <a:solidFill>
                                    <a:srgbClr val="000000"/>
                                  </a:solidFill>
                                  <a:miter lim="800000"/>
                                </a:ln>
                                <a:effectLst/>
                              </wps:spPr>
                              <wps:txbx>
                                <w:txbxContent>
                                  <w:p>
                                    <w:pPr>
                                      <w:jc w:val="center"/>
                                    </w:pPr>
                                    <w:r>
                                      <w:rPr>
                                        <w:rFonts w:hint="eastAsia"/>
                                      </w:rPr>
                                      <w:t>污水收集池</w:t>
                                    </w:r>
                                  </w:p>
                                </w:txbxContent>
                              </wps:txbx>
                              <wps:bodyPr rot="0" vert="horz" wrap="square" lIns="91440" tIns="45720" rIns="91440" bIns="45720" anchor="t" anchorCtr="0" upright="1">
                                <a:spAutoFit/>
                              </wps:bodyPr>
                            </wps:wsp>
                            <wps:wsp>
                              <wps:cNvPr id="494" name="直线 784"/>
                              <wps:cNvCnPr>
                                <a:cxnSpLocks noChangeShapeType="1"/>
                              </wps:cNvCnPr>
                              <wps:spPr bwMode="auto">
                                <a:xfrm flipV="1">
                                  <a:off x="1641476" y="309388"/>
                                  <a:ext cx="0" cy="473501"/>
                                </a:xfrm>
                                <a:prstGeom prst="line">
                                  <a:avLst/>
                                </a:prstGeom>
                                <a:noFill/>
                                <a:ln w="9525" cmpd="sng">
                                  <a:solidFill>
                                    <a:srgbClr val="000000"/>
                                  </a:solidFill>
                                  <a:round/>
                                  <a:tailEnd type="triangle" w="med" len="med"/>
                                </a:ln>
                                <a:effectLst/>
                              </wps:spPr>
                              <wps:bodyPr/>
                            </wps:wsp>
                            <wps:wsp>
                              <wps:cNvPr id="495" name="矩形 785"/>
                              <wps:cNvSpPr>
                                <a:spLocks noChangeArrowheads="1"/>
                              </wps:cNvSpPr>
                              <wps:spPr bwMode="auto">
                                <a:xfrm>
                                  <a:off x="3119756" y="44609"/>
                                  <a:ext cx="1061084" cy="273684"/>
                                </a:xfrm>
                                <a:prstGeom prst="rect">
                                  <a:avLst/>
                                </a:prstGeom>
                                <a:noFill/>
                                <a:ln w="9525" cmpd="sng">
                                  <a:solidFill>
                                    <a:srgbClr val="000000"/>
                                  </a:solidFill>
                                  <a:miter lim="800000"/>
                                </a:ln>
                                <a:effectLst/>
                              </wps:spPr>
                              <wps:txbx>
                                <w:txbxContent>
                                  <w:p>
                                    <w:pPr>
                                      <w:jc w:val="center"/>
                                    </w:pPr>
                                    <w:r>
                                      <w:t>500</w:t>
                                    </w:r>
                                    <w:r>
                                      <w:rPr>
                                        <w:rFonts w:hint="eastAsia"/>
                                      </w:rPr>
                                      <w:t>m³清水池</w:t>
                                    </w:r>
                                  </w:p>
                                </w:txbxContent>
                              </wps:txbx>
                              <wps:bodyPr rot="0" vert="horz" wrap="square" lIns="91440" tIns="45720" rIns="91440" bIns="45720" anchor="t" anchorCtr="0" upright="1">
                                <a:spAutoFit/>
                              </wps:bodyPr>
                            </wps:wsp>
                            <wps:wsp>
                              <wps:cNvPr id="496" name="直线 786"/>
                              <wps:cNvCnPr>
                                <a:cxnSpLocks noChangeShapeType="1"/>
                                <a:stCxn id="495" idx="3"/>
                              </wps:cNvCnPr>
                              <wps:spPr bwMode="auto">
                                <a:xfrm>
                                  <a:off x="4180840" y="181451"/>
                                  <a:ext cx="416182" cy="0"/>
                                </a:xfrm>
                                <a:prstGeom prst="line">
                                  <a:avLst/>
                                </a:prstGeom>
                                <a:ln>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97" name="矩形 787"/>
                              <wps:cNvSpPr>
                                <a:spLocks noChangeArrowheads="1"/>
                              </wps:cNvSpPr>
                              <wps:spPr bwMode="auto">
                                <a:xfrm>
                                  <a:off x="4523105" y="41163"/>
                                  <a:ext cx="577850" cy="241300"/>
                                </a:xfrm>
                                <a:prstGeom prst="rect">
                                  <a:avLst/>
                                </a:prstGeom>
                                <a:noFill/>
                                <a:ln>
                                  <a:noFill/>
                                </a:ln>
                                <a:effectLst/>
                              </wps:spPr>
                              <wps:txbx>
                                <w:txbxContent>
                                  <w:p>
                                    <w:pPr>
                                      <w:jc w:val="center"/>
                                    </w:pPr>
                                    <w:r>
                                      <w:rPr>
                                        <w:rFonts w:hint="eastAsia"/>
                                      </w:rPr>
                                      <w:t>回用</w:t>
                                    </w:r>
                                  </w:p>
                                </w:txbxContent>
                              </wps:txbx>
                              <wps:bodyPr rot="0" vert="horz" wrap="square" lIns="91440" tIns="45720" rIns="91440" bIns="45720" anchor="t" anchorCtr="0" upright="1">
                                <a:noAutofit/>
                              </wps:bodyPr>
                            </wps:wsp>
                            <wps:wsp>
                              <wps:cNvPr id="498" name="直线 789"/>
                              <wps:cNvCnPr>
                                <a:cxnSpLocks noChangeShapeType="1"/>
                              </wps:cNvCnPr>
                              <wps:spPr bwMode="auto">
                                <a:xfrm flipV="1">
                                  <a:off x="2480311" y="313838"/>
                                  <a:ext cx="1269" cy="469346"/>
                                </a:xfrm>
                                <a:prstGeom prst="line">
                                  <a:avLst/>
                                </a:prstGeom>
                                <a:noFill/>
                                <a:ln w="9525" cmpd="sng">
                                  <a:solidFill>
                                    <a:srgbClr val="FF0000"/>
                                  </a:solidFill>
                                  <a:prstDash val="dash"/>
                                  <a:round/>
                                  <a:headEnd type="triangle" w="med" len="med"/>
                                </a:ln>
                                <a:effectLst/>
                              </wps:spPr>
                              <wps:bodyPr/>
                            </wps:wsp>
                            <wps:wsp>
                              <wps:cNvPr id="499" name="矩形 790"/>
                              <wps:cNvSpPr>
                                <a:spLocks noChangeArrowheads="1"/>
                              </wps:cNvSpPr>
                              <wps:spPr bwMode="auto">
                                <a:xfrm>
                                  <a:off x="2191109" y="797822"/>
                                  <a:ext cx="638331" cy="273684"/>
                                </a:xfrm>
                                <a:prstGeom prst="rect">
                                  <a:avLst/>
                                </a:prstGeom>
                                <a:noFill/>
                                <a:ln w="9525" cmpd="sng">
                                  <a:solidFill>
                                    <a:srgbClr val="000000"/>
                                  </a:solidFill>
                                  <a:miter lim="800000"/>
                                </a:ln>
                                <a:effectLst/>
                              </wps:spPr>
                              <wps:txbx>
                                <w:txbxContent>
                                  <w:p>
                                    <w:pPr>
                                      <w:jc w:val="center"/>
                                    </w:pPr>
                                    <w:r>
                                      <w:rPr>
                                        <w:rFonts w:hint="eastAsia"/>
                                      </w:rPr>
                                      <w:t>压滤机</w:t>
                                    </w:r>
                                  </w:p>
                                </w:txbxContent>
                              </wps:txbx>
                              <wps:bodyPr rot="0" vert="horz" wrap="square" lIns="91440" tIns="45720" rIns="91440" bIns="45720" anchor="t" anchorCtr="0" upright="1">
                                <a:spAutoFit/>
                              </wps:bodyPr>
                            </wps:wsp>
                            <wps:wsp>
                              <wps:cNvPr id="500" name="直线 791"/>
                              <wps:cNvCnPr>
                                <a:cxnSpLocks noChangeShapeType="1"/>
                              </wps:cNvCnPr>
                              <wps:spPr bwMode="auto">
                                <a:xfrm>
                                  <a:off x="2481580" y="1074261"/>
                                  <a:ext cx="0" cy="405945"/>
                                </a:xfrm>
                                <a:prstGeom prst="line">
                                  <a:avLst/>
                                </a:prstGeom>
                                <a:noFill/>
                                <a:ln w="9525" cmpd="sng">
                                  <a:solidFill>
                                    <a:srgbClr val="FF0000"/>
                                  </a:solidFill>
                                  <a:prstDash val="dash"/>
                                  <a:round/>
                                </a:ln>
                                <a:effectLst/>
                              </wps:spPr>
                              <wps:bodyPr/>
                            </wps:wsp>
                            <wps:wsp>
                              <wps:cNvPr id="501" name="直线 792"/>
                              <wps:cNvCnPr>
                                <a:cxnSpLocks noChangeShapeType="1"/>
                              </wps:cNvCnPr>
                              <wps:spPr bwMode="auto">
                                <a:xfrm flipH="1">
                                  <a:off x="1641475" y="1488329"/>
                                  <a:ext cx="839470" cy="635"/>
                                </a:xfrm>
                                <a:prstGeom prst="line">
                                  <a:avLst/>
                                </a:prstGeom>
                                <a:noFill/>
                                <a:ln w="9525" cmpd="sng">
                                  <a:solidFill>
                                    <a:srgbClr val="FF0000"/>
                                  </a:solidFill>
                                  <a:prstDash val="dash"/>
                                  <a:round/>
                                </a:ln>
                                <a:effectLst/>
                              </wps:spPr>
                              <wps:bodyPr/>
                            </wps:wsp>
                            <wps:wsp>
                              <wps:cNvPr id="502" name="直线 793"/>
                              <wps:cNvCnPr>
                                <a:cxnSpLocks noChangeShapeType="1"/>
                              </wps:cNvCnPr>
                              <wps:spPr bwMode="auto">
                                <a:xfrm flipH="1" flipV="1">
                                  <a:off x="1634490" y="1074330"/>
                                  <a:ext cx="3810" cy="417374"/>
                                </a:xfrm>
                                <a:prstGeom prst="line">
                                  <a:avLst/>
                                </a:prstGeom>
                                <a:noFill/>
                                <a:ln w="9525" cmpd="sng">
                                  <a:solidFill>
                                    <a:srgbClr val="FF0000"/>
                                  </a:solidFill>
                                  <a:prstDash val="dash"/>
                                  <a:round/>
                                  <a:tailEnd type="triangle" w="med" len="med"/>
                                </a:ln>
                                <a:effectLst/>
                              </wps:spPr>
                              <wps:bodyPr/>
                            </wps:wsp>
                            <wps:wsp>
                              <wps:cNvPr id="503" name="矩形 799"/>
                              <wps:cNvSpPr>
                                <a:spLocks noChangeArrowheads="1"/>
                              </wps:cNvSpPr>
                              <wps:spPr bwMode="auto">
                                <a:xfrm>
                                  <a:off x="2378710" y="391048"/>
                                  <a:ext cx="571500" cy="241300"/>
                                </a:xfrm>
                                <a:prstGeom prst="rect">
                                  <a:avLst/>
                                </a:prstGeom>
                                <a:noFill/>
                                <a:ln>
                                  <a:noFill/>
                                </a:ln>
                                <a:effectLst/>
                              </wps:spPr>
                              <wps:txbx>
                                <w:txbxContent>
                                  <w:p>
                                    <w:pPr>
                                      <w:jc w:val="center"/>
                                    </w:pPr>
                                    <w:r>
                                      <w:rPr>
                                        <w:rFonts w:hint="eastAsia"/>
                                      </w:rPr>
                                      <w:t>污泥</w:t>
                                    </w:r>
                                  </w:p>
                                </w:txbxContent>
                              </wps:txbx>
                              <wps:bodyPr rot="0" vert="horz" wrap="square" lIns="91440" tIns="45720" rIns="91440" bIns="45720" anchor="t" anchorCtr="0" upright="1">
                                <a:noAutofit/>
                              </wps:bodyPr>
                            </wps:wsp>
                            <wps:wsp>
                              <wps:cNvPr id="504" name="矩形 800"/>
                              <wps:cNvSpPr>
                                <a:spLocks noChangeArrowheads="1"/>
                              </wps:cNvSpPr>
                              <wps:spPr bwMode="auto">
                                <a:xfrm>
                                  <a:off x="1713230" y="1212386"/>
                                  <a:ext cx="736600" cy="264160"/>
                                </a:xfrm>
                                <a:prstGeom prst="rect">
                                  <a:avLst/>
                                </a:prstGeom>
                                <a:noFill/>
                                <a:ln>
                                  <a:noFill/>
                                </a:ln>
                                <a:effectLst/>
                              </wps:spPr>
                              <wps:txbx>
                                <w:txbxContent>
                                  <w:p>
                                    <w:pPr>
                                      <w:jc w:val="center"/>
                                    </w:pPr>
                                    <w:r>
                                      <w:rPr>
                                        <w:rFonts w:hint="eastAsia"/>
                                      </w:rPr>
                                      <w:t>压滤浊液</w:t>
                                    </w:r>
                                  </w:p>
                                </w:txbxContent>
                              </wps:txbx>
                              <wps:bodyPr rot="0" vert="horz" wrap="square" lIns="91440" tIns="45720" rIns="91440" bIns="45720" anchor="t" anchorCtr="0" upright="1">
                                <a:spAutoFit/>
                              </wps:bodyPr>
                            </wps:wsp>
                            <wps:wsp>
                              <wps:cNvPr id="505" name="直线 801"/>
                              <wps:cNvCnPr>
                                <a:cxnSpLocks noChangeShapeType="1"/>
                                <a:stCxn id="499" idx="3"/>
                                <a:endCxn id="506" idx="1"/>
                              </wps:cNvCnPr>
                              <wps:spPr bwMode="auto">
                                <a:xfrm>
                                  <a:off x="2829440" y="934324"/>
                                  <a:ext cx="496690" cy="3136"/>
                                </a:xfrm>
                                <a:prstGeom prst="line">
                                  <a:avLst/>
                                </a:prstGeom>
                                <a:noFill/>
                                <a:ln w="9525" cmpd="sng">
                                  <a:solidFill>
                                    <a:srgbClr val="000000"/>
                                  </a:solidFill>
                                  <a:round/>
                                  <a:tailEnd type="triangle" w="med" len="med"/>
                                </a:ln>
                                <a:effectLst/>
                              </wps:spPr>
                              <wps:bodyPr/>
                            </wps:wsp>
                            <wps:wsp>
                              <wps:cNvPr id="506" name="矩形 802"/>
                              <wps:cNvSpPr>
                                <a:spLocks noChangeArrowheads="1"/>
                              </wps:cNvSpPr>
                              <wps:spPr bwMode="auto">
                                <a:xfrm>
                                  <a:off x="3326130" y="800959"/>
                                  <a:ext cx="502919" cy="273684"/>
                                </a:xfrm>
                                <a:prstGeom prst="rect">
                                  <a:avLst/>
                                </a:prstGeom>
                                <a:noFill/>
                                <a:ln w="9525" cmpd="sng">
                                  <a:solidFill>
                                    <a:srgbClr val="000000"/>
                                  </a:solidFill>
                                  <a:miter lim="800000"/>
                                </a:ln>
                                <a:effectLst/>
                              </wps:spPr>
                              <wps:txbx>
                                <w:txbxContent>
                                  <w:p>
                                    <w:pPr>
                                      <w:jc w:val="center"/>
                                    </w:pPr>
                                    <w:r>
                                      <w:rPr>
                                        <w:rFonts w:hint="eastAsia"/>
                                      </w:rPr>
                                      <w:t>泥饼</w:t>
                                    </w:r>
                                  </w:p>
                                </w:txbxContent>
                              </wps:txbx>
                              <wps:bodyPr rot="0" vert="horz" wrap="square" lIns="91440" tIns="45720" rIns="91440" bIns="45720" anchor="t" anchorCtr="0" upright="1">
                                <a:spAutoFit/>
                              </wps:bodyPr>
                            </wps:wsp>
                            <wps:wsp>
                              <wps:cNvPr id="507" name="直线 803"/>
                              <wps:cNvCnPr>
                                <a:cxnSpLocks noChangeShapeType="1"/>
                              </wps:cNvCnPr>
                              <wps:spPr bwMode="auto">
                                <a:xfrm>
                                  <a:off x="3837940" y="913019"/>
                                  <a:ext cx="342900" cy="0"/>
                                </a:xfrm>
                                <a:prstGeom prst="line">
                                  <a:avLst/>
                                </a:prstGeom>
                                <a:noFill/>
                                <a:ln w="9525" cmpd="sng">
                                  <a:solidFill>
                                    <a:srgbClr val="000000"/>
                                  </a:solidFill>
                                  <a:round/>
                                  <a:tailEnd type="triangle" w="med" len="med"/>
                                </a:ln>
                                <a:effectLst/>
                              </wps:spPr>
                              <wps:bodyPr/>
                            </wps:wsp>
                            <wps:wsp>
                              <wps:cNvPr id="508" name="矩形 804"/>
                              <wps:cNvSpPr>
                                <a:spLocks noChangeArrowheads="1"/>
                              </wps:cNvSpPr>
                              <wps:spPr bwMode="auto">
                                <a:xfrm>
                                  <a:off x="4138295" y="736696"/>
                                  <a:ext cx="1169035" cy="475690"/>
                                </a:xfrm>
                                <a:prstGeom prst="rect">
                                  <a:avLst/>
                                </a:prstGeom>
                                <a:noFill/>
                                <a:ln>
                                  <a:noFill/>
                                </a:ln>
                                <a:effectLst/>
                              </wps:spPr>
                              <wps:txbx>
                                <w:txbxContent>
                                  <w:p>
                                    <w:r>
                                      <w:rPr>
                                        <w:rFonts w:hint="eastAsia" w:hAnsi="宋体"/>
                                      </w:rPr>
                                      <w:t>按政府要求堆放至指定地点</w:t>
                                    </w:r>
                                  </w:p>
                                </w:txbxContent>
                              </wps:txbx>
                              <wps:bodyPr rot="0" vert="horz" wrap="square" lIns="91440" tIns="45720" rIns="91440" bIns="45720" anchor="t" anchorCtr="0" upright="1">
                                <a:noAutofit/>
                              </wps:bodyPr>
                            </wps:wsp>
                          </wpc:wpc>
                        </a:graphicData>
                      </a:graphic>
                    </wp:inline>
                  </w:drawing>
                </mc:Choice>
                <mc:Fallback>
                  <w:pict>
                    <v:group id="_x0000_s1026" o:spid="_x0000_s1026" o:spt="203" style="height:144.2pt;width:419.4pt;" coordsize="5326380,1831340" editas="canvas" o:gfxdata="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">
                      <o:lock v:ext="edit" aspectratio="f"/>
                      <v:shape id="_x0000_s1026" o:spid="_x0000_s1026" style="position:absolute;left:0;top:0;height:1831340;width:5326380;" filled="f" stroked="f" coordsize="21600,21600" o:gfxdata="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">
                        <v:fill on="f" focussize="0,0"/>
                        <v:stroke on="f"/>
                        <v:imagedata o:title=""/>
                        <o:lock v:ext="edit" aspectratio="f"/>
                      </v:shape>
                      <v:shape id="_x0000_s1026" o:spid="_x0000_s1026" o:spt="202" type="#_x0000_t202" style="position:absolute;left:1414663;top:1560934;height:270510;width:2499360;mso-wrap-style:none;" fillcolor="#FFFFFF [3201]" filled="t" stroked="f" coordsize="21600,21600" o:gfxdata="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txCPdYA&#10;AAAFAQAADwAAAAAAAAABACAAAAAiAAAAZHJzL2Rvd25yZXYueG1sUEsBAhQAFAAAAAgAh07iQDJm&#10;zVBaAgAAnQQAAA4AAAAAAAAAAQAgAAAAJQEAAGRycy9lMm9Eb2MueG1sUEsFBgAAAAAGAAYAWQEA&#10;APEFAAAAAA==&#10;">
                        <v:fill on="t" focussize="0,0"/>
                        <v:stroke on="f" weight="0.5pt"/>
                        <v:imagedata o:title=""/>
                        <o:lock v:ext="edit" aspectratio="f"/>
                        <v:textbox style="mso-fit-shape-to-text:t;">
                          <w:txbxContent>
                            <w:p>
                              <w:pPr>
                                <w:pStyle w:val="6"/>
                                <w:spacing w:before="0" w:after="0" w:line="240" w:lineRule="auto"/>
                                <w:ind w:right="0"/>
                                <w:jc w:val="center"/>
                                <w:rPr>
                                  <w:rFonts w:ascii="宋体" w:hAnsi="宋体"/>
                                  <w:b/>
                                  <w:sz w:val="24"/>
                                </w:rPr>
                              </w:pPr>
                              <w:r>
                                <w:rPr>
                                  <w:rStyle w:val="18"/>
                                  <w:rFonts w:hint="eastAsia" w:ascii="宋体" w:hAnsi="宋体" w:cs="黑体"/>
                                  <w:b/>
                                  <w:szCs w:val="21"/>
                                </w:rPr>
                                <w:t>图4-1 项目浓缩罐废水处理工艺流程图</w:t>
                              </w:r>
                            </w:p>
                          </w:txbxContent>
                        </v:textbox>
                      </v:shape>
                      <v:rect id="矩形 776" o:spid="_x0000_s1026" o:spt="1" style="position:absolute;left:91105;top:44609;height:264160;width:889635;" filled="f" stroked="f" coordsize="21600,21600" o:gfxdata="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ZTejTtYAAAAF&#10;AQAADwAAAAAAAAABACAAAAAiAAAAZHJzL2Rvd25yZXYueG1sUEsBAhQAFAAAAAgAh07iQEmrrrke&#10;AgAAIQQAAA4AAAAAAAAAAQAgAAAAJQEAAGRycy9lMm9Eb2MueG1sUEsFBgAAAAAGAAYAWQEAALUF&#10;AAAAAA==&#10;">
                        <v:fill on="f" focussize="0,0"/>
                        <v:stroke on="f"/>
                        <v:imagedata o:title=""/>
                        <o:lock v:ext="edit" aspectratio="f"/>
                        <v:textbox style="mso-fit-shape-to-text:t;">
                          <w:txbxContent>
                            <w:p>
                              <w:pPr>
                                <w:jc w:val="center"/>
                              </w:pPr>
                              <w:r>
                                <w:rPr>
                                  <w:rFonts w:hint="eastAsia"/>
                                </w:rPr>
                                <w:t>投加絮凝剂</w:t>
                              </w:r>
                            </w:p>
                          </w:txbxContent>
                        </v:textbox>
                      </v:rect>
                      <v:rect id="矩形 777" o:spid="_x0000_s1026" o:spt="1" style="position:absolute;left:16510;top:791089;height:264160;width:767715;" filled="f" stroked="f" coordsize="21600,21600" o:gfxdata="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ZTejTtYAAAAF&#10;AQAADwAAAAAAAAABACAAAAAiAAAAZHJzL2Rvd25yZXYueG1sUEsBAhQAFAAAAAgAh07iQKYzE0Ae&#10;AgAAIgQAAA4AAAAAAAAAAQAgAAAAJQEAAGRycy9lMm9Eb2MueG1sUEsFBgAAAAAGAAYAWQEAALUF&#10;AAAAAA==&#10;">
                        <v:fill on="f" focussize="0,0"/>
                        <v:stroke on="f"/>
                        <v:imagedata o:title=""/>
                        <o:lock v:ext="edit" aspectratio="f"/>
                        <v:textbox style="mso-fit-shape-to-text:t;">
                          <w:txbxContent>
                            <w:p>
                              <w:pPr>
                                <w:jc w:val="center"/>
                              </w:pPr>
                              <w:r>
                                <w:rPr>
                                  <w:rFonts w:hint="eastAsia"/>
                                </w:rPr>
                                <w:t>生产废水</w:t>
                              </w:r>
                            </w:p>
                          </w:txbxContent>
                        </v:textbox>
                      </v:rect>
                      <v:line id="直线 779" o:spid="_x0000_s1026" o:spt="20" style="position:absolute;left:980740;top:176689;height:462;width:433923;" filled="f" stroked="t" coordsize="21600,21600" o:gfxdata="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z/sunW&#10;AAAABQEAAA8AAAAAAAAAAQAgAAAAIgAAAGRycy9kb3ducmV2LnhtbFBLAQIUABQAAAAIAIdO4kCE&#10;wB3BIgIAAC4EAAAOAAAAAAAAAAEAIAAAACUBAABkcnMvZTJvRG9jLnhtbFBLBQYAAAAABgAGAFkB&#10;AAC5BQAAAAA=&#10;">
                        <v:fill on="f" focussize="0,0"/>
                        <v:stroke color="#000000" joinstyle="round" endarrow="block"/>
                        <v:imagedata o:title=""/>
                        <o:lock v:ext="edit" aspectratio="f"/>
                      </v:line>
                      <v:rect id="矩形 780" o:spid="_x0000_s1026" o:spt="1" style="position:absolute;left:1414663;top:40309;height:273684;width:1129029;" filled="f" stroked="t" coordsize="21600,21600" o:gfxdata="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ahjQXNUAAAAFAQAADwAAAAAAAAAB&#10;ACAAAAAiAAAAZHJzL2Rvd25yZXYueG1sUEsBAhQAFAAAAAgAh07iQHFrdOBMAgAAeAQAAA4AAAAA&#10;AAAAAQAgAAAAJAEAAGRycy9lMm9Eb2MueG1sUEsFBgAAAAAGAAYAWQEAAOIFAAAAAA==&#10;">
                        <v:fill on="f" focussize="0,0"/>
                        <v:stroke color="#000000" miterlimit="8" joinstyle="miter"/>
                        <v:imagedata o:title=""/>
                        <o:lock v:ext="edit" aspectratio="f"/>
                        <v:textbox style="mso-fit-shape-to-text:t;">
                          <w:txbxContent>
                            <w:p>
                              <w:r>
                                <w:rPr>
                                  <w:rFonts w:hint="eastAsia"/>
                                </w:rPr>
                                <w:t>250m³/h浓密罐</w:t>
                              </w:r>
                            </w:p>
                          </w:txbxContent>
                        </v:textbox>
                      </v:rect>
                      <v:line id="直线 781" o:spid="_x0000_s1026" o:spt="20" style="position:absolute;left:2543692;top:177151;height:4300;width:576064;" filled="f" stroked="t" coordsize="21600,21600" o:gfxdata="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VgrrNIAAAAFAQAADwAAAAAAAAABACAAAAAiAAAA&#10;ZHJzL2Rvd25yZXYueG1sUEsBAhQAFAAAAAgAh07iQFFAWilGAgAAXgQAAA4AAAAAAAAAAQAgAAAA&#10;IQEAAGRycy9lMm9Eb2MueG1sUEsFBgAAAAAGAAYAWQEAANkFAAAAAA==&#10;">
                        <v:fill on="f" focussize="0,0"/>
                        <v:stroke weight="0.5pt" color="#5B9BD5 [3204]" miterlimit="8" joinstyle="miter" endarrow="block"/>
                        <v:imagedata o:title=""/>
                        <o:lock v:ext="edit" aspectratio="f"/>
                      </v:line>
                      <v:line id="直线 782" o:spid="_x0000_s1026" o:spt="20" style="position:absolute;left:784225;top:923169;height:4756;width:311151;" filled="f" stroked="t" coordsize="21600,21600" o:gfxdata="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s/7Lp&#10;1gAAAAUBAAAPAAAAAAAAAAEAIAAAACIAAABkcnMvZG93bnJldi54bWxQSwECFAAUAAAACACHTuJA&#10;sBINFCMCAAAvBAAADgAAAAAAAAABACAAAAAlAQAAZHJzL2Uyb0RvYy54bWxQSwUGAAAAAAYABgBZ&#10;AQAAugUAAAAA&#10;">
                        <v:fill on="f" focussize="0,0"/>
                        <v:stroke color="#000000" joinstyle="round" endarrow="block"/>
                        <v:imagedata o:title=""/>
                        <o:lock v:ext="edit" aspectratio="f"/>
                      </v:line>
                      <v:rect id="矩形 783" o:spid="_x0000_s1026" o:spt="1" style="position:absolute;left:1095376;top:791083;height:273684;width:906779;" filled="f" stroked="t" coordsize="21600,21600" o:gfxdata="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ahjQXNUAAAAFAQAADwAAAAAAAAAB&#10;ACAAAAAiAAAAZHJzL2Rvd25yZXYueG1sUEsBAhQAFAAAAAgAh07iQBYAa3pMAgAAeAQAAA4AAAAA&#10;AAAAAQAgAAAAJAEAAGRycy9lMm9Eb2MueG1sUEsFBgAAAAAGAAYAWQEAAOIFAAAAAA==&#10;">
                        <v:fill on="f" focussize="0,0"/>
                        <v:stroke color="#000000" miterlimit="8" joinstyle="miter"/>
                        <v:imagedata o:title=""/>
                        <o:lock v:ext="edit" aspectratio="f"/>
                        <v:textbox style="mso-fit-shape-to-text:t;">
                          <w:txbxContent>
                            <w:p>
                              <w:pPr>
                                <w:jc w:val="center"/>
                              </w:pPr>
                              <w:r>
                                <w:rPr>
                                  <w:rFonts w:hint="eastAsia"/>
                                </w:rPr>
                                <w:t>污水收集池</w:t>
                              </w:r>
                            </w:p>
                          </w:txbxContent>
                        </v:textbox>
                      </v:rect>
                      <v:line id="直线 784" o:spid="_x0000_s1026" o:spt="20" style="position:absolute;left:1641476;top:309388;flip:y;height:473501;width:0;" filled="f" stroked="t" coordsize="21600,21600" o:gfxdata="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klye61gAAAAUBAAAPAAAAAAAA&#10;AAEAIAAAACIAAABkcnMvZG93bnJldi54bWxQSwECFAAUAAAACACHTuJAAD8W1hQCAAAABAAADgAA&#10;AAAAAAABACAAAAAlAQAAZHJzL2Uyb0RvYy54bWxQSwUGAAAAAAYABgBZAQAAqwUAAAAA&#10;">
                        <v:fill on="f" focussize="0,0"/>
                        <v:stroke color="#000000" joinstyle="round" endarrow="block"/>
                        <v:imagedata o:title=""/>
                        <o:lock v:ext="edit" aspectratio="f"/>
                      </v:line>
                      <v:rect id="矩形 785" o:spid="_x0000_s1026" o:spt="1" style="position:absolute;left:3119756;top:44609;height:273684;width:1061084;" filled="f" stroked="t" coordsize="21600,21600" o:gfxdata="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ahjQXNUAAAAFAQAADwAAAAAAAAAB&#10;ACAAAAAiAAAAZHJzL2Rvd25yZXYueG1sUEsBAhQAFAAAAAgAh07iQCPRYQ5MAgAAeAQAAA4AAAAA&#10;AAAAAQAgAAAAJAEAAGRycy9lMm9Eb2MueG1sUEsFBgAAAAAGAAYAWQEAAOIFAAAAAA==&#10;">
                        <v:fill on="f" focussize="0,0"/>
                        <v:stroke color="#000000" miterlimit="8" joinstyle="miter"/>
                        <v:imagedata o:title=""/>
                        <o:lock v:ext="edit" aspectratio="f"/>
                        <v:textbox style="mso-fit-shape-to-text:t;">
                          <w:txbxContent>
                            <w:p>
                              <w:pPr>
                                <w:jc w:val="center"/>
                              </w:pPr>
                              <w:r>
                                <w:t>500</w:t>
                              </w:r>
                              <w:r>
                                <w:rPr>
                                  <w:rFonts w:hint="eastAsia"/>
                                </w:rPr>
                                <w:t>m³清水池</w:t>
                              </w:r>
                            </w:p>
                          </w:txbxContent>
                        </v:textbox>
                      </v:rect>
                      <v:line id="直线 786" o:spid="_x0000_s1026" o:spt="20" style="position:absolute;left:4180840;top:181451;height:0;width:416182;" filled="f" stroked="t" coordsize="21600,21600" o:gfxdata="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BWCus0gAAAAUBAAAPAAAAAAAAAAEAIAAAACIAAABkcnMvZG93bnJldi54bWxQ&#10;SwECFAAUAAAACACHTuJA+eL+uDYCAAA/BAAADgAAAAAAAAABACAAAAAhAQAAZHJzL2Uyb0RvYy54&#10;bWxQSwUGAAAAAAYABgBZAQAAyQUAAAAA&#10;">
                        <v:fill on="f" focussize="0,0"/>
                        <v:stroke weight="0.5pt" color="#5B9BD5 [3204]" miterlimit="8" joinstyle="miter" endarrow="block"/>
                        <v:imagedata o:title=""/>
                        <o:lock v:ext="edit" aspectratio="f"/>
                      </v:line>
                      <v:rect id="矩形 787" o:spid="_x0000_s1026" o:spt="1" style="position:absolute;left:4523105;top:41163;height:241300;width:577850;" filled="f" stroked="f" coordsize="21600,21600" o:gfxdata="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hjy/21wAA&#10;AAUBAAAPAAAAAAAAAAEAIAAAACIAAABkcnMvZG93bnJldi54bWxQSwECFAAUAAAACACHTuJAd0D9&#10;2R8CAAAjBAAADgAAAAAAAAABACAAAAAmAQAAZHJzL2Uyb0RvYy54bWxQSwUGAAAAAAYABgBZAQAA&#10;twUAAAAA&#10;">
                        <v:fill on="f" focussize="0,0"/>
                        <v:stroke on="f"/>
                        <v:imagedata o:title=""/>
                        <o:lock v:ext="edit" aspectratio="f"/>
                        <v:textbox>
                          <w:txbxContent>
                            <w:p>
                              <w:pPr>
                                <w:jc w:val="center"/>
                              </w:pPr>
                              <w:r>
                                <w:rPr>
                                  <w:rFonts w:hint="eastAsia"/>
                                </w:rPr>
                                <w:t>回用</w:t>
                              </w:r>
                            </w:p>
                          </w:txbxContent>
                        </v:textbox>
                      </v:rect>
                      <v:line id="直线 789" o:spid="_x0000_s1026" o:spt="20" style="position:absolute;left:2480311;top:313838;flip:y;height:469346;width:1269;" filled="f" stroked="t" coordsize="21600,21600" o:gfxdata="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Ek5x&#10;6dYAAAAFAQAADwAAAAAAAAABACAAAAAiAAAAZHJzL2Rvd25yZXYueG1sUEsBAhQAFAAAAAgAh07i&#10;QJl3IfkkAgAAGwQAAA4AAAAAAAAAAQAgAAAAJQEAAGRycy9lMm9Eb2MueG1sUEsFBgAAAAAGAAYA&#10;WQEAALsFAAAAAA==&#10;">
                        <v:fill on="f" focussize="0,0"/>
                        <v:stroke color="#FF0000" joinstyle="round" dashstyle="dash" startarrow="block"/>
                        <v:imagedata o:title=""/>
                        <o:lock v:ext="edit" aspectratio="f"/>
                      </v:line>
                      <v:rect id="矩形 790" o:spid="_x0000_s1026" o:spt="1" style="position:absolute;left:2191109;top:797822;height:273684;width:638331;" filled="f" stroked="t" coordsize="21600,21600" o:gfxdata="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qGNBc1QAAAAUBAAAPAAAAAAAA&#10;AAEAIAAAACIAAABkcnMvZG93bnJldi54bWxQSwECFAAUAAAACACHTuJAWwagGE4CAAB4BAAADgAA&#10;AAAAAAABACAAAAAkAQAAZHJzL2Uyb0RvYy54bWxQSwUGAAAAAAYABgBZAQAA5AUAAAAA&#10;">
                        <v:fill on="f" focussize="0,0"/>
                        <v:stroke color="#000000" miterlimit="8" joinstyle="miter"/>
                        <v:imagedata o:title=""/>
                        <o:lock v:ext="edit" aspectratio="f"/>
                        <v:textbox style="mso-fit-shape-to-text:t;">
                          <w:txbxContent>
                            <w:p>
                              <w:pPr>
                                <w:jc w:val="center"/>
                              </w:pPr>
                              <w:r>
                                <w:rPr>
                                  <w:rFonts w:hint="eastAsia"/>
                                </w:rPr>
                                <w:t>压滤机</w:t>
                              </w:r>
                            </w:p>
                          </w:txbxContent>
                        </v:textbox>
                      </v:rect>
                      <v:line id="直线 791" o:spid="_x0000_s1026" o:spt="20" style="position:absolute;left:2481580;top:1074261;height:405945;width:0;" filled="f" stroked="t" coordsize="21600,21600" o:gfxdata="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mdVGA0QAAAAUBAAAPAAAAAAAAAAEAIAAAACIAAABkcnMvZG93bnJldi54bWxQ&#10;SwECFAAUAAAACACHTuJATBrR4v4BAADhAwAADgAAAAAAAAABACAAAAAgAQAAZHJzL2Uyb0RvYy54&#10;bWxQSwUGAAAAAAYABgBZAQAAkAUAAAAA&#10;">
                        <v:fill on="f" focussize="0,0"/>
                        <v:stroke color="#FF0000" joinstyle="round" dashstyle="dash"/>
                        <v:imagedata o:title=""/>
                        <o:lock v:ext="edit" aspectratio="f"/>
                      </v:line>
                      <v:line id="直线 792" o:spid="_x0000_s1026" o:spt="20" style="position:absolute;left:1641475;top:1488329;flip:x;height:635;width:839470;" filled="f" stroked="t" coordsize="21600,21600" o:gfxdata="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21lXTAAAABQEAAA8AAAAAAAAAAQAgAAAAIgAAAGRycy9k&#10;b3ducmV2LnhtbFBLAQIUABQAAAAIAIdO4kAtouFfBwIAAO0DAAAOAAAAAAAAAAEAIAAAACIBAABk&#10;cnMvZTJvRG9jLnhtbFBLBQYAAAAABgAGAFkBAACbBQAAAAA=&#10;">
                        <v:fill on="f" focussize="0,0"/>
                        <v:stroke color="#FF0000" joinstyle="round" dashstyle="dash"/>
                        <v:imagedata o:title=""/>
                        <o:lock v:ext="edit" aspectratio="f"/>
                      </v:line>
                      <v:line id="直线 793" o:spid="_x0000_s1026" o:spt="20" style="position:absolute;left:1634490;top:1074330;flip:x y;height:417374;width:3810;" filled="f" stroked="t" coordsize="21600,21600" o:gfxdata="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Jw&#10;KUzVAAAABQEAAA8AAAAAAAAAAQAgAAAAIgAAAGRycy9kb3ducmV2LnhtbFBLAQIUABQAAAAIAIdO&#10;4kBpv1+7JgIAACYEAAAOAAAAAAAAAAEAIAAAACQBAABkcnMvZTJvRG9jLnhtbFBLBQYAAAAABgAG&#10;AFkBAAC8BQAAAAA=&#10;">
                        <v:fill on="f" focussize="0,0"/>
                        <v:stroke color="#FF0000" joinstyle="round" dashstyle="dash" endarrow="block"/>
                        <v:imagedata o:title=""/>
                        <o:lock v:ext="edit" aspectratio="f"/>
                      </v:line>
                      <v:rect id="矩形 799" o:spid="_x0000_s1026" o:spt="1" style="position:absolute;left:2378710;top:391048;height:241300;width:571500;" filled="f" stroked="f" coordsize="21600,21600" o:gfxdata="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GPL/bXAAAA&#10;BQEAAA8AAAAAAAAAAQAgAAAAIgAAAGRycy9kb3ducmV2LnhtbFBLAQIUABQAAAAIAIdO4kCfSY2t&#10;HgIAACQEAAAOAAAAAAAAAAEAIAAAACYBAABkcnMvZTJvRG9jLnhtbFBLBQYAAAAABgAGAFkBAAC2&#10;BQAAAAA=&#10;">
                        <v:fill on="f" focussize="0,0"/>
                        <v:stroke on="f"/>
                        <v:imagedata o:title=""/>
                        <o:lock v:ext="edit" aspectratio="f"/>
                        <v:textbox>
                          <w:txbxContent>
                            <w:p>
                              <w:pPr>
                                <w:jc w:val="center"/>
                              </w:pPr>
                              <w:r>
                                <w:rPr>
                                  <w:rFonts w:hint="eastAsia"/>
                                </w:rPr>
                                <w:t>污泥</w:t>
                              </w:r>
                            </w:p>
                          </w:txbxContent>
                        </v:textbox>
                      </v:rect>
                      <v:rect id="矩形 800" o:spid="_x0000_s1026" o:spt="1" style="position:absolute;left:1713230;top:1212386;height:264160;width:736600;" filled="f" stroked="f" coordsize="21600,21600" o:gfxdata="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TejTtYA&#10;AAAFAQAADwAAAAAAAAABACAAAAAiAAAAZHJzL2Rvd25yZXYueG1sUEsBAhQAFAAAAAgAh07iQLsE&#10;kKQhAgAAJQQAAA4AAAAAAAAAAQAgAAAAJQEAAGRycy9lMm9Eb2MueG1sUEsFBgAAAAAGAAYAWQEA&#10;ALgFAAAAAA==&#10;">
                        <v:fill on="f" focussize="0,0"/>
                        <v:stroke on="f"/>
                        <v:imagedata o:title=""/>
                        <o:lock v:ext="edit" aspectratio="f"/>
                        <v:textbox style="mso-fit-shape-to-text:t;">
                          <w:txbxContent>
                            <w:p>
                              <w:pPr>
                                <w:jc w:val="center"/>
                              </w:pPr>
                              <w:r>
                                <w:rPr>
                                  <w:rFonts w:hint="eastAsia"/>
                                </w:rPr>
                                <w:t>压滤浊液</w:t>
                              </w:r>
                            </w:p>
                          </w:txbxContent>
                        </v:textbox>
                      </v:rect>
                      <v:line id="直线 801" o:spid="_x0000_s1026" o:spt="20" style="position:absolute;left:2829440;top:934324;height:3136;width:496690;" filled="f" stroked="t" coordsize="21600,21600" o:gfxdata="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s&#10;/7Lp1gAAAAUBAAAPAAAAAAAAAAEAIAAAACIAAABkcnMvZG93bnJldi54bWxQSwECFAAUAAAACACH&#10;TuJA6VbQkSYCAAAwBAAADgAAAAAAAAABACAAAAAlAQAAZHJzL2Uyb0RvYy54bWxQSwUGAAAAAAYA&#10;BgBZAQAAvQUAAAAA&#10;">
                        <v:fill on="f" focussize="0,0"/>
                        <v:stroke color="#000000" joinstyle="round" endarrow="block"/>
                        <v:imagedata o:title=""/>
                        <o:lock v:ext="edit" aspectratio="f"/>
                      </v:line>
                      <v:rect id="矩形 802" o:spid="_x0000_s1026" o:spt="1" style="position:absolute;left:3326130;top:800959;height:273684;width:502919;" filled="f" stroked="t" coordsize="21600,21600" o:gfxdata="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qGNBc1QAAAAUBAAAPAAAAAAAA&#10;AAEAIAAAACIAAABkcnMvZG93bnJldi54bWxQSwECFAAUAAAACACHTuJAypO5Nk4CAAB4BAAADgAA&#10;AAAAAAABACAAAAAkAQAAZHJzL2Uyb0RvYy54bWxQSwUGAAAAAAYABgBZAQAA5AUAAAAA&#10;">
                        <v:fill on="f" focussize="0,0"/>
                        <v:stroke color="#000000" miterlimit="8" joinstyle="miter"/>
                        <v:imagedata o:title=""/>
                        <o:lock v:ext="edit" aspectratio="f"/>
                        <v:textbox style="mso-fit-shape-to-text:t;">
                          <w:txbxContent>
                            <w:p>
                              <w:pPr>
                                <w:jc w:val="center"/>
                              </w:pPr>
                              <w:r>
                                <w:rPr>
                                  <w:rFonts w:hint="eastAsia"/>
                                </w:rPr>
                                <w:t>泥饼</w:t>
                              </w:r>
                            </w:p>
                          </w:txbxContent>
                        </v:textbox>
                      </v:rect>
                      <v:line id="直线 803" o:spid="_x0000_s1026" o:spt="20" style="position:absolute;left:3837940;top:913019;height:0;width:342900;" filled="f" stroked="t" coordsize="21600,21600" o:gfxdata="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z/sunWAAAABQEAAA8AAAAAAAAAAQAgAAAA&#10;IgAAAGRycy9kb3ducmV2LnhtbFBLAQIUABQAAAAIAIdO4kCE+EX5DQIAAPYDAAAOAAAAAAAAAAEA&#10;IAAAACUBAABkcnMvZTJvRG9jLnhtbFBLBQYAAAAABgAGAFkBAACkBQAAAAA=&#10;">
                        <v:fill on="f" focussize="0,0"/>
                        <v:stroke color="#000000" joinstyle="round" endarrow="block"/>
                        <v:imagedata o:title=""/>
                        <o:lock v:ext="edit" aspectratio="f"/>
                      </v:line>
                      <v:rect id="矩形 804" o:spid="_x0000_s1026" o:spt="1" style="position:absolute;left:4138295;top:736696;height:475690;width:1169035;" filled="f" stroked="f" coordsize="21600,21600" o:gfxdata="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4Y8v9tcA&#10;AAAFAQAADwAAAAAAAAABACAAAAAiAAAAZHJzL2Rvd25yZXYueG1sUEsBAhQAFAAAAAgAh07iQDlV&#10;FVYgAgAAJQQAAA4AAAAAAAAAAQAgAAAAJgEAAGRycy9lMm9Eb2MueG1sUEsFBgAAAAAGAAYAWQEA&#10;ALgFAAAAAA==&#10;">
                        <v:fill on="f" focussize="0,0"/>
                        <v:stroke on="f"/>
                        <v:imagedata o:title=""/>
                        <o:lock v:ext="edit" aspectratio="f"/>
                        <v:textbox>
                          <w:txbxContent>
                            <w:p>
                              <w:r>
                                <w:rPr>
                                  <w:rFonts w:hint="eastAsia" w:hAnsi="宋体"/>
                                </w:rPr>
                                <w:t>按政府要求堆放至指定地点</w:t>
                              </w:r>
                            </w:p>
                          </w:txbxContent>
                        </v:textbox>
                      </v:rect>
                      <w10:wrap type="none"/>
                      <w10:anchorlock/>
                    </v:group>
                  </w:pict>
                </mc:Fallback>
              </mc:AlternateContent>
            </w:r>
          </w:p>
          <w:p>
            <w:pPr>
              <w:pStyle w:val="38"/>
              <w:ind w:firstLine="482"/>
              <w:rPr>
                <w:b/>
                <w:color w:val="000000"/>
              </w:rPr>
            </w:pPr>
            <w:r>
              <w:rPr>
                <w:rFonts w:hint="eastAsia"/>
                <w:b/>
                <w:color w:val="000000"/>
              </w:rPr>
              <w:t>3、噪声</w:t>
            </w:r>
          </w:p>
          <w:p>
            <w:pPr>
              <w:pStyle w:val="38"/>
              <w:ind w:firstLine="482"/>
              <w:rPr>
                <w:b/>
                <w:color w:val="000000"/>
              </w:rPr>
            </w:pPr>
            <w:r>
              <w:rPr>
                <w:rFonts w:hint="eastAsia"/>
                <w:b/>
                <w:color w:val="000000"/>
              </w:rPr>
              <w:t>（1）厂区设备噪声产生情况、处理措施</w:t>
            </w:r>
          </w:p>
          <w:p>
            <w:pPr>
              <w:pStyle w:val="38"/>
              <w:ind w:firstLine="482"/>
              <w:rPr>
                <w:rFonts w:eastAsiaTheme="minorEastAsia"/>
                <w:b/>
                <w:color w:val="000000"/>
              </w:rPr>
            </w:pPr>
            <w:r>
              <w:rPr>
                <w:rFonts w:hint="eastAsia"/>
                <w:b/>
                <w:color w:val="000000"/>
              </w:rPr>
              <w:t>1）源强分析</w:t>
            </w:r>
          </w:p>
          <w:p>
            <w:pPr>
              <w:adjustRightInd w:val="0"/>
              <w:snapToGrid w:val="0"/>
              <w:spacing w:line="360" w:lineRule="auto"/>
              <w:ind w:firstLine="480" w:firstLineChars="200"/>
              <w:rPr>
                <w:color w:val="000000"/>
                <w:sz w:val="24"/>
              </w:rPr>
            </w:pPr>
            <w:r>
              <w:rPr>
                <w:rFonts w:hint="eastAsia"/>
                <w:color w:val="000000"/>
                <w:sz w:val="24"/>
              </w:rPr>
              <w:t>项目运营期</w:t>
            </w:r>
            <w:r>
              <w:rPr>
                <w:color w:val="000000"/>
                <w:sz w:val="24"/>
              </w:rPr>
              <w:t>噪声主要</w:t>
            </w:r>
            <w:r>
              <w:rPr>
                <w:rFonts w:hint="eastAsia"/>
                <w:color w:val="000000"/>
                <w:sz w:val="24"/>
              </w:rPr>
              <w:t>来源于新增的各类机械设备，如破碎机、筛分机和制砂机等</w:t>
            </w:r>
            <w:r>
              <w:rPr>
                <w:color w:val="000000"/>
                <w:sz w:val="24"/>
              </w:rPr>
              <w:t>，噪声源源强值如下</w:t>
            </w:r>
            <w:r>
              <w:rPr>
                <w:rFonts w:hint="eastAsia"/>
                <w:color w:val="000000"/>
                <w:sz w:val="24"/>
              </w:rPr>
              <w:t>表所示</w:t>
            </w:r>
            <w:r>
              <w:rPr>
                <w:color w:val="000000"/>
                <w:sz w:val="24"/>
              </w:rPr>
              <w:t>。</w:t>
            </w:r>
          </w:p>
          <w:p>
            <w:pPr>
              <w:autoSpaceDE w:val="0"/>
              <w:autoSpaceDN w:val="0"/>
              <w:adjustRightInd w:val="0"/>
              <w:jc w:val="center"/>
              <w:rPr>
                <w:rFonts w:cs="宋体"/>
                <w:b/>
                <w:color w:val="000000"/>
              </w:rPr>
            </w:pPr>
            <w:r>
              <w:rPr>
                <w:rFonts w:cs="宋体"/>
                <w:b/>
                <w:color w:val="000000"/>
              </w:rPr>
              <w:t>表</w:t>
            </w:r>
            <w:r>
              <w:rPr>
                <w:rFonts w:hint="eastAsia" w:cs="宋体"/>
                <w:b/>
                <w:color w:val="000000"/>
              </w:rPr>
              <w:t>4-</w:t>
            </w:r>
            <w:r>
              <w:rPr>
                <w:rFonts w:cs="宋体"/>
                <w:b/>
                <w:color w:val="000000"/>
              </w:rPr>
              <w:t>8 主要噪声源特性表</w:t>
            </w:r>
          </w:p>
          <w:tbl>
            <w:tblPr>
              <w:tblStyle w:val="14"/>
              <w:tblW w:w="850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66"/>
              <w:gridCol w:w="1128"/>
              <w:gridCol w:w="709"/>
              <w:gridCol w:w="708"/>
              <w:gridCol w:w="520"/>
              <w:gridCol w:w="521"/>
              <w:gridCol w:w="521"/>
              <w:gridCol w:w="478"/>
              <w:gridCol w:w="478"/>
              <w:gridCol w:w="479"/>
              <w:gridCol w:w="478"/>
              <w:gridCol w:w="478"/>
              <w:gridCol w:w="479"/>
              <w:gridCol w:w="478"/>
              <w:gridCol w:w="4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66" w:type="dxa"/>
                  <w:vMerge w:val="restart"/>
                  <w:vAlign w:val="center"/>
                </w:tcPr>
                <w:p>
                  <w:pPr>
                    <w:pStyle w:val="36"/>
                    <w:rPr>
                      <w:b/>
                      <w:color w:val="000000"/>
                    </w:rPr>
                  </w:pPr>
                  <w:r>
                    <w:rPr>
                      <w:rFonts w:hint="eastAsia"/>
                      <w:b/>
                      <w:color w:val="000000"/>
                    </w:rPr>
                    <w:t>建筑物名称</w:t>
                  </w:r>
                </w:p>
              </w:tc>
              <w:tc>
                <w:tcPr>
                  <w:tcW w:w="1128" w:type="dxa"/>
                  <w:vMerge w:val="restart"/>
                  <w:vAlign w:val="center"/>
                </w:tcPr>
                <w:p>
                  <w:pPr>
                    <w:pStyle w:val="36"/>
                    <w:rPr>
                      <w:b/>
                      <w:color w:val="000000"/>
                    </w:rPr>
                  </w:pPr>
                  <w:r>
                    <w:rPr>
                      <w:rFonts w:hint="eastAsia"/>
                      <w:b/>
                      <w:color w:val="000000"/>
                    </w:rPr>
                    <w:t>声源名称</w:t>
                  </w:r>
                </w:p>
              </w:tc>
              <w:tc>
                <w:tcPr>
                  <w:tcW w:w="709" w:type="dxa"/>
                  <w:vMerge w:val="restart"/>
                  <w:vAlign w:val="center"/>
                </w:tcPr>
                <w:p>
                  <w:pPr>
                    <w:pStyle w:val="36"/>
                    <w:rPr>
                      <w:b/>
                      <w:color w:val="000000"/>
                    </w:rPr>
                  </w:pPr>
                  <w:r>
                    <w:rPr>
                      <w:rFonts w:hint="eastAsia"/>
                      <w:b/>
                      <w:color w:val="000000"/>
                    </w:rPr>
                    <w:t>声功率级/dB（A）</w:t>
                  </w:r>
                </w:p>
              </w:tc>
              <w:tc>
                <w:tcPr>
                  <w:tcW w:w="708" w:type="dxa"/>
                  <w:vMerge w:val="restart"/>
                  <w:vAlign w:val="center"/>
                </w:tcPr>
                <w:p>
                  <w:pPr>
                    <w:pStyle w:val="36"/>
                    <w:rPr>
                      <w:b/>
                      <w:color w:val="000000"/>
                    </w:rPr>
                  </w:pPr>
                  <w:r>
                    <w:rPr>
                      <w:rFonts w:hint="eastAsia"/>
                      <w:b/>
                      <w:color w:val="000000"/>
                    </w:rPr>
                    <w:t>声源控制措施</w:t>
                  </w:r>
                </w:p>
              </w:tc>
              <w:tc>
                <w:tcPr>
                  <w:tcW w:w="1562" w:type="dxa"/>
                  <w:gridSpan w:val="3"/>
                  <w:vAlign w:val="center"/>
                </w:tcPr>
                <w:p>
                  <w:pPr>
                    <w:pStyle w:val="36"/>
                    <w:rPr>
                      <w:b/>
                      <w:color w:val="000000"/>
                    </w:rPr>
                  </w:pPr>
                  <w:r>
                    <w:rPr>
                      <w:rFonts w:hint="eastAsia"/>
                      <w:b/>
                      <w:color w:val="000000"/>
                    </w:rPr>
                    <w:t>空间相对位置/m</w:t>
                  </w:r>
                </w:p>
              </w:tc>
              <w:tc>
                <w:tcPr>
                  <w:tcW w:w="1913" w:type="dxa"/>
                  <w:gridSpan w:val="4"/>
                  <w:vAlign w:val="center"/>
                </w:tcPr>
                <w:p>
                  <w:pPr>
                    <w:pStyle w:val="36"/>
                    <w:rPr>
                      <w:b/>
                      <w:color w:val="000000"/>
                    </w:rPr>
                  </w:pPr>
                  <w:r>
                    <w:rPr>
                      <w:rFonts w:hint="eastAsia"/>
                      <w:b/>
                      <w:color w:val="000000"/>
                    </w:rPr>
                    <w:t>距室内边界距离/m</w:t>
                  </w:r>
                </w:p>
              </w:tc>
              <w:tc>
                <w:tcPr>
                  <w:tcW w:w="1914" w:type="dxa"/>
                  <w:gridSpan w:val="4"/>
                  <w:vAlign w:val="center"/>
                </w:tcPr>
                <w:p>
                  <w:pPr>
                    <w:pStyle w:val="36"/>
                    <w:rPr>
                      <w:b/>
                      <w:color w:val="000000"/>
                    </w:rPr>
                  </w:pPr>
                  <w:r>
                    <w:rPr>
                      <w:rFonts w:hint="eastAsia"/>
                      <w:b/>
                      <w:color w:val="000000"/>
                    </w:rPr>
                    <w:t>室内边界声级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66" w:type="dxa"/>
                  <w:vMerge w:val="continue"/>
                  <w:vAlign w:val="center"/>
                </w:tcPr>
                <w:p>
                  <w:pPr>
                    <w:pStyle w:val="36"/>
                    <w:rPr>
                      <w:b/>
                      <w:color w:val="000000"/>
                    </w:rPr>
                  </w:pPr>
                </w:p>
              </w:tc>
              <w:tc>
                <w:tcPr>
                  <w:tcW w:w="1128" w:type="dxa"/>
                  <w:vMerge w:val="continue"/>
                  <w:vAlign w:val="center"/>
                </w:tcPr>
                <w:p>
                  <w:pPr>
                    <w:pStyle w:val="36"/>
                    <w:rPr>
                      <w:b/>
                      <w:color w:val="000000"/>
                    </w:rPr>
                  </w:pPr>
                </w:p>
              </w:tc>
              <w:tc>
                <w:tcPr>
                  <w:tcW w:w="709" w:type="dxa"/>
                  <w:vMerge w:val="continue"/>
                  <w:vAlign w:val="center"/>
                </w:tcPr>
                <w:p>
                  <w:pPr>
                    <w:pStyle w:val="36"/>
                    <w:rPr>
                      <w:b/>
                      <w:color w:val="000000"/>
                    </w:rPr>
                  </w:pPr>
                </w:p>
              </w:tc>
              <w:tc>
                <w:tcPr>
                  <w:tcW w:w="708" w:type="dxa"/>
                  <w:vMerge w:val="continue"/>
                  <w:vAlign w:val="center"/>
                </w:tcPr>
                <w:p>
                  <w:pPr>
                    <w:pStyle w:val="36"/>
                    <w:rPr>
                      <w:b/>
                      <w:color w:val="000000"/>
                    </w:rPr>
                  </w:pPr>
                </w:p>
              </w:tc>
              <w:tc>
                <w:tcPr>
                  <w:tcW w:w="520" w:type="dxa"/>
                  <w:vAlign w:val="center"/>
                </w:tcPr>
                <w:p>
                  <w:pPr>
                    <w:pStyle w:val="36"/>
                    <w:rPr>
                      <w:b/>
                      <w:color w:val="000000"/>
                    </w:rPr>
                  </w:pPr>
                  <w:r>
                    <w:rPr>
                      <w:rFonts w:hint="eastAsia"/>
                      <w:b/>
                      <w:color w:val="000000"/>
                    </w:rPr>
                    <w:t>X</w:t>
                  </w:r>
                </w:p>
              </w:tc>
              <w:tc>
                <w:tcPr>
                  <w:tcW w:w="521" w:type="dxa"/>
                  <w:vAlign w:val="center"/>
                </w:tcPr>
                <w:p>
                  <w:pPr>
                    <w:pStyle w:val="36"/>
                    <w:rPr>
                      <w:b/>
                      <w:color w:val="000000"/>
                    </w:rPr>
                  </w:pPr>
                  <w:r>
                    <w:rPr>
                      <w:rFonts w:hint="eastAsia"/>
                      <w:b/>
                      <w:color w:val="000000"/>
                    </w:rPr>
                    <w:t>Y</w:t>
                  </w:r>
                </w:p>
              </w:tc>
              <w:tc>
                <w:tcPr>
                  <w:tcW w:w="521" w:type="dxa"/>
                  <w:vAlign w:val="center"/>
                </w:tcPr>
                <w:p>
                  <w:pPr>
                    <w:pStyle w:val="36"/>
                    <w:rPr>
                      <w:b/>
                      <w:color w:val="000000"/>
                    </w:rPr>
                  </w:pPr>
                  <w:r>
                    <w:rPr>
                      <w:rFonts w:hint="eastAsia"/>
                      <w:b/>
                      <w:color w:val="000000"/>
                    </w:rPr>
                    <w:t>Z</w:t>
                  </w:r>
                </w:p>
              </w:tc>
              <w:tc>
                <w:tcPr>
                  <w:tcW w:w="478" w:type="dxa"/>
                  <w:vAlign w:val="center"/>
                </w:tcPr>
                <w:p>
                  <w:pPr>
                    <w:pStyle w:val="36"/>
                    <w:rPr>
                      <w:b/>
                      <w:color w:val="000000"/>
                    </w:rPr>
                  </w:pPr>
                  <w:r>
                    <w:rPr>
                      <w:rFonts w:hint="eastAsia"/>
                      <w:b/>
                      <w:color w:val="000000"/>
                    </w:rPr>
                    <w:t>东</w:t>
                  </w:r>
                </w:p>
              </w:tc>
              <w:tc>
                <w:tcPr>
                  <w:tcW w:w="478" w:type="dxa"/>
                  <w:vAlign w:val="center"/>
                </w:tcPr>
                <w:p>
                  <w:pPr>
                    <w:pStyle w:val="36"/>
                    <w:rPr>
                      <w:b/>
                      <w:color w:val="000000"/>
                    </w:rPr>
                  </w:pPr>
                  <w:r>
                    <w:rPr>
                      <w:rFonts w:hint="eastAsia"/>
                      <w:b/>
                      <w:color w:val="000000"/>
                    </w:rPr>
                    <w:t>南</w:t>
                  </w:r>
                </w:p>
              </w:tc>
              <w:tc>
                <w:tcPr>
                  <w:tcW w:w="479" w:type="dxa"/>
                  <w:vAlign w:val="center"/>
                </w:tcPr>
                <w:p>
                  <w:pPr>
                    <w:pStyle w:val="36"/>
                    <w:rPr>
                      <w:b/>
                      <w:color w:val="000000"/>
                    </w:rPr>
                  </w:pPr>
                  <w:r>
                    <w:rPr>
                      <w:rFonts w:hint="eastAsia"/>
                      <w:b/>
                      <w:color w:val="000000"/>
                    </w:rPr>
                    <w:t>西</w:t>
                  </w:r>
                </w:p>
              </w:tc>
              <w:tc>
                <w:tcPr>
                  <w:tcW w:w="478" w:type="dxa"/>
                  <w:vAlign w:val="center"/>
                </w:tcPr>
                <w:p>
                  <w:pPr>
                    <w:pStyle w:val="36"/>
                    <w:rPr>
                      <w:b/>
                      <w:color w:val="000000"/>
                    </w:rPr>
                  </w:pPr>
                  <w:r>
                    <w:rPr>
                      <w:rFonts w:hint="eastAsia"/>
                      <w:b/>
                      <w:color w:val="000000"/>
                    </w:rPr>
                    <w:t>北</w:t>
                  </w:r>
                </w:p>
              </w:tc>
              <w:tc>
                <w:tcPr>
                  <w:tcW w:w="478" w:type="dxa"/>
                  <w:vAlign w:val="center"/>
                </w:tcPr>
                <w:p>
                  <w:pPr>
                    <w:pStyle w:val="36"/>
                    <w:rPr>
                      <w:b/>
                      <w:color w:val="000000"/>
                    </w:rPr>
                  </w:pPr>
                  <w:r>
                    <w:rPr>
                      <w:rFonts w:hint="eastAsia"/>
                      <w:b/>
                      <w:color w:val="000000"/>
                    </w:rPr>
                    <w:t>东</w:t>
                  </w:r>
                </w:p>
              </w:tc>
              <w:tc>
                <w:tcPr>
                  <w:tcW w:w="479" w:type="dxa"/>
                  <w:vAlign w:val="center"/>
                </w:tcPr>
                <w:p>
                  <w:pPr>
                    <w:pStyle w:val="36"/>
                    <w:rPr>
                      <w:b/>
                      <w:color w:val="000000"/>
                    </w:rPr>
                  </w:pPr>
                  <w:r>
                    <w:rPr>
                      <w:rFonts w:hint="eastAsia"/>
                      <w:b/>
                      <w:color w:val="000000"/>
                    </w:rPr>
                    <w:t>南</w:t>
                  </w:r>
                </w:p>
              </w:tc>
              <w:tc>
                <w:tcPr>
                  <w:tcW w:w="478" w:type="dxa"/>
                  <w:vAlign w:val="center"/>
                </w:tcPr>
                <w:p>
                  <w:pPr>
                    <w:pStyle w:val="36"/>
                    <w:rPr>
                      <w:b/>
                      <w:color w:val="000000"/>
                    </w:rPr>
                  </w:pPr>
                  <w:r>
                    <w:rPr>
                      <w:rFonts w:hint="eastAsia"/>
                      <w:b/>
                      <w:color w:val="000000"/>
                    </w:rPr>
                    <w:t>西</w:t>
                  </w:r>
                </w:p>
              </w:tc>
              <w:tc>
                <w:tcPr>
                  <w:tcW w:w="479" w:type="dxa"/>
                  <w:vAlign w:val="center"/>
                </w:tcPr>
                <w:p>
                  <w:pPr>
                    <w:pStyle w:val="36"/>
                    <w:rPr>
                      <w:b/>
                      <w:color w:val="000000"/>
                    </w:rPr>
                  </w:pPr>
                  <w:r>
                    <w:rPr>
                      <w:rFonts w:hint="eastAsia"/>
                      <w:b/>
                      <w:color w:val="000000"/>
                    </w:rPr>
                    <w:t>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66" w:type="dxa"/>
                  <w:vMerge w:val="restart"/>
                  <w:vAlign w:val="center"/>
                </w:tcPr>
                <w:p>
                  <w:pPr>
                    <w:pStyle w:val="36"/>
                    <w:rPr>
                      <w:color w:val="000000"/>
                    </w:rPr>
                  </w:pPr>
                  <w:r>
                    <w:rPr>
                      <w:rFonts w:hint="eastAsia"/>
                      <w:color w:val="000000"/>
                    </w:rPr>
                    <w:t>生产车间</w:t>
                  </w:r>
                </w:p>
              </w:tc>
              <w:tc>
                <w:tcPr>
                  <w:tcW w:w="1128" w:type="dxa"/>
                  <w:vAlign w:val="center"/>
                </w:tcPr>
                <w:p>
                  <w:pPr>
                    <w:jc w:val="center"/>
                    <w:rPr>
                      <w:color w:val="000000"/>
                      <w:kern w:val="0"/>
                      <w:szCs w:val="21"/>
                    </w:rPr>
                  </w:pPr>
                  <w:r>
                    <w:rPr>
                      <w:rFonts w:hint="eastAsia"/>
                    </w:rPr>
                    <w:t>洗砂</w:t>
                  </w:r>
                  <w:r>
                    <w:t>机</w:t>
                  </w:r>
                </w:p>
              </w:tc>
              <w:tc>
                <w:tcPr>
                  <w:tcW w:w="709" w:type="dxa"/>
                  <w:vAlign w:val="center"/>
                </w:tcPr>
                <w:p>
                  <w:pPr>
                    <w:jc w:val="center"/>
                    <w:rPr>
                      <w:color w:val="000000"/>
                      <w:szCs w:val="21"/>
                    </w:rPr>
                  </w:pPr>
                  <w:r>
                    <w:rPr>
                      <w:color w:val="000000"/>
                      <w:szCs w:val="21"/>
                    </w:rPr>
                    <w:t>85</w:t>
                  </w:r>
                </w:p>
              </w:tc>
              <w:tc>
                <w:tcPr>
                  <w:tcW w:w="708" w:type="dxa"/>
                  <w:vMerge w:val="restart"/>
                  <w:vAlign w:val="center"/>
                </w:tcPr>
                <w:p>
                  <w:pPr>
                    <w:pStyle w:val="36"/>
                    <w:rPr>
                      <w:color w:val="000000"/>
                    </w:rPr>
                  </w:pPr>
                  <w:r>
                    <w:rPr>
                      <w:rFonts w:hint="eastAsia"/>
                    </w:rPr>
                    <w:t>合理布局、基座减振、距离衰减</w:t>
                  </w:r>
                </w:p>
              </w:tc>
              <w:tc>
                <w:tcPr>
                  <w:tcW w:w="520" w:type="dxa"/>
                  <w:vAlign w:val="center"/>
                </w:tcPr>
                <w:p>
                  <w:pPr>
                    <w:jc w:val="center"/>
                    <w:rPr>
                      <w:color w:val="000000"/>
                      <w:szCs w:val="21"/>
                    </w:rPr>
                  </w:pPr>
                  <w:r>
                    <w:rPr>
                      <w:rFonts w:hint="eastAsia"/>
                      <w:color w:val="000000"/>
                      <w:szCs w:val="21"/>
                    </w:rPr>
                    <w:t>-</w:t>
                  </w:r>
                  <w:r>
                    <w:rPr>
                      <w:color w:val="000000"/>
                      <w:szCs w:val="21"/>
                    </w:rPr>
                    <w:t>27</w:t>
                  </w:r>
                </w:p>
              </w:tc>
              <w:tc>
                <w:tcPr>
                  <w:tcW w:w="521" w:type="dxa"/>
                  <w:vAlign w:val="center"/>
                </w:tcPr>
                <w:p>
                  <w:pPr>
                    <w:jc w:val="center"/>
                    <w:rPr>
                      <w:color w:val="000000"/>
                      <w:szCs w:val="21"/>
                    </w:rPr>
                  </w:pPr>
                  <w:r>
                    <w:rPr>
                      <w:rFonts w:hint="eastAsia"/>
                      <w:color w:val="000000"/>
                      <w:szCs w:val="21"/>
                    </w:rPr>
                    <w:t>-</w:t>
                  </w:r>
                  <w:r>
                    <w:rPr>
                      <w:color w:val="000000"/>
                      <w:szCs w:val="21"/>
                    </w:rPr>
                    <w:t>32</w:t>
                  </w:r>
                </w:p>
              </w:tc>
              <w:tc>
                <w:tcPr>
                  <w:tcW w:w="521" w:type="dxa"/>
                  <w:vAlign w:val="center"/>
                </w:tcPr>
                <w:p>
                  <w:pPr>
                    <w:jc w:val="center"/>
                    <w:rPr>
                      <w:color w:val="000000"/>
                      <w:szCs w:val="21"/>
                    </w:rPr>
                  </w:pPr>
                  <w:r>
                    <w:rPr>
                      <w:color w:val="000000"/>
                      <w:szCs w:val="21"/>
                    </w:rPr>
                    <w:t>2</w:t>
                  </w:r>
                </w:p>
              </w:tc>
              <w:tc>
                <w:tcPr>
                  <w:tcW w:w="478" w:type="dxa"/>
                  <w:vAlign w:val="center"/>
                </w:tcPr>
                <w:p>
                  <w:pPr>
                    <w:pStyle w:val="36"/>
                    <w:rPr>
                      <w:color w:val="000000"/>
                    </w:rPr>
                  </w:pPr>
                  <w:r>
                    <w:rPr>
                      <w:rFonts w:hint="eastAsia"/>
                      <w:color w:val="000000"/>
                    </w:rPr>
                    <w:t>1</w:t>
                  </w:r>
                  <w:r>
                    <w:rPr>
                      <w:color w:val="000000"/>
                    </w:rPr>
                    <w:t>5</w:t>
                  </w:r>
                </w:p>
              </w:tc>
              <w:tc>
                <w:tcPr>
                  <w:tcW w:w="478" w:type="dxa"/>
                  <w:vAlign w:val="center"/>
                </w:tcPr>
                <w:p>
                  <w:pPr>
                    <w:pStyle w:val="36"/>
                    <w:rPr>
                      <w:color w:val="000000"/>
                    </w:rPr>
                  </w:pPr>
                  <w:r>
                    <w:rPr>
                      <w:rFonts w:hint="eastAsia"/>
                      <w:color w:val="000000"/>
                    </w:rPr>
                    <w:t>9</w:t>
                  </w:r>
                </w:p>
              </w:tc>
              <w:tc>
                <w:tcPr>
                  <w:tcW w:w="479" w:type="dxa"/>
                  <w:vAlign w:val="center"/>
                </w:tcPr>
                <w:p>
                  <w:pPr>
                    <w:pStyle w:val="36"/>
                    <w:rPr>
                      <w:color w:val="000000"/>
                    </w:rPr>
                  </w:pPr>
                  <w:r>
                    <w:rPr>
                      <w:rFonts w:hint="eastAsia"/>
                      <w:color w:val="000000"/>
                    </w:rPr>
                    <w:t>1</w:t>
                  </w:r>
                  <w:r>
                    <w:rPr>
                      <w:color w:val="000000"/>
                    </w:rPr>
                    <w:t>0</w:t>
                  </w:r>
                </w:p>
              </w:tc>
              <w:tc>
                <w:tcPr>
                  <w:tcW w:w="478" w:type="dxa"/>
                  <w:vAlign w:val="center"/>
                </w:tcPr>
                <w:p>
                  <w:pPr>
                    <w:jc w:val="center"/>
                  </w:pPr>
                  <w:r>
                    <w:rPr>
                      <w:rFonts w:hint="eastAsia"/>
                    </w:rPr>
                    <w:t>6</w:t>
                  </w:r>
                  <w:r>
                    <w:t>6</w:t>
                  </w:r>
                </w:p>
              </w:tc>
              <w:tc>
                <w:tcPr>
                  <w:tcW w:w="478" w:type="dxa"/>
                  <w:vAlign w:val="center"/>
                </w:tcPr>
                <w:p>
                  <w:pPr>
                    <w:jc w:val="center"/>
                  </w:pPr>
                  <w:r>
                    <w:t>46.5</w:t>
                  </w:r>
                </w:p>
              </w:tc>
              <w:tc>
                <w:tcPr>
                  <w:tcW w:w="479" w:type="dxa"/>
                  <w:vAlign w:val="center"/>
                </w:tcPr>
                <w:p>
                  <w:pPr>
                    <w:jc w:val="center"/>
                  </w:pPr>
                  <w:r>
                    <w:t>50.9</w:t>
                  </w:r>
                </w:p>
              </w:tc>
              <w:tc>
                <w:tcPr>
                  <w:tcW w:w="478" w:type="dxa"/>
                  <w:vAlign w:val="center"/>
                </w:tcPr>
                <w:p>
                  <w:pPr>
                    <w:jc w:val="center"/>
                  </w:pPr>
                  <w:r>
                    <w:t>50.0</w:t>
                  </w:r>
                </w:p>
              </w:tc>
              <w:tc>
                <w:tcPr>
                  <w:tcW w:w="479" w:type="dxa"/>
                  <w:vAlign w:val="center"/>
                </w:tcPr>
                <w:p>
                  <w:pPr>
                    <w:jc w:val="center"/>
                  </w:pPr>
                  <w:r>
                    <w:t>33.6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66" w:type="dxa"/>
                  <w:vMerge w:val="continue"/>
                  <w:vAlign w:val="center"/>
                </w:tcPr>
                <w:p>
                  <w:pPr>
                    <w:pStyle w:val="36"/>
                    <w:rPr>
                      <w:color w:val="000000"/>
                    </w:rPr>
                  </w:pPr>
                </w:p>
              </w:tc>
              <w:tc>
                <w:tcPr>
                  <w:tcW w:w="1128" w:type="dxa"/>
                  <w:vAlign w:val="center"/>
                </w:tcPr>
                <w:p>
                  <w:pPr>
                    <w:jc w:val="center"/>
                    <w:rPr>
                      <w:color w:val="000000"/>
                      <w:kern w:val="0"/>
                      <w:szCs w:val="21"/>
                    </w:rPr>
                  </w:pPr>
                  <w:r>
                    <w:rPr>
                      <w:rFonts w:hint="eastAsia"/>
                    </w:rPr>
                    <w:t>颚式破碎机</w:t>
                  </w:r>
                </w:p>
              </w:tc>
              <w:tc>
                <w:tcPr>
                  <w:tcW w:w="709" w:type="dxa"/>
                  <w:vAlign w:val="center"/>
                </w:tcPr>
                <w:p>
                  <w:pPr>
                    <w:jc w:val="center"/>
                    <w:rPr>
                      <w:color w:val="000000"/>
                      <w:szCs w:val="21"/>
                    </w:rPr>
                  </w:pPr>
                  <w:r>
                    <w:rPr>
                      <w:color w:val="000000"/>
                      <w:szCs w:val="21"/>
                    </w:rPr>
                    <w:t>90</w:t>
                  </w:r>
                </w:p>
              </w:tc>
              <w:tc>
                <w:tcPr>
                  <w:tcW w:w="708" w:type="dxa"/>
                  <w:vMerge w:val="continue"/>
                  <w:vAlign w:val="center"/>
                </w:tcPr>
                <w:p>
                  <w:pPr>
                    <w:pStyle w:val="36"/>
                    <w:rPr>
                      <w:color w:val="000000"/>
                    </w:rPr>
                  </w:pPr>
                </w:p>
              </w:tc>
              <w:tc>
                <w:tcPr>
                  <w:tcW w:w="520" w:type="dxa"/>
                  <w:vAlign w:val="center"/>
                </w:tcPr>
                <w:p>
                  <w:pPr>
                    <w:jc w:val="center"/>
                    <w:rPr>
                      <w:color w:val="000000"/>
                      <w:szCs w:val="21"/>
                    </w:rPr>
                  </w:pPr>
                  <w:r>
                    <w:rPr>
                      <w:rFonts w:hint="eastAsia"/>
                      <w:color w:val="000000"/>
                      <w:szCs w:val="21"/>
                    </w:rPr>
                    <w:t>-</w:t>
                  </w:r>
                  <w:r>
                    <w:rPr>
                      <w:color w:val="000000"/>
                      <w:szCs w:val="21"/>
                    </w:rPr>
                    <w:t>27</w:t>
                  </w:r>
                </w:p>
              </w:tc>
              <w:tc>
                <w:tcPr>
                  <w:tcW w:w="521" w:type="dxa"/>
                  <w:vAlign w:val="center"/>
                </w:tcPr>
                <w:p>
                  <w:pPr>
                    <w:jc w:val="center"/>
                    <w:rPr>
                      <w:color w:val="000000"/>
                      <w:szCs w:val="21"/>
                    </w:rPr>
                  </w:pPr>
                  <w:r>
                    <w:rPr>
                      <w:color w:val="000000"/>
                      <w:szCs w:val="21"/>
                    </w:rPr>
                    <w:t>-35</w:t>
                  </w:r>
                </w:p>
              </w:tc>
              <w:tc>
                <w:tcPr>
                  <w:tcW w:w="521" w:type="dxa"/>
                  <w:vAlign w:val="center"/>
                </w:tcPr>
                <w:p>
                  <w:pPr>
                    <w:jc w:val="center"/>
                    <w:rPr>
                      <w:color w:val="000000"/>
                      <w:szCs w:val="21"/>
                    </w:rPr>
                  </w:pPr>
                  <w:r>
                    <w:rPr>
                      <w:color w:val="000000"/>
                      <w:szCs w:val="21"/>
                    </w:rPr>
                    <w:t>2</w:t>
                  </w:r>
                </w:p>
              </w:tc>
              <w:tc>
                <w:tcPr>
                  <w:tcW w:w="478" w:type="dxa"/>
                  <w:vAlign w:val="center"/>
                </w:tcPr>
                <w:p>
                  <w:pPr>
                    <w:pStyle w:val="36"/>
                    <w:rPr>
                      <w:color w:val="000000"/>
                    </w:rPr>
                  </w:pPr>
                  <w:r>
                    <w:rPr>
                      <w:rFonts w:hint="eastAsia"/>
                      <w:color w:val="000000"/>
                    </w:rPr>
                    <w:t>6</w:t>
                  </w:r>
                </w:p>
              </w:tc>
              <w:tc>
                <w:tcPr>
                  <w:tcW w:w="478" w:type="dxa"/>
                  <w:vAlign w:val="center"/>
                </w:tcPr>
                <w:p>
                  <w:pPr>
                    <w:pStyle w:val="36"/>
                    <w:rPr>
                      <w:color w:val="000000"/>
                    </w:rPr>
                  </w:pPr>
                  <w:r>
                    <w:rPr>
                      <w:color w:val="000000"/>
                    </w:rPr>
                    <w:t>9</w:t>
                  </w:r>
                </w:p>
              </w:tc>
              <w:tc>
                <w:tcPr>
                  <w:tcW w:w="479" w:type="dxa"/>
                  <w:vAlign w:val="center"/>
                </w:tcPr>
                <w:p>
                  <w:pPr>
                    <w:pStyle w:val="36"/>
                    <w:rPr>
                      <w:color w:val="000000"/>
                    </w:rPr>
                  </w:pPr>
                  <w:r>
                    <w:rPr>
                      <w:rFonts w:hint="eastAsia"/>
                      <w:color w:val="000000"/>
                    </w:rPr>
                    <w:t>1</w:t>
                  </w:r>
                  <w:r>
                    <w:rPr>
                      <w:color w:val="000000"/>
                    </w:rPr>
                    <w:t>9</w:t>
                  </w:r>
                </w:p>
              </w:tc>
              <w:tc>
                <w:tcPr>
                  <w:tcW w:w="478" w:type="dxa"/>
                  <w:vAlign w:val="center"/>
                </w:tcPr>
                <w:p>
                  <w:pPr>
                    <w:jc w:val="center"/>
                  </w:pPr>
                  <w:r>
                    <w:rPr>
                      <w:rFonts w:hint="eastAsia"/>
                    </w:rPr>
                    <w:t>6</w:t>
                  </w:r>
                  <w:r>
                    <w:t>6</w:t>
                  </w:r>
                </w:p>
              </w:tc>
              <w:tc>
                <w:tcPr>
                  <w:tcW w:w="478" w:type="dxa"/>
                  <w:vAlign w:val="center"/>
                </w:tcPr>
                <w:p>
                  <w:pPr>
                    <w:jc w:val="center"/>
                  </w:pPr>
                  <w:r>
                    <w:t>59.4</w:t>
                  </w:r>
                </w:p>
              </w:tc>
              <w:tc>
                <w:tcPr>
                  <w:tcW w:w="479" w:type="dxa"/>
                  <w:vAlign w:val="center"/>
                </w:tcPr>
                <w:p>
                  <w:pPr>
                    <w:jc w:val="center"/>
                  </w:pPr>
                  <w:r>
                    <w:t>55.9</w:t>
                  </w:r>
                </w:p>
              </w:tc>
              <w:tc>
                <w:tcPr>
                  <w:tcW w:w="478" w:type="dxa"/>
                  <w:vAlign w:val="center"/>
                </w:tcPr>
                <w:p>
                  <w:pPr>
                    <w:jc w:val="center"/>
                  </w:pPr>
                  <w:r>
                    <w:t>49.4</w:t>
                  </w:r>
                </w:p>
              </w:tc>
              <w:tc>
                <w:tcPr>
                  <w:tcW w:w="479" w:type="dxa"/>
                  <w:vAlign w:val="center"/>
                </w:tcPr>
                <w:p>
                  <w:pPr>
                    <w:jc w:val="center"/>
                  </w:pPr>
                  <w:r>
                    <w:t>38.6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66" w:type="dxa"/>
                  <w:vMerge w:val="continue"/>
                  <w:vAlign w:val="center"/>
                </w:tcPr>
                <w:p>
                  <w:pPr>
                    <w:pStyle w:val="36"/>
                    <w:rPr>
                      <w:color w:val="000000"/>
                    </w:rPr>
                  </w:pPr>
                </w:p>
              </w:tc>
              <w:tc>
                <w:tcPr>
                  <w:tcW w:w="1128" w:type="dxa"/>
                  <w:vAlign w:val="center"/>
                </w:tcPr>
                <w:p>
                  <w:pPr>
                    <w:jc w:val="center"/>
                    <w:rPr>
                      <w:color w:val="000000"/>
                      <w:kern w:val="0"/>
                      <w:szCs w:val="21"/>
                    </w:rPr>
                  </w:pPr>
                  <w:r>
                    <w:rPr>
                      <w:rFonts w:hint="eastAsia"/>
                    </w:rPr>
                    <w:t>圆锥破碎机</w:t>
                  </w:r>
                </w:p>
              </w:tc>
              <w:tc>
                <w:tcPr>
                  <w:tcW w:w="709" w:type="dxa"/>
                  <w:vAlign w:val="center"/>
                </w:tcPr>
                <w:p>
                  <w:pPr>
                    <w:jc w:val="center"/>
                    <w:rPr>
                      <w:color w:val="000000"/>
                      <w:szCs w:val="21"/>
                    </w:rPr>
                  </w:pPr>
                  <w:r>
                    <w:rPr>
                      <w:color w:val="000000"/>
                      <w:szCs w:val="21"/>
                    </w:rPr>
                    <w:t>90</w:t>
                  </w:r>
                </w:p>
              </w:tc>
              <w:tc>
                <w:tcPr>
                  <w:tcW w:w="708" w:type="dxa"/>
                  <w:vMerge w:val="continue"/>
                  <w:vAlign w:val="center"/>
                </w:tcPr>
                <w:p>
                  <w:pPr>
                    <w:pStyle w:val="36"/>
                    <w:rPr>
                      <w:color w:val="000000"/>
                    </w:rPr>
                  </w:pPr>
                </w:p>
              </w:tc>
              <w:tc>
                <w:tcPr>
                  <w:tcW w:w="520" w:type="dxa"/>
                  <w:vAlign w:val="center"/>
                </w:tcPr>
                <w:p>
                  <w:pPr>
                    <w:jc w:val="center"/>
                    <w:rPr>
                      <w:color w:val="000000"/>
                      <w:szCs w:val="21"/>
                    </w:rPr>
                  </w:pPr>
                  <w:r>
                    <w:rPr>
                      <w:color w:val="000000"/>
                      <w:szCs w:val="21"/>
                    </w:rPr>
                    <w:t>28</w:t>
                  </w:r>
                </w:p>
              </w:tc>
              <w:tc>
                <w:tcPr>
                  <w:tcW w:w="521" w:type="dxa"/>
                  <w:vAlign w:val="center"/>
                </w:tcPr>
                <w:p>
                  <w:pPr>
                    <w:jc w:val="center"/>
                    <w:rPr>
                      <w:color w:val="000000"/>
                      <w:szCs w:val="21"/>
                    </w:rPr>
                  </w:pPr>
                  <w:r>
                    <w:rPr>
                      <w:rFonts w:hint="eastAsia"/>
                      <w:color w:val="000000"/>
                      <w:szCs w:val="21"/>
                    </w:rPr>
                    <w:t>-</w:t>
                  </w:r>
                  <w:r>
                    <w:rPr>
                      <w:color w:val="000000"/>
                      <w:szCs w:val="21"/>
                    </w:rPr>
                    <w:t>29</w:t>
                  </w:r>
                </w:p>
              </w:tc>
              <w:tc>
                <w:tcPr>
                  <w:tcW w:w="521" w:type="dxa"/>
                  <w:vAlign w:val="center"/>
                </w:tcPr>
                <w:p>
                  <w:pPr>
                    <w:jc w:val="center"/>
                    <w:rPr>
                      <w:color w:val="000000"/>
                      <w:szCs w:val="21"/>
                    </w:rPr>
                  </w:pPr>
                  <w:r>
                    <w:rPr>
                      <w:color w:val="000000"/>
                      <w:szCs w:val="21"/>
                    </w:rPr>
                    <w:t>2</w:t>
                  </w:r>
                </w:p>
              </w:tc>
              <w:tc>
                <w:tcPr>
                  <w:tcW w:w="478" w:type="dxa"/>
                  <w:vAlign w:val="center"/>
                </w:tcPr>
                <w:p>
                  <w:pPr>
                    <w:pStyle w:val="36"/>
                    <w:rPr>
                      <w:color w:val="000000"/>
                    </w:rPr>
                  </w:pPr>
                  <w:r>
                    <w:rPr>
                      <w:rFonts w:hint="eastAsia"/>
                      <w:color w:val="000000"/>
                    </w:rPr>
                    <w:t>1</w:t>
                  </w:r>
                  <w:r>
                    <w:rPr>
                      <w:color w:val="000000"/>
                    </w:rPr>
                    <w:t>2</w:t>
                  </w:r>
                </w:p>
              </w:tc>
              <w:tc>
                <w:tcPr>
                  <w:tcW w:w="478" w:type="dxa"/>
                  <w:vAlign w:val="center"/>
                </w:tcPr>
                <w:p>
                  <w:pPr>
                    <w:pStyle w:val="36"/>
                    <w:rPr>
                      <w:color w:val="000000"/>
                    </w:rPr>
                  </w:pPr>
                  <w:r>
                    <w:rPr>
                      <w:color w:val="000000"/>
                    </w:rPr>
                    <w:t>65</w:t>
                  </w:r>
                </w:p>
              </w:tc>
              <w:tc>
                <w:tcPr>
                  <w:tcW w:w="479" w:type="dxa"/>
                  <w:vAlign w:val="center"/>
                </w:tcPr>
                <w:p>
                  <w:pPr>
                    <w:pStyle w:val="36"/>
                    <w:rPr>
                      <w:color w:val="000000"/>
                    </w:rPr>
                  </w:pPr>
                  <w:r>
                    <w:rPr>
                      <w:color w:val="000000"/>
                    </w:rPr>
                    <w:t>13</w:t>
                  </w:r>
                </w:p>
              </w:tc>
              <w:tc>
                <w:tcPr>
                  <w:tcW w:w="478" w:type="dxa"/>
                  <w:vAlign w:val="center"/>
                </w:tcPr>
                <w:p>
                  <w:pPr>
                    <w:jc w:val="center"/>
                  </w:pPr>
                  <w:r>
                    <w:rPr>
                      <w:rFonts w:hint="eastAsia"/>
                    </w:rPr>
                    <w:t>1</w:t>
                  </w:r>
                  <w:r>
                    <w:t>0</w:t>
                  </w:r>
                </w:p>
              </w:tc>
              <w:tc>
                <w:tcPr>
                  <w:tcW w:w="478" w:type="dxa"/>
                  <w:vAlign w:val="center"/>
                </w:tcPr>
                <w:p>
                  <w:pPr>
                    <w:jc w:val="center"/>
                  </w:pPr>
                  <w:r>
                    <w:t>53.4</w:t>
                  </w:r>
                </w:p>
              </w:tc>
              <w:tc>
                <w:tcPr>
                  <w:tcW w:w="479" w:type="dxa"/>
                  <w:vAlign w:val="center"/>
                </w:tcPr>
                <w:p>
                  <w:pPr>
                    <w:jc w:val="center"/>
                  </w:pPr>
                  <w:r>
                    <w:t>38.7</w:t>
                  </w:r>
                </w:p>
              </w:tc>
              <w:tc>
                <w:tcPr>
                  <w:tcW w:w="478" w:type="dxa"/>
                  <w:vAlign w:val="center"/>
                </w:tcPr>
                <w:p>
                  <w:pPr>
                    <w:jc w:val="center"/>
                  </w:pPr>
                  <w:r>
                    <w:t>52.7</w:t>
                  </w:r>
                </w:p>
              </w:tc>
              <w:tc>
                <w:tcPr>
                  <w:tcW w:w="479" w:type="dxa"/>
                  <w:vAlign w:val="center"/>
                </w:tcPr>
                <w:p>
                  <w:pPr>
                    <w:jc w:val="center"/>
                  </w:pPr>
                  <w:r>
                    <w:t>55.0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66" w:type="dxa"/>
                  <w:vMerge w:val="continue"/>
                  <w:vAlign w:val="center"/>
                </w:tcPr>
                <w:p>
                  <w:pPr>
                    <w:pStyle w:val="36"/>
                    <w:rPr>
                      <w:color w:val="000000"/>
                    </w:rPr>
                  </w:pPr>
                </w:p>
              </w:tc>
              <w:tc>
                <w:tcPr>
                  <w:tcW w:w="1128" w:type="dxa"/>
                  <w:vAlign w:val="center"/>
                </w:tcPr>
                <w:p>
                  <w:pPr>
                    <w:jc w:val="center"/>
                    <w:rPr>
                      <w:color w:val="000000"/>
                      <w:kern w:val="0"/>
                      <w:szCs w:val="21"/>
                    </w:rPr>
                  </w:pPr>
                  <w:r>
                    <w:rPr>
                      <w:rFonts w:hint="eastAsia"/>
                    </w:rPr>
                    <w:t>1</w:t>
                  </w:r>
                  <w:r>
                    <w:t>#</w:t>
                  </w:r>
                  <w:r>
                    <w:rPr>
                      <w:rFonts w:hint="eastAsia"/>
                    </w:rPr>
                    <w:t>筛分机</w:t>
                  </w:r>
                </w:p>
              </w:tc>
              <w:tc>
                <w:tcPr>
                  <w:tcW w:w="709" w:type="dxa"/>
                  <w:vAlign w:val="center"/>
                </w:tcPr>
                <w:p>
                  <w:pPr>
                    <w:jc w:val="center"/>
                    <w:rPr>
                      <w:color w:val="000000"/>
                      <w:szCs w:val="21"/>
                    </w:rPr>
                  </w:pPr>
                  <w:r>
                    <w:rPr>
                      <w:color w:val="000000"/>
                      <w:szCs w:val="21"/>
                    </w:rPr>
                    <w:t>85</w:t>
                  </w:r>
                </w:p>
              </w:tc>
              <w:tc>
                <w:tcPr>
                  <w:tcW w:w="708" w:type="dxa"/>
                  <w:vMerge w:val="continue"/>
                  <w:vAlign w:val="center"/>
                </w:tcPr>
                <w:p>
                  <w:pPr>
                    <w:pStyle w:val="36"/>
                    <w:rPr>
                      <w:color w:val="000000"/>
                    </w:rPr>
                  </w:pPr>
                </w:p>
              </w:tc>
              <w:tc>
                <w:tcPr>
                  <w:tcW w:w="520" w:type="dxa"/>
                  <w:vAlign w:val="center"/>
                </w:tcPr>
                <w:p>
                  <w:pPr>
                    <w:jc w:val="center"/>
                    <w:rPr>
                      <w:color w:val="000000"/>
                      <w:szCs w:val="21"/>
                    </w:rPr>
                  </w:pPr>
                  <w:r>
                    <w:rPr>
                      <w:rFonts w:hint="eastAsia"/>
                      <w:color w:val="000000"/>
                      <w:szCs w:val="21"/>
                    </w:rPr>
                    <w:t>-</w:t>
                  </w:r>
                  <w:r>
                    <w:rPr>
                      <w:color w:val="000000"/>
                      <w:szCs w:val="21"/>
                    </w:rPr>
                    <w:t>24</w:t>
                  </w:r>
                </w:p>
              </w:tc>
              <w:tc>
                <w:tcPr>
                  <w:tcW w:w="521" w:type="dxa"/>
                  <w:vAlign w:val="center"/>
                </w:tcPr>
                <w:p>
                  <w:pPr>
                    <w:jc w:val="center"/>
                    <w:rPr>
                      <w:color w:val="000000"/>
                      <w:szCs w:val="21"/>
                    </w:rPr>
                  </w:pPr>
                  <w:r>
                    <w:rPr>
                      <w:rFonts w:hint="eastAsia"/>
                      <w:color w:val="000000"/>
                      <w:szCs w:val="21"/>
                    </w:rPr>
                    <w:t>-</w:t>
                  </w:r>
                  <w:r>
                    <w:rPr>
                      <w:color w:val="000000"/>
                      <w:szCs w:val="21"/>
                    </w:rPr>
                    <w:t>35</w:t>
                  </w:r>
                </w:p>
              </w:tc>
              <w:tc>
                <w:tcPr>
                  <w:tcW w:w="521" w:type="dxa"/>
                  <w:vAlign w:val="center"/>
                </w:tcPr>
                <w:p>
                  <w:pPr>
                    <w:jc w:val="center"/>
                    <w:rPr>
                      <w:color w:val="000000"/>
                      <w:szCs w:val="21"/>
                    </w:rPr>
                  </w:pPr>
                  <w:r>
                    <w:rPr>
                      <w:color w:val="000000"/>
                      <w:szCs w:val="21"/>
                    </w:rPr>
                    <w:t>2</w:t>
                  </w:r>
                </w:p>
              </w:tc>
              <w:tc>
                <w:tcPr>
                  <w:tcW w:w="478" w:type="dxa"/>
                  <w:vAlign w:val="center"/>
                </w:tcPr>
                <w:p>
                  <w:pPr>
                    <w:pStyle w:val="36"/>
                    <w:rPr>
                      <w:color w:val="000000"/>
                    </w:rPr>
                  </w:pPr>
                  <w:r>
                    <w:rPr>
                      <w:rFonts w:hint="eastAsia"/>
                      <w:color w:val="000000"/>
                    </w:rPr>
                    <w:t>6</w:t>
                  </w:r>
                </w:p>
              </w:tc>
              <w:tc>
                <w:tcPr>
                  <w:tcW w:w="478" w:type="dxa"/>
                  <w:vAlign w:val="center"/>
                </w:tcPr>
                <w:p>
                  <w:pPr>
                    <w:pStyle w:val="36"/>
                    <w:rPr>
                      <w:color w:val="000000"/>
                    </w:rPr>
                  </w:pPr>
                  <w:r>
                    <w:rPr>
                      <w:rFonts w:hint="eastAsia"/>
                      <w:color w:val="000000"/>
                    </w:rPr>
                    <w:t>1</w:t>
                  </w:r>
                  <w:r>
                    <w:rPr>
                      <w:color w:val="000000"/>
                    </w:rPr>
                    <w:t>2</w:t>
                  </w:r>
                </w:p>
              </w:tc>
              <w:tc>
                <w:tcPr>
                  <w:tcW w:w="479" w:type="dxa"/>
                  <w:vAlign w:val="center"/>
                </w:tcPr>
                <w:p>
                  <w:pPr>
                    <w:pStyle w:val="36"/>
                    <w:rPr>
                      <w:color w:val="000000"/>
                    </w:rPr>
                  </w:pPr>
                  <w:r>
                    <w:rPr>
                      <w:rFonts w:hint="eastAsia"/>
                      <w:color w:val="000000"/>
                    </w:rPr>
                    <w:t>1</w:t>
                  </w:r>
                  <w:r>
                    <w:rPr>
                      <w:color w:val="000000"/>
                    </w:rPr>
                    <w:t>9</w:t>
                  </w:r>
                </w:p>
              </w:tc>
              <w:tc>
                <w:tcPr>
                  <w:tcW w:w="478" w:type="dxa"/>
                  <w:vAlign w:val="center"/>
                </w:tcPr>
                <w:p>
                  <w:pPr>
                    <w:jc w:val="center"/>
                  </w:pPr>
                  <w:r>
                    <w:t>63</w:t>
                  </w:r>
                </w:p>
              </w:tc>
              <w:tc>
                <w:tcPr>
                  <w:tcW w:w="478" w:type="dxa"/>
                  <w:vAlign w:val="center"/>
                </w:tcPr>
                <w:p>
                  <w:pPr>
                    <w:jc w:val="center"/>
                  </w:pPr>
                  <w:r>
                    <w:t>54.4</w:t>
                  </w:r>
                </w:p>
              </w:tc>
              <w:tc>
                <w:tcPr>
                  <w:tcW w:w="479" w:type="dxa"/>
                  <w:vAlign w:val="center"/>
                </w:tcPr>
                <w:p>
                  <w:pPr>
                    <w:jc w:val="center"/>
                  </w:pPr>
                  <w:r>
                    <w:t>48.4</w:t>
                  </w:r>
                </w:p>
              </w:tc>
              <w:tc>
                <w:tcPr>
                  <w:tcW w:w="478" w:type="dxa"/>
                  <w:vAlign w:val="center"/>
                </w:tcPr>
                <w:p>
                  <w:pPr>
                    <w:jc w:val="center"/>
                  </w:pPr>
                  <w:r>
                    <w:t>44.4</w:t>
                  </w:r>
                </w:p>
              </w:tc>
              <w:tc>
                <w:tcPr>
                  <w:tcW w:w="479" w:type="dxa"/>
                  <w:vAlign w:val="center"/>
                </w:tcPr>
                <w:p>
                  <w:pPr>
                    <w:jc w:val="center"/>
                  </w:pPr>
                  <w:r>
                    <w:t>34.0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66" w:type="dxa"/>
                  <w:vMerge w:val="continue"/>
                  <w:vAlign w:val="center"/>
                </w:tcPr>
                <w:p>
                  <w:pPr>
                    <w:pStyle w:val="36"/>
                    <w:rPr>
                      <w:color w:val="000000"/>
                    </w:rPr>
                  </w:pPr>
                </w:p>
              </w:tc>
              <w:tc>
                <w:tcPr>
                  <w:tcW w:w="1128" w:type="dxa"/>
                  <w:vAlign w:val="center"/>
                </w:tcPr>
                <w:p>
                  <w:pPr>
                    <w:jc w:val="center"/>
                    <w:rPr>
                      <w:color w:val="000000"/>
                      <w:kern w:val="0"/>
                      <w:szCs w:val="21"/>
                    </w:rPr>
                  </w:pPr>
                  <w:r>
                    <w:t>2#</w:t>
                  </w:r>
                  <w:r>
                    <w:rPr>
                      <w:rFonts w:hint="eastAsia"/>
                    </w:rPr>
                    <w:t>筛分机</w:t>
                  </w:r>
                </w:p>
              </w:tc>
              <w:tc>
                <w:tcPr>
                  <w:tcW w:w="709" w:type="dxa"/>
                  <w:vAlign w:val="center"/>
                </w:tcPr>
                <w:p>
                  <w:pPr>
                    <w:jc w:val="center"/>
                    <w:rPr>
                      <w:color w:val="000000"/>
                      <w:szCs w:val="21"/>
                    </w:rPr>
                  </w:pPr>
                  <w:r>
                    <w:rPr>
                      <w:color w:val="000000"/>
                      <w:szCs w:val="21"/>
                    </w:rPr>
                    <w:t>85</w:t>
                  </w:r>
                </w:p>
              </w:tc>
              <w:tc>
                <w:tcPr>
                  <w:tcW w:w="708" w:type="dxa"/>
                  <w:vMerge w:val="continue"/>
                  <w:vAlign w:val="center"/>
                </w:tcPr>
                <w:p>
                  <w:pPr>
                    <w:pStyle w:val="36"/>
                    <w:rPr>
                      <w:color w:val="000000"/>
                    </w:rPr>
                  </w:pPr>
                </w:p>
              </w:tc>
              <w:tc>
                <w:tcPr>
                  <w:tcW w:w="520" w:type="dxa"/>
                  <w:vAlign w:val="center"/>
                </w:tcPr>
                <w:p>
                  <w:pPr>
                    <w:jc w:val="center"/>
                    <w:rPr>
                      <w:color w:val="000000"/>
                      <w:szCs w:val="21"/>
                    </w:rPr>
                  </w:pPr>
                  <w:r>
                    <w:rPr>
                      <w:rFonts w:hint="eastAsia"/>
                      <w:color w:val="000000"/>
                      <w:szCs w:val="21"/>
                    </w:rPr>
                    <w:t>-</w:t>
                  </w:r>
                  <w:r>
                    <w:rPr>
                      <w:color w:val="000000"/>
                      <w:szCs w:val="21"/>
                    </w:rPr>
                    <w:t>24</w:t>
                  </w:r>
                </w:p>
              </w:tc>
              <w:tc>
                <w:tcPr>
                  <w:tcW w:w="521" w:type="dxa"/>
                  <w:vAlign w:val="center"/>
                </w:tcPr>
                <w:p>
                  <w:pPr>
                    <w:jc w:val="center"/>
                    <w:rPr>
                      <w:color w:val="000000"/>
                      <w:szCs w:val="21"/>
                    </w:rPr>
                  </w:pPr>
                  <w:r>
                    <w:rPr>
                      <w:rFonts w:hint="eastAsia"/>
                      <w:color w:val="000000"/>
                      <w:szCs w:val="21"/>
                    </w:rPr>
                    <w:t>-</w:t>
                  </w:r>
                  <w:r>
                    <w:rPr>
                      <w:color w:val="000000"/>
                      <w:szCs w:val="21"/>
                    </w:rPr>
                    <w:t>29</w:t>
                  </w:r>
                </w:p>
              </w:tc>
              <w:tc>
                <w:tcPr>
                  <w:tcW w:w="521" w:type="dxa"/>
                  <w:vAlign w:val="center"/>
                </w:tcPr>
                <w:p>
                  <w:pPr>
                    <w:jc w:val="center"/>
                    <w:rPr>
                      <w:color w:val="000000"/>
                      <w:szCs w:val="21"/>
                    </w:rPr>
                  </w:pPr>
                  <w:r>
                    <w:rPr>
                      <w:color w:val="000000"/>
                      <w:szCs w:val="21"/>
                    </w:rPr>
                    <w:t>2</w:t>
                  </w:r>
                </w:p>
              </w:tc>
              <w:tc>
                <w:tcPr>
                  <w:tcW w:w="478" w:type="dxa"/>
                  <w:vAlign w:val="center"/>
                </w:tcPr>
                <w:p>
                  <w:pPr>
                    <w:pStyle w:val="36"/>
                    <w:rPr>
                      <w:color w:val="000000"/>
                    </w:rPr>
                  </w:pPr>
                  <w:r>
                    <w:rPr>
                      <w:rFonts w:hint="eastAsia"/>
                      <w:color w:val="000000"/>
                    </w:rPr>
                    <w:t>1</w:t>
                  </w:r>
                  <w:r>
                    <w:rPr>
                      <w:color w:val="000000"/>
                    </w:rPr>
                    <w:t>2</w:t>
                  </w:r>
                </w:p>
              </w:tc>
              <w:tc>
                <w:tcPr>
                  <w:tcW w:w="478" w:type="dxa"/>
                  <w:vAlign w:val="center"/>
                </w:tcPr>
                <w:p>
                  <w:pPr>
                    <w:pStyle w:val="36"/>
                    <w:rPr>
                      <w:color w:val="000000"/>
                    </w:rPr>
                  </w:pPr>
                  <w:r>
                    <w:rPr>
                      <w:rFonts w:hint="eastAsia"/>
                      <w:color w:val="000000"/>
                    </w:rPr>
                    <w:t>1</w:t>
                  </w:r>
                  <w:r>
                    <w:rPr>
                      <w:color w:val="000000"/>
                    </w:rPr>
                    <w:t>2</w:t>
                  </w:r>
                </w:p>
              </w:tc>
              <w:tc>
                <w:tcPr>
                  <w:tcW w:w="479" w:type="dxa"/>
                  <w:vAlign w:val="center"/>
                </w:tcPr>
                <w:p>
                  <w:pPr>
                    <w:pStyle w:val="36"/>
                    <w:rPr>
                      <w:color w:val="000000"/>
                    </w:rPr>
                  </w:pPr>
                  <w:r>
                    <w:rPr>
                      <w:rFonts w:hint="eastAsia"/>
                      <w:color w:val="000000"/>
                    </w:rPr>
                    <w:t>1</w:t>
                  </w:r>
                  <w:r>
                    <w:rPr>
                      <w:color w:val="000000"/>
                    </w:rPr>
                    <w:t>3</w:t>
                  </w:r>
                </w:p>
              </w:tc>
              <w:tc>
                <w:tcPr>
                  <w:tcW w:w="478" w:type="dxa"/>
                  <w:vAlign w:val="center"/>
                </w:tcPr>
                <w:p>
                  <w:pPr>
                    <w:jc w:val="center"/>
                  </w:pPr>
                  <w:r>
                    <w:rPr>
                      <w:rFonts w:hint="eastAsia"/>
                    </w:rPr>
                    <w:t>6</w:t>
                  </w:r>
                  <w:r>
                    <w:t>3</w:t>
                  </w:r>
                </w:p>
              </w:tc>
              <w:tc>
                <w:tcPr>
                  <w:tcW w:w="478" w:type="dxa"/>
                  <w:vAlign w:val="center"/>
                </w:tcPr>
                <w:p>
                  <w:pPr>
                    <w:jc w:val="center"/>
                  </w:pPr>
                  <w:r>
                    <w:t>48.4</w:t>
                  </w:r>
                </w:p>
              </w:tc>
              <w:tc>
                <w:tcPr>
                  <w:tcW w:w="479" w:type="dxa"/>
                  <w:vAlign w:val="center"/>
                </w:tcPr>
                <w:p>
                  <w:pPr>
                    <w:jc w:val="center"/>
                  </w:pPr>
                  <w:r>
                    <w:t>48.4</w:t>
                  </w:r>
                </w:p>
              </w:tc>
              <w:tc>
                <w:tcPr>
                  <w:tcW w:w="478" w:type="dxa"/>
                  <w:vAlign w:val="center"/>
                </w:tcPr>
                <w:p>
                  <w:pPr>
                    <w:jc w:val="center"/>
                  </w:pPr>
                  <w:r>
                    <w:t>47.7</w:t>
                  </w:r>
                </w:p>
              </w:tc>
              <w:tc>
                <w:tcPr>
                  <w:tcW w:w="479" w:type="dxa"/>
                  <w:vAlign w:val="center"/>
                </w:tcPr>
                <w:p>
                  <w:pPr>
                    <w:jc w:val="center"/>
                  </w:pPr>
                  <w:r>
                    <w:t>34.0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66" w:type="dxa"/>
                  <w:vMerge w:val="continue"/>
                  <w:vAlign w:val="center"/>
                </w:tcPr>
                <w:p>
                  <w:pPr>
                    <w:pStyle w:val="36"/>
                    <w:rPr>
                      <w:color w:val="000000"/>
                    </w:rPr>
                  </w:pPr>
                </w:p>
              </w:tc>
              <w:tc>
                <w:tcPr>
                  <w:tcW w:w="1128" w:type="dxa"/>
                  <w:vAlign w:val="center"/>
                </w:tcPr>
                <w:p>
                  <w:pPr>
                    <w:jc w:val="center"/>
                    <w:rPr>
                      <w:color w:val="000000"/>
                      <w:kern w:val="0"/>
                      <w:szCs w:val="21"/>
                    </w:rPr>
                  </w:pPr>
                  <w:r>
                    <w:t>3#</w:t>
                  </w:r>
                  <w:r>
                    <w:rPr>
                      <w:rFonts w:hint="eastAsia"/>
                    </w:rPr>
                    <w:t>筛分机</w:t>
                  </w:r>
                </w:p>
              </w:tc>
              <w:tc>
                <w:tcPr>
                  <w:tcW w:w="709" w:type="dxa"/>
                  <w:vAlign w:val="center"/>
                </w:tcPr>
                <w:p>
                  <w:pPr>
                    <w:jc w:val="center"/>
                    <w:rPr>
                      <w:color w:val="000000"/>
                      <w:szCs w:val="21"/>
                    </w:rPr>
                  </w:pPr>
                  <w:r>
                    <w:rPr>
                      <w:color w:val="000000"/>
                      <w:szCs w:val="21"/>
                    </w:rPr>
                    <w:t>85</w:t>
                  </w:r>
                </w:p>
              </w:tc>
              <w:tc>
                <w:tcPr>
                  <w:tcW w:w="708" w:type="dxa"/>
                  <w:vMerge w:val="continue"/>
                  <w:vAlign w:val="center"/>
                </w:tcPr>
                <w:p>
                  <w:pPr>
                    <w:pStyle w:val="36"/>
                    <w:rPr>
                      <w:color w:val="000000"/>
                    </w:rPr>
                  </w:pPr>
                </w:p>
              </w:tc>
              <w:tc>
                <w:tcPr>
                  <w:tcW w:w="520" w:type="dxa"/>
                  <w:vAlign w:val="center"/>
                </w:tcPr>
                <w:p>
                  <w:pPr>
                    <w:jc w:val="center"/>
                    <w:rPr>
                      <w:color w:val="000000"/>
                      <w:szCs w:val="21"/>
                    </w:rPr>
                  </w:pPr>
                  <w:r>
                    <w:rPr>
                      <w:rFonts w:hint="eastAsia"/>
                      <w:color w:val="000000"/>
                      <w:szCs w:val="21"/>
                    </w:rPr>
                    <w:t>-</w:t>
                  </w:r>
                  <w:r>
                    <w:rPr>
                      <w:color w:val="000000"/>
                      <w:szCs w:val="21"/>
                    </w:rPr>
                    <w:t>24</w:t>
                  </w:r>
                </w:p>
              </w:tc>
              <w:tc>
                <w:tcPr>
                  <w:tcW w:w="521" w:type="dxa"/>
                  <w:vAlign w:val="center"/>
                </w:tcPr>
                <w:p>
                  <w:pPr>
                    <w:jc w:val="center"/>
                    <w:rPr>
                      <w:color w:val="000000"/>
                      <w:szCs w:val="21"/>
                    </w:rPr>
                  </w:pPr>
                  <w:r>
                    <w:rPr>
                      <w:rFonts w:hint="eastAsia"/>
                      <w:color w:val="000000"/>
                      <w:szCs w:val="21"/>
                    </w:rPr>
                    <w:t>-</w:t>
                  </w:r>
                  <w:r>
                    <w:rPr>
                      <w:color w:val="000000"/>
                      <w:szCs w:val="21"/>
                    </w:rPr>
                    <w:t>23</w:t>
                  </w:r>
                </w:p>
              </w:tc>
              <w:tc>
                <w:tcPr>
                  <w:tcW w:w="521" w:type="dxa"/>
                  <w:vAlign w:val="center"/>
                </w:tcPr>
                <w:p>
                  <w:pPr>
                    <w:jc w:val="center"/>
                    <w:rPr>
                      <w:color w:val="000000"/>
                      <w:szCs w:val="21"/>
                    </w:rPr>
                  </w:pPr>
                  <w:r>
                    <w:rPr>
                      <w:color w:val="000000"/>
                      <w:szCs w:val="21"/>
                    </w:rPr>
                    <w:t>2</w:t>
                  </w:r>
                </w:p>
              </w:tc>
              <w:tc>
                <w:tcPr>
                  <w:tcW w:w="478" w:type="dxa"/>
                  <w:vAlign w:val="center"/>
                </w:tcPr>
                <w:p>
                  <w:pPr>
                    <w:pStyle w:val="36"/>
                    <w:rPr>
                      <w:color w:val="000000"/>
                    </w:rPr>
                  </w:pPr>
                  <w:r>
                    <w:rPr>
                      <w:rFonts w:hint="eastAsia"/>
                      <w:color w:val="000000"/>
                    </w:rPr>
                    <w:t>1</w:t>
                  </w:r>
                  <w:r>
                    <w:rPr>
                      <w:color w:val="000000"/>
                    </w:rPr>
                    <w:t>8</w:t>
                  </w:r>
                </w:p>
              </w:tc>
              <w:tc>
                <w:tcPr>
                  <w:tcW w:w="478" w:type="dxa"/>
                  <w:vAlign w:val="center"/>
                </w:tcPr>
                <w:p>
                  <w:pPr>
                    <w:pStyle w:val="36"/>
                    <w:rPr>
                      <w:color w:val="000000"/>
                    </w:rPr>
                  </w:pPr>
                  <w:r>
                    <w:rPr>
                      <w:rFonts w:hint="eastAsia"/>
                      <w:color w:val="000000"/>
                    </w:rPr>
                    <w:t>1</w:t>
                  </w:r>
                  <w:r>
                    <w:rPr>
                      <w:color w:val="000000"/>
                    </w:rPr>
                    <w:t>2</w:t>
                  </w:r>
                </w:p>
              </w:tc>
              <w:tc>
                <w:tcPr>
                  <w:tcW w:w="479" w:type="dxa"/>
                  <w:vAlign w:val="center"/>
                </w:tcPr>
                <w:p>
                  <w:pPr>
                    <w:pStyle w:val="36"/>
                    <w:rPr>
                      <w:color w:val="000000"/>
                    </w:rPr>
                  </w:pPr>
                  <w:r>
                    <w:rPr>
                      <w:rFonts w:hint="eastAsia"/>
                      <w:color w:val="000000"/>
                    </w:rPr>
                    <w:t>7</w:t>
                  </w:r>
                </w:p>
              </w:tc>
              <w:tc>
                <w:tcPr>
                  <w:tcW w:w="478" w:type="dxa"/>
                  <w:vAlign w:val="center"/>
                </w:tcPr>
                <w:p>
                  <w:pPr>
                    <w:jc w:val="center"/>
                  </w:pPr>
                  <w:r>
                    <w:rPr>
                      <w:rFonts w:hint="eastAsia"/>
                    </w:rPr>
                    <w:t>6</w:t>
                  </w:r>
                  <w:r>
                    <w:t>3</w:t>
                  </w:r>
                </w:p>
              </w:tc>
              <w:tc>
                <w:tcPr>
                  <w:tcW w:w="478" w:type="dxa"/>
                  <w:vAlign w:val="center"/>
                </w:tcPr>
                <w:p>
                  <w:pPr>
                    <w:jc w:val="center"/>
                  </w:pPr>
                  <w:r>
                    <w:t>44.9</w:t>
                  </w:r>
                </w:p>
              </w:tc>
              <w:tc>
                <w:tcPr>
                  <w:tcW w:w="479" w:type="dxa"/>
                  <w:vAlign w:val="center"/>
                </w:tcPr>
                <w:p>
                  <w:pPr>
                    <w:jc w:val="center"/>
                  </w:pPr>
                  <w:r>
                    <w:t>48.4</w:t>
                  </w:r>
                </w:p>
              </w:tc>
              <w:tc>
                <w:tcPr>
                  <w:tcW w:w="478" w:type="dxa"/>
                  <w:vAlign w:val="center"/>
                </w:tcPr>
                <w:p>
                  <w:pPr>
                    <w:jc w:val="center"/>
                  </w:pPr>
                  <w:r>
                    <w:t>53.1</w:t>
                  </w:r>
                </w:p>
              </w:tc>
              <w:tc>
                <w:tcPr>
                  <w:tcW w:w="479" w:type="dxa"/>
                  <w:vAlign w:val="center"/>
                </w:tcPr>
                <w:p>
                  <w:pPr>
                    <w:jc w:val="center"/>
                  </w:pPr>
                  <w:r>
                    <w:t>34.0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66" w:type="dxa"/>
                  <w:vMerge w:val="continue"/>
                  <w:vAlign w:val="center"/>
                </w:tcPr>
                <w:p>
                  <w:pPr>
                    <w:pStyle w:val="36"/>
                    <w:rPr>
                      <w:color w:val="000000"/>
                    </w:rPr>
                  </w:pPr>
                </w:p>
              </w:tc>
              <w:tc>
                <w:tcPr>
                  <w:tcW w:w="1128" w:type="dxa"/>
                  <w:vAlign w:val="center"/>
                </w:tcPr>
                <w:p>
                  <w:pPr>
                    <w:jc w:val="center"/>
                    <w:rPr>
                      <w:color w:val="000000"/>
                      <w:kern w:val="0"/>
                      <w:szCs w:val="21"/>
                    </w:rPr>
                  </w:pPr>
                  <w:r>
                    <w:rPr>
                      <w:rFonts w:hint="eastAsia"/>
                      <w:color w:val="000000"/>
                      <w:szCs w:val="21"/>
                    </w:rPr>
                    <w:t>制砂机</w:t>
                  </w:r>
                </w:p>
              </w:tc>
              <w:tc>
                <w:tcPr>
                  <w:tcW w:w="709" w:type="dxa"/>
                  <w:vAlign w:val="center"/>
                </w:tcPr>
                <w:p>
                  <w:pPr>
                    <w:jc w:val="center"/>
                    <w:rPr>
                      <w:color w:val="000000"/>
                      <w:szCs w:val="21"/>
                    </w:rPr>
                  </w:pPr>
                  <w:r>
                    <w:rPr>
                      <w:color w:val="000000"/>
                      <w:szCs w:val="21"/>
                    </w:rPr>
                    <w:t>90</w:t>
                  </w:r>
                </w:p>
              </w:tc>
              <w:tc>
                <w:tcPr>
                  <w:tcW w:w="708" w:type="dxa"/>
                  <w:vMerge w:val="continue"/>
                  <w:vAlign w:val="center"/>
                </w:tcPr>
                <w:p>
                  <w:pPr>
                    <w:pStyle w:val="36"/>
                    <w:rPr>
                      <w:color w:val="000000"/>
                    </w:rPr>
                  </w:pPr>
                </w:p>
              </w:tc>
              <w:tc>
                <w:tcPr>
                  <w:tcW w:w="520" w:type="dxa"/>
                  <w:vAlign w:val="center"/>
                </w:tcPr>
                <w:p>
                  <w:pPr>
                    <w:jc w:val="center"/>
                    <w:rPr>
                      <w:color w:val="000000"/>
                      <w:szCs w:val="21"/>
                    </w:rPr>
                  </w:pPr>
                  <w:r>
                    <w:rPr>
                      <w:rFonts w:hint="eastAsia"/>
                      <w:color w:val="000000"/>
                      <w:szCs w:val="21"/>
                    </w:rPr>
                    <w:t>2</w:t>
                  </w:r>
                  <w:r>
                    <w:rPr>
                      <w:color w:val="000000"/>
                      <w:szCs w:val="21"/>
                    </w:rPr>
                    <w:t>8</w:t>
                  </w:r>
                </w:p>
              </w:tc>
              <w:tc>
                <w:tcPr>
                  <w:tcW w:w="521" w:type="dxa"/>
                  <w:vAlign w:val="center"/>
                </w:tcPr>
                <w:p>
                  <w:pPr>
                    <w:jc w:val="center"/>
                    <w:rPr>
                      <w:color w:val="000000"/>
                      <w:szCs w:val="21"/>
                    </w:rPr>
                  </w:pPr>
                  <w:r>
                    <w:rPr>
                      <w:rFonts w:hint="eastAsia"/>
                      <w:color w:val="000000"/>
                      <w:szCs w:val="21"/>
                    </w:rPr>
                    <w:t>-</w:t>
                  </w:r>
                  <w:r>
                    <w:rPr>
                      <w:color w:val="000000"/>
                      <w:szCs w:val="21"/>
                    </w:rPr>
                    <w:t>23</w:t>
                  </w:r>
                </w:p>
              </w:tc>
              <w:tc>
                <w:tcPr>
                  <w:tcW w:w="521" w:type="dxa"/>
                  <w:vAlign w:val="center"/>
                </w:tcPr>
                <w:p>
                  <w:pPr>
                    <w:jc w:val="center"/>
                    <w:rPr>
                      <w:color w:val="000000"/>
                      <w:szCs w:val="21"/>
                    </w:rPr>
                  </w:pPr>
                  <w:r>
                    <w:rPr>
                      <w:color w:val="000000"/>
                      <w:szCs w:val="21"/>
                    </w:rPr>
                    <w:t>2</w:t>
                  </w:r>
                </w:p>
              </w:tc>
              <w:tc>
                <w:tcPr>
                  <w:tcW w:w="478" w:type="dxa"/>
                  <w:vAlign w:val="center"/>
                </w:tcPr>
                <w:p>
                  <w:pPr>
                    <w:pStyle w:val="36"/>
                    <w:rPr>
                      <w:color w:val="000000"/>
                    </w:rPr>
                  </w:pPr>
                  <w:r>
                    <w:rPr>
                      <w:rFonts w:hint="eastAsia"/>
                      <w:color w:val="000000"/>
                    </w:rPr>
                    <w:t>1</w:t>
                  </w:r>
                  <w:r>
                    <w:rPr>
                      <w:color w:val="000000"/>
                    </w:rPr>
                    <w:t>8</w:t>
                  </w:r>
                </w:p>
              </w:tc>
              <w:tc>
                <w:tcPr>
                  <w:tcW w:w="478" w:type="dxa"/>
                  <w:vAlign w:val="center"/>
                </w:tcPr>
                <w:p>
                  <w:pPr>
                    <w:pStyle w:val="36"/>
                    <w:rPr>
                      <w:color w:val="000000"/>
                    </w:rPr>
                  </w:pPr>
                  <w:r>
                    <w:rPr>
                      <w:rFonts w:hint="eastAsia"/>
                      <w:color w:val="000000"/>
                    </w:rPr>
                    <w:t>6</w:t>
                  </w:r>
                  <w:r>
                    <w:rPr>
                      <w:color w:val="000000"/>
                    </w:rPr>
                    <w:t>5</w:t>
                  </w:r>
                </w:p>
              </w:tc>
              <w:tc>
                <w:tcPr>
                  <w:tcW w:w="479" w:type="dxa"/>
                  <w:vAlign w:val="center"/>
                </w:tcPr>
                <w:p>
                  <w:pPr>
                    <w:pStyle w:val="36"/>
                    <w:rPr>
                      <w:color w:val="000000"/>
                    </w:rPr>
                  </w:pPr>
                  <w:r>
                    <w:rPr>
                      <w:rFonts w:hint="eastAsia"/>
                      <w:color w:val="000000"/>
                    </w:rPr>
                    <w:t>7</w:t>
                  </w:r>
                </w:p>
              </w:tc>
              <w:tc>
                <w:tcPr>
                  <w:tcW w:w="478" w:type="dxa"/>
                  <w:vAlign w:val="center"/>
                </w:tcPr>
                <w:p>
                  <w:pPr>
                    <w:jc w:val="center"/>
                  </w:pPr>
                  <w:r>
                    <w:rPr>
                      <w:rFonts w:hint="eastAsia"/>
                    </w:rPr>
                    <w:t>1</w:t>
                  </w:r>
                  <w:r>
                    <w:t>0</w:t>
                  </w:r>
                </w:p>
              </w:tc>
              <w:tc>
                <w:tcPr>
                  <w:tcW w:w="478" w:type="dxa"/>
                  <w:vAlign w:val="center"/>
                </w:tcPr>
                <w:p>
                  <w:pPr>
                    <w:jc w:val="center"/>
                  </w:pPr>
                  <w:r>
                    <w:t>49.9</w:t>
                  </w:r>
                </w:p>
              </w:tc>
              <w:tc>
                <w:tcPr>
                  <w:tcW w:w="479" w:type="dxa"/>
                  <w:vAlign w:val="center"/>
                </w:tcPr>
                <w:p>
                  <w:pPr>
                    <w:jc w:val="center"/>
                  </w:pPr>
                  <w:r>
                    <w:t>38.7</w:t>
                  </w:r>
                </w:p>
              </w:tc>
              <w:tc>
                <w:tcPr>
                  <w:tcW w:w="478" w:type="dxa"/>
                  <w:vAlign w:val="center"/>
                </w:tcPr>
                <w:p>
                  <w:pPr>
                    <w:jc w:val="center"/>
                  </w:pPr>
                  <w:r>
                    <w:t>58.1</w:t>
                  </w:r>
                </w:p>
              </w:tc>
              <w:tc>
                <w:tcPr>
                  <w:tcW w:w="479" w:type="dxa"/>
                  <w:vAlign w:val="center"/>
                </w:tcPr>
                <w:p>
                  <w:pPr>
                    <w:jc w:val="center"/>
                  </w:pPr>
                  <w:r>
                    <w:t>55.0</w:t>
                  </w:r>
                </w:p>
              </w:tc>
            </w:tr>
          </w:tbl>
          <w:p>
            <w:pPr>
              <w:tabs>
                <w:tab w:val="right" w:pos="8306"/>
              </w:tabs>
              <w:spacing w:before="120" w:beforeLines="50"/>
              <w:jc w:val="center"/>
              <w:rPr>
                <w:b/>
                <w:bCs/>
                <w:color w:val="000000"/>
                <w:szCs w:val="21"/>
              </w:rPr>
            </w:pPr>
            <w:r>
              <w:rPr>
                <w:b/>
                <w:bCs/>
                <w:color w:val="000000"/>
                <w:szCs w:val="21"/>
              </w:rPr>
              <w:t>表4</w:t>
            </w:r>
            <w:r>
              <w:rPr>
                <w:rFonts w:hint="eastAsia"/>
                <w:b/>
                <w:bCs/>
                <w:color w:val="000000"/>
                <w:szCs w:val="21"/>
              </w:rPr>
              <w:t>-</w:t>
            </w:r>
            <w:r>
              <w:rPr>
                <w:b/>
                <w:bCs/>
                <w:color w:val="000000"/>
                <w:szCs w:val="21"/>
              </w:rPr>
              <w:t>9</w:t>
            </w:r>
            <w:r>
              <w:rPr>
                <w:rFonts w:hint="eastAsia"/>
                <w:b/>
                <w:bCs/>
                <w:color w:val="000000"/>
                <w:szCs w:val="21"/>
              </w:rPr>
              <w:t xml:space="preserve"> 主要噪声源特性表（续）</w:t>
            </w:r>
          </w:p>
          <w:tbl>
            <w:tblPr>
              <w:tblStyle w:val="14"/>
              <w:tblW w:w="858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134"/>
              <w:gridCol w:w="1134"/>
              <w:gridCol w:w="1521"/>
              <w:gridCol w:w="708"/>
              <w:gridCol w:w="1134"/>
              <w:gridCol w:w="516"/>
              <w:gridCol w:w="516"/>
              <w:gridCol w:w="516"/>
              <w:gridCol w:w="51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85" w:type="dxa"/>
                  <w:vMerge w:val="restart"/>
                  <w:vAlign w:val="center"/>
                </w:tcPr>
                <w:p>
                  <w:pPr>
                    <w:wordWrap w:val="0"/>
                    <w:autoSpaceDE w:val="0"/>
                    <w:autoSpaceDN w:val="0"/>
                    <w:adjustRightInd w:val="0"/>
                    <w:jc w:val="center"/>
                    <w:rPr>
                      <w:b/>
                      <w:color w:val="000000"/>
                      <w:kern w:val="0"/>
                      <w:szCs w:val="21"/>
                    </w:rPr>
                  </w:pPr>
                  <w:r>
                    <w:rPr>
                      <w:b/>
                      <w:color w:val="000000"/>
                      <w:kern w:val="0"/>
                      <w:szCs w:val="21"/>
                    </w:rPr>
                    <w:t>建筑物名称</w:t>
                  </w:r>
                </w:p>
              </w:tc>
              <w:tc>
                <w:tcPr>
                  <w:tcW w:w="1134" w:type="dxa"/>
                  <w:vMerge w:val="restart"/>
                  <w:vAlign w:val="center"/>
                </w:tcPr>
                <w:p>
                  <w:pPr>
                    <w:wordWrap w:val="0"/>
                    <w:autoSpaceDE w:val="0"/>
                    <w:autoSpaceDN w:val="0"/>
                    <w:adjustRightInd w:val="0"/>
                    <w:jc w:val="center"/>
                    <w:rPr>
                      <w:b/>
                      <w:color w:val="000000"/>
                      <w:kern w:val="0"/>
                      <w:szCs w:val="21"/>
                    </w:rPr>
                  </w:pPr>
                  <w:r>
                    <w:rPr>
                      <w:b/>
                      <w:color w:val="000000"/>
                      <w:kern w:val="0"/>
                      <w:szCs w:val="21"/>
                    </w:rPr>
                    <w:t>声源名称</w:t>
                  </w:r>
                </w:p>
              </w:tc>
              <w:tc>
                <w:tcPr>
                  <w:tcW w:w="1134" w:type="dxa"/>
                  <w:vMerge w:val="restart"/>
                  <w:vAlign w:val="center"/>
                </w:tcPr>
                <w:p>
                  <w:pPr>
                    <w:wordWrap w:val="0"/>
                    <w:autoSpaceDE w:val="0"/>
                    <w:autoSpaceDN w:val="0"/>
                    <w:adjustRightInd w:val="0"/>
                    <w:jc w:val="center"/>
                    <w:rPr>
                      <w:b/>
                      <w:color w:val="000000"/>
                      <w:kern w:val="0"/>
                      <w:szCs w:val="21"/>
                    </w:rPr>
                  </w:pPr>
                  <w:r>
                    <w:rPr>
                      <w:b/>
                      <w:color w:val="000000"/>
                      <w:kern w:val="0"/>
                      <w:szCs w:val="21"/>
                    </w:rPr>
                    <w:t>声功率级/dB（A）</w:t>
                  </w:r>
                </w:p>
              </w:tc>
              <w:tc>
                <w:tcPr>
                  <w:tcW w:w="1521" w:type="dxa"/>
                  <w:vMerge w:val="restart"/>
                  <w:vAlign w:val="center"/>
                </w:tcPr>
                <w:p>
                  <w:pPr>
                    <w:wordWrap w:val="0"/>
                    <w:autoSpaceDE w:val="0"/>
                    <w:autoSpaceDN w:val="0"/>
                    <w:adjustRightInd w:val="0"/>
                    <w:jc w:val="center"/>
                    <w:rPr>
                      <w:b/>
                      <w:color w:val="000000"/>
                      <w:kern w:val="0"/>
                      <w:szCs w:val="21"/>
                    </w:rPr>
                  </w:pPr>
                  <w:r>
                    <w:rPr>
                      <w:b/>
                      <w:color w:val="000000"/>
                      <w:kern w:val="0"/>
                      <w:szCs w:val="21"/>
                    </w:rPr>
                    <w:t>声源控制措施</w:t>
                  </w:r>
                </w:p>
              </w:tc>
              <w:tc>
                <w:tcPr>
                  <w:tcW w:w="708" w:type="dxa"/>
                  <w:vMerge w:val="restart"/>
                  <w:vAlign w:val="center"/>
                </w:tcPr>
                <w:p>
                  <w:pPr>
                    <w:wordWrap w:val="0"/>
                    <w:autoSpaceDE w:val="0"/>
                    <w:autoSpaceDN w:val="0"/>
                    <w:adjustRightInd w:val="0"/>
                    <w:jc w:val="center"/>
                    <w:rPr>
                      <w:b/>
                      <w:color w:val="000000"/>
                      <w:kern w:val="0"/>
                      <w:szCs w:val="21"/>
                    </w:rPr>
                  </w:pPr>
                  <w:r>
                    <w:rPr>
                      <w:b/>
                      <w:color w:val="000000"/>
                      <w:kern w:val="0"/>
                      <w:szCs w:val="21"/>
                    </w:rPr>
                    <w:t>运行时段</w:t>
                  </w:r>
                </w:p>
              </w:tc>
              <w:tc>
                <w:tcPr>
                  <w:tcW w:w="1134" w:type="dxa"/>
                  <w:vMerge w:val="restart"/>
                  <w:vAlign w:val="center"/>
                </w:tcPr>
                <w:p>
                  <w:pPr>
                    <w:wordWrap w:val="0"/>
                    <w:autoSpaceDE w:val="0"/>
                    <w:autoSpaceDN w:val="0"/>
                    <w:adjustRightInd w:val="0"/>
                    <w:jc w:val="center"/>
                    <w:rPr>
                      <w:b/>
                      <w:color w:val="000000"/>
                      <w:kern w:val="0"/>
                      <w:szCs w:val="21"/>
                    </w:rPr>
                  </w:pPr>
                  <w:r>
                    <w:rPr>
                      <w:b/>
                      <w:color w:val="000000"/>
                      <w:kern w:val="0"/>
                      <w:szCs w:val="21"/>
                    </w:rPr>
                    <w:t>建筑物插入损失/dB（A）</w:t>
                  </w:r>
                </w:p>
              </w:tc>
              <w:tc>
                <w:tcPr>
                  <w:tcW w:w="2065" w:type="dxa"/>
                  <w:gridSpan w:val="4"/>
                  <w:vAlign w:val="center"/>
                </w:tcPr>
                <w:p>
                  <w:pPr>
                    <w:wordWrap w:val="0"/>
                    <w:autoSpaceDE w:val="0"/>
                    <w:autoSpaceDN w:val="0"/>
                    <w:adjustRightInd w:val="0"/>
                    <w:jc w:val="center"/>
                    <w:rPr>
                      <w:b/>
                      <w:color w:val="000000"/>
                      <w:kern w:val="0"/>
                      <w:szCs w:val="21"/>
                    </w:rPr>
                  </w:pPr>
                  <w:r>
                    <w:rPr>
                      <w:b/>
                      <w:color w:val="000000"/>
                      <w:kern w:val="0"/>
                      <w:szCs w:val="21"/>
                    </w:rPr>
                    <w:t>建筑物外距离/m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5" w:type="dxa"/>
                  <w:vMerge w:val="continue"/>
                  <w:vAlign w:val="center"/>
                </w:tcPr>
                <w:p>
                  <w:pPr>
                    <w:wordWrap w:val="0"/>
                    <w:autoSpaceDE w:val="0"/>
                    <w:autoSpaceDN w:val="0"/>
                    <w:adjustRightInd w:val="0"/>
                    <w:jc w:val="center"/>
                    <w:rPr>
                      <w:b/>
                      <w:color w:val="000000"/>
                      <w:kern w:val="0"/>
                      <w:szCs w:val="21"/>
                    </w:rPr>
                  </w:pPr>
                </w:p>
              </w:tc>
              <w:tc>
                <w:tcPr>
                  <w:tcW w:w="1134" w:type="dxa"/>
                  <w:vMerge w:val="continue"/>
                  <w:vAlign w:val="center"/>
                </w:tcPr>
                <w:p>
                  <w:pPr>
                    <w:wordWrap w:val="0"/>
                    <w:autoSpaceDE w:val="0"/>
                    <w:autoSpaceDN w:val="0"/>
                    <w:adjustRightInd w:val="0"/>
                    <w:jc w:val="center"/>
                    <w:rPr>
                      <w:b/>
                      <w:color w:val="000000"/>
                      <w:kern w:val="0"/>
                      <w:szCs w:val="21"/>
                    </w:rPr>
                  </w:pPr>
                </w:p>
              </w:tc>
              <w:tc>
                <w:tcPr>
                  <w:tcW w:w="1134" w:type="dxa"/>
                  <w:vMerge w:val="continue"/>
                  <w:vAlign w:val="center"/>
                </w:tcPr>
                <w:p>
                  <w:pPr>
                    <w:wordWrap w:val="0"/>
                    <w:autoSpaceDE w:val="0"/>
                    <w:autoSpaceDN w:val="0"/>
                    <w:adjustRightInd w:val="0"/>
                    <w:jc w:val="center"/>
                    <w:rPr>
                      <w:b/>
                      <w:color w:val="000000"/>
                      <w:kern w:val="0"/>
                      <w:szCs w:val="21"/>
                    </w:rPr>
                  </w:pPr>
                </w:p>
              </w:tc>
              <w:tc>
                <w:tcPr>
                  <w:tcW w:w="1521" w:type="dxa"/>
                  <w:vMerge w:val="continue"/>
                  <w:vAlign w:val="center"/>
                </w:tcPr>
                <w:p>
                  <w:pPr>
                    <w:wordWrap w:val="0"/>
                    <w:autoSpaceDE w:val="0"/>
                    <w:autoSpaceDN w:val="0"/>
                    <w:adjustRightInd w:val="0"/>
                    <w:jc w:val="center"/>
                    <w:rPr>
                      <w:b/>
                      <w:color w:val="000000"/>
                      <w:kern w:val="0"/>
                      <w:szCs w:val="21"/>
                    </w:rPr>
                  </w:pPr>
                </w:p>
              </w:tc>
              <w:tc>
                <w:tcPr>
                  <w:tcW w:w="708" w:type="dxa"/>
                  <w:vMerge w:val="continue"/>
                  <w:vAlign w:val="center"/>
                </w:tcPr>
                <w:p>
                  <w:pPr>
                    <w:wordWrap w:val="0"/>
                    <w:autoSpaceDE w:val="0"/>
                    <w:autoSpaceDN w:val="0"/>
                    <w:adjustRightInd w:val="0"/>
                    <w:jc w:val="center"/>
                    <w:rPr>
                      <w:b/>
                      <w:color w:val="000000"/>
                      <w:kern w:val="0"/>
                      <w:szCs w:val="21"/>
                    </w:rPr>
                  </w:pPr>
                </w:p>
              </w:tc>
              <w:tc>
                <w:tcPr>
                  <w:tcW w:w="1134" w:type="dxa"/>
                  <w:vMerge w:val="continue"/>
                  <w:vAlign w:val="center"/>
                </w:tcPr>
                <w:p>
                  <w:pPr>
                    <w:wordWrap w:val="0"/>
                    <w:autoSpaceDE w:val="0"/>
                    <w:autoSpaceDN w:val="0"/>
                    <w:adjustRightInd w:val="0"/>
                    <w:jc w:val="center"/>
                    <w:rPr>
                      <w:b/>
                      <w:color w:val="000000"/>
                      <w:kern w:val="0"/>
                      <w:szCs w:val="21"/>
                    </w:rPr>
                  </w:pPr>
                </w:p>
              </w:tc>
              <w:tc>
                <w:tcPr>
                  <w:tcW w:w="516" w:type="dxa"/>
                  <w:vAlign w:val="center"/>
                </w:tcPr>
                <w:p>
                  <w:pPr>
                    <w:wordWrap w:val="0"/>
                    <w:autoSpaceDE w:val="0"/>
                    <w:autoSpaceDN w:val="0"/>
                    <w:adjustRightInd w:val="0"/>
                    <w:jc w:val="center"/>
                    <w:rPr>
                      <w:b/>
                      <w:color w:val="000000"/>
                      <w:kern w:val="0"/>
                      <w:szCs w:val="21"/>
                    </w:rPr>
                  </w:pPr>
                  <w:r>
                    <w:rPr>
                      <w:b/>
                      <w:color w:val="000000"/>
                      <w:kern w:val="0"/>
                      <w:szCs w:val="21"/>
                    </w:rPr>
                    <w:t>东</w:t>
                  </w:r>
                </w:p>
              </w:tc>
              <w:tc>
                <w:tcPr>
                  <w:tcW w:w="516" w:type="dxa"/>
                  <w:vAlign w:val="center"/>
                </w:tcPr>
                <w:p>
                  <w:pPr>
                    <w:wordWrap w:val="0"/>
                    <w:autoSpaceDE w:val="0"/>
                    <w:autoSpaceDN w:val="0"/>
                    <w:adjustRightInd w:val="0"/>
                    <w:jc w:val="center"/>
                    <w:rPr>
                      <w:b/>
                      <w:color w:val="000000"/>
                      <w:kern w:val="0"/>
                      <w:szCs w:val="21"/>
                    </w:rPr>
                  </w:pPr>
                  <w:r>
                    <w:rPr>
                      <w:b/>
                      <w:color w:val="000000"/>
                      <w:kern w:val="0"/>
                      <w:szCs w:val="21"/>
                    </w:rPr>
                    <w:t>南</w:t>
                  </w:r>
                </w:p>
              </w:tc>
              <w:tc>
                <w:tcPr>
                  <w:tcW w:w="516" w:type="dxa"/>
                  <w:vAlign w:val="center"/>
                </w:tcPr>
                <w:p>
                  <w:pPr>
                    <w:wordWrap w:val="0"/>
                    <w:autoSpaceDE w:val="0"/>
                    <w:autoSpaceDN w:val="0"/>
                    <w:adjustRightInd w:val="0"/>
                    <w:jc w:val="center"/>
                    <w:rPr>
                      <w:b/>
                      <w:color w:val="000000"/>
                      <w:kern w:val="0"/>
                      <w:szCs w:val="21"/>
                    </w:rPr>
                  </w:pPr>
                  <w:r>
                    <w:rPr>
                      <w:b/>
                      <w:color w:val="000000"/>
                      <w:kern w:val="0"/>
                      <w:szCs w:val="21"/>
                    </w:rPr>
                    <w:t>西</w:t>
                  </w:r>
                </w:p>
              </w:tc>
              <w:tc>
                <w:tcPr>
                  <w:tcW w:w="517" w:type="dxa"/>
                  <w:vAlign w:val="center"/>
                </w:tcPr>
                <w:p>
                  <w:pPr>
                    <w:wordWrap w:val="0"/>
                    <w:autoSpaceDE w:val="0"/>
                    <w:autoSpaceDN w:val="0"/>
                    <w:adjustRightInd w:val="0"/>
                    <w:jc w:val="center"/>
                    <w:rPr>
                      <w:b/>
                      <w:color w:val="000000"/>
                      <w:kern w:val="0"/>
                      <w:szCs w:val="21"/>
                    </w:rPr>
                  </w:pPr>
                  <w:r>
                    <w:rPr>
                      <w:b/>
                      <w:color w:val="000000"/>
                      <w:kern w:val="0"/>
                      <w:szCs w:val="21"/>
                    </w:rPr>
                    <w:t>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pPr>
                    <w:wordWrap w:val="0"/>
                    <w:autoSpaceDE w:val="0"/>
                    <w:autoSpaceDN w:val="0"/>
                    <w:adjustRightInd w:val="0"/>
                    <w:jc w:val="center"/>
                    <w:rPr>
                      <w:color w:val="000000"/>
                      <w:kern w:val="0"/>
                      <w:szCs w:val="21"/>
                    </w:rPr>
                  </w:pPr>
                  <w:r>
                    <w:rPr>
                      <w:rFonts w:hint="eastAsia"/>
                      <w:color w:val="000000"/>
                      <w:kern w:val="0"/>
                      <w:szCs w:val="21"/>
                    </w:rPr>
                    <w:t>生产车间</w:t>
                  </w:r>
                </w:p>
              </w:tc>
              <w:tc>
                <w:tcPr>
                  <w:tcW w:w="1134" w:type="dxa"/>
                  <w:vAlign w:val="center"/>
                </w:tcPr>
                <w:p>
                  <w:pPr>
                    <w:jc w:val="center"/>
                    <w:rPr>
                      <w:color w:val="000000"/>
                      <w:kern w:val="0"/>
                      <w:szCs w:val="21"/>
                    </w:rPr>
                  </w:pPr>
                  <w:r>
                    <w:rPr>
                      <w:rFonts w:hint="eastAsia"/>
                      <w:color w:val="000000"/>
                      <w:szCs w:val="21"/>
                    </w:rPr>
                    <w:t>生产设备</w:t>
                  </w:r>
                </w:p>
              </w:tc>
              <w:tc>
                <w:tcPr>
                  <w:tcW w:w="1134" w:type="dxa"/>
                  <w:vAlign w:val="center"/>
                </w:tcPr>
                <w:p>
                  <w:pPr>
                    <w:jc w:val="center"/>
                    <w:rPr>
                      <w:color w:val="000000"/>
                      <w:szCs w:val="21"/>
                    </w:rPr>
                  </w:pPr>
                  <w:r>
                    <w:rPr>
                      <w:rFonts w:hint="eastAsia"/>
                      <w:color w:val="000000"/>
                      <w:szCs w:val="21"/>
                    </w:rPr>
                    <w:t>/</w:t>
                  </w:r>
                </w:p>
              </w:tc>
              <w:tc>
                <w:tcPr>
                  <w:tcW w:w="1521" w:type="dxa"/>
                  <w:vAlign w:val="center"/>
                </w:tcPr>
                <w:p>
                  <w:pPr>
                    <w:wordWrap w:val="0"/>
                    <w:autoSpaceDE w:val="0"/>
                    <w:autoSpaceDN w:val="0"/>
                    <w:adjustRightInd w:val="0"/>
                    <w:jc w:val="center"/>
                    <w:rPr>
                      <w:color w:val="000000"/>
                      <w:kern w:val="0"/>
                      <w:szCs w:val="21"/>
                    </w:rPr>
                  </w:pPr>
                  <w:r>
                    <w:rPr>
                      <w:color w:val="000000"/>
                      <w:kern w:val="0"/>
                      <w:szCs w:val="21"/>
                    </w:rPr>
                    <w:t>低噪声设备、厂房隔音、设备减振</w:t>
                  </w:r>
                </w:p>
              </w:tc>
              <w:tc>
                <w:tcPr>
                  <w:tcW w:w="708" w:type="dxa"/>
                  <w:vAlign w:val="center"/>
                </w:tcPr>
                <w:p>
                  <w:pPr>
                    <w:wordWrap w:val="0"/>
                    <w:autoSpaceDE w:val="0"/>
                    <w:autoSpaceDN w:val="0"/>
                    <w:adjustRightInd w:val="0"/>
                    <w:jc w:val="center"/>
                    <w:rPr>
                      <w:color w:val="000000"/>
                      <w:kern w:val="0"/>
                      <w:szCs w:val="21"/>
                    </w:rPr>
                  </w:pPr>
                  <w:r>
                    <w:rPr>
                      <w:color w:val="000000"/>
                      <w:kern w:val="0"/>
                      <w:szCs w:val="21"/>
                    </w:rPr>
                    <w:t>全天</w:t>
                  </w:r>
                </w:p>
              </w:tc>
              <w:tc>
                <w:tcPr>
                  <w:tcW w:w="1134" w:type="dxa"/>
                  <w:vAlign w:val="center"/>
                </w:tcPr>
                <w:p>
                  <w:pPr>
                    <w:wordWrap w:val="0"/>
                    <w:autoSpaceDE w:val="0"/>
                    <w:autoSpaceDN w:val="0"/>
                    <w:adjustRightInd w:val="0"/>
                    <w:jc w:val="center"/>
                    <w:rPr>
                      <w:color w:val="000000"/>
                      <w:kern w:val="0"/>
                      <w:szCs w:val="21"/>
                    </w:rPr>
                  </w:pPr>
                  <w:r>
                    <w:rPr>
                      <w:rFonts w:hint="eastAsia"/>
                      <w:color w:val="000000"/>
                      <w:kern w:val="0"/>
                      <w:szCs w:val="21"/>
                    </w:rPr>
                    <w:t>5</w:t>
                  </w:r>
                </w:p>
              </w:tc>
              <w:tc>
                <w:tcPr>
                  <w:tcW w:w="516" w:type="dxa"/>
                  <w:vAlign w:val="center"/>
                </w:tcPr>
                <w:p>
                  <w:pPr>
                    <w:pStyle w:val="36"/>
                    <w:rPr>
                      <w:color w:val="000000"/>
                      <w:szCs w:val="20"/>
                    </w:rPr>
                  </w:pPr>
                  <w:r>
                    <w:rPr>
                      <w:rFonts w:hint="eastAsia"/>
                      <w:color w:val="000000"/>
                      <w:szCs w:val="20"/>
                    </w:rPr>
                    <w:t>7</w:t>
                  </w:r>
                </w:p>
              </w:tc>
              <w:tc>
                <w:tcPr>
                  <w:tcW w:w="516" w:type="dxa"/>
                  <w:vAlign w:val="center"/>
                </w:tcPr>
                <w:p>
                  <w:pPr>
                    <w:pStyle w:val="36"/>
                    <w:rPr>
                      <w:color w:val="000000"/>
                      <w:szCs w:val="20"/>
                    </w:rPr>
                  </w:pPr>
                  <w:r>
                    <w:rPr>
                      <w:rFonts w:hint="eastAsia"/>
                      <w:color w:val="000000"/>
                      <w:szCs w:val="20"/>
                    </w:rPr>
                    <w:t>9</w:t>
                  </w:r>
                </w:p>
              </w:tc>
              <w:tc>
                <w:tcPr>
                  <w:tcW w:w="516" w:type="dxa"/>
                  <w:vAlign w:val="center"/>
                </w:tcPr>
                <w:p>
                  <w:pPr>
                    <w:pStyle w:val="36"/>
                    <w:rPr>
                      <w:color w:val="000000"/>
                      <w:szCs w:val="20"/>
                    </w:rPr>
                  </w:pPr>
                  <w:r>
                    <w:rPr>
                      <w:rFonts w:hint="eastAsia"/>
                      <w:color w:val="000000"/>
                      <w:szCs w:val="20"/>
                    </w:rPr>
                    <w:t>6</w:t>
                  </w:r>
                  <w:r>
                    <w:rPr>
                      <w:color w:val="000000"/>
                      <w:szCs w:val="20"/>
                    </w:rPr>
                    <w:t>3</w:t>
                  </w:r>
                </w:p>
              </w:tc>
              <w:tc>
                <w:tcPr>
                  <w:tcW w:w="517" w:type="dxa"/>
                  <w:vAlign w:val="center"/>
                </w:tcPr>
                <w:p>
                  <w:pPr>
                    <w:pStyle w:val="36"/>
                    <w:rPr>
                      <w:color w:val="000000"/>
                      <w:szCs w:val="20"/>
                    </w:rPr>
                  </w:pPr>
                  <w:r>
                    <w:rPr>
                      <w:rFonts w:hint="eastAsia"/>
                      <w:color w:val="000000"/>
                      <w:szCs w:val="20"/>
                    </w:rPr>
                    <w:t>5</w:t>
                  </w:r>
                </w:p>
              </w:tc>
            </w:tr>
          </w:tbl>
          <w:p>
            <w:pPr>
              <w:pStyle w:val="38"/>
              <w:spacing w:before="120" w:beforeLines="50"/>
              <w:ind w:firstLine="482"/>
              <w:rPr>
                <w:b/>
                <w:color w:val="000000"/>
              </w:rPr>
            </w:pPr>
            <w:r>
              <w:rPr>
                <w:rFonts w:hint="eastAsia"/>
                <w:b/>
                <w:color w:val="000000"/>
              </w:rPr>
              <w:t>2）噪声治理措施</w:t>
            </w:r>
          </w:p>
          <w:p>
            <w:pPr>
              <w:pStyle w:val="38"/>
              <w:wordWrap/>
              <w:ind w:firstLine="480"/>
              <w:jc w:val="both"/>
              <w:rPr>
                <w:color w:val="000000"/>
              </w:rPr>
            </w:pPr>
            <w:r>
              <w:rPr>
                <w:rFonts w:hint="eastAsia"/>
                <w:color w:val="000000"/>
              </w:rPr>
              <w:t>本次环评要求建设单位做到以下几个措施，降低噪声对周围环境的影响：</w:t>
            </w:r>
          </w:p>
          <w:p>
            <w:pPr>
              <w:spacing w:line="360" w:lineRule="auto"/>
              <w:ind w:firstLine="480" w:firstLineChars="200"/>
              <w:rPr>
                <w:color w:val="000000"/>
                <w:sz w:val="24"/>
              </w:rPr>
            </w:pPr>
            <w:r>
              <w:rPr>
                <w:rFonts w:hint="eastAsia"/>
                <w:color w:val="000000"/>
                <w:sz w:val="24"/>
              </w:rPr>
              <w:t>①优先选择低噪声设备，并采取基础减震措施；</w:t>
            </w:r>
          </w:p>
          <w:p>
            <w:pPr>
              <w:spacing w:line="360" w:lineRule="auto"/>
              <w:ind w:firstLine="480" w:firstLineChars="200"/>
              <w:rPr>
                <w:color w:val="000000"/>
                <w:sz w:val="24"/>
              </w:rPr>
            </w:pPr>
            <w:r>
              <w:rPr>
                <w:rFonts w:hint="eastAsia"/>
                <w:color w:val="000000"/>
                <w:sz w:val="24"/>
              </w:rPr>
              <w:t>②厂房隔声，生产厂房全封闭；</w:t>
            </w:r>
          </w:p>
          <w:p>
            <w:pPr>
              <w:spacing w:line="360" w:lineRule="auto"/>
              <w:ind w:firstLine="480" w:firstLineChars="200"/>
              <w:rPr>
                <w:color w:val="000000"/>
                <w:sz w:val="24"/>
              </w:rPr>
            </w:pPr>
            <w:r>
              <w:rPr>
                <w:rFonts w:hint="eastAsia"/>
                <w:color w:val="000000"/>
                <w:sz w:val="24"/>
              </w:rPr>
              <w:t>夜间（晚22:00-早6:00）不生产，因工程进度需要确需夜间生产的，应主动协调周边敏感住户，并取得谅解；夜间（夏季晚20:00-早7:00，冬季晚19:00-早7:00）不运输，因工程进度需要确需夜间转运的，报项目主管部门和砂管办同意后方可运输。</w:t>
            </w:r>
          </w:p>
          <w:p>
            <w:pPr>
              <w:spacing w:line="360" w:lineRule="auto"/>
              <w:ind w:firstLine="480" w:firstLineChars="200"/>
              <w:rPr>
                <w:color w:val="000000"/>
                <w:sz w:val="24"/>
              </w:rPr>
            </w:pPr>
            <w:r>
              <w:rPr>
                <w:rFonts w:hint="eastAsia"/>
                <w:color w:val="000000"/>
                <w:sz w:val="24"/>
              </w:rPr>
              <w:t>合理安排运输路线；运输车辆限速、禁鸣；</w:t>
            </w:r>
          </w:p>
          <w:p>
            <w:pPr>
              <w:pStyle w:val="38"/>
              <w:ind w:firstLine="480"/>
              <w:rPr>
                <w:color w:val="000000"/>
              </w:rPr>
            </w:pPr>
            <w:r>
              <w:rPr>
                <w:rFonts w:hint="eastAsia"/>
                <w:color w:val="000000"/>
              </w:rPr>
              <w:t>加强设备维护保养，杜绝设备非正常运行噪声。</w:t>
            </w:r>
          </w:p>
          <w:p>
            <w:pPr>
              <w:pStyle w:val="38"/>
              <w:ind w:firstLine="482"/>
              <w:rPr>
                <w:b/>
                <w:color w:val="000000"/>
              </w:rPr>
            </w:pPr>
            <w:r>
              <w:rPr>
                <w:rFonts w:hint="eastAsia"/>
                <w:b/>
                <w:color w:val="000000"/>
              </w:rPr>
              <w:t>3）预测分析</w:t>
            </w:r>
          </w:p>
          <w:p>
            <w:pPr>
              <w:spacing w:line="360" w:lineRule="auto"/>
              <w:ind w:firstLine="480" w:firstLineChars="200"/>
              <w:rPr>
                <w:color w:val="000000"/>
                <w:sz w:val="24"/>
              </w:rPr>
            </w:pPr>
            <w:r>
              <w:rPr>
                <w:color w:val="000000"/>
                <w:sz w:val="24"/>
              </w:rPr>
              <w:t>本项目噪声源主要是</w:t>
            </w:r>
            <w:r>
              <w:rPr>
                <w:rFonts w:hint="eastAsia"/>
                <w:color w:val="000000"/>
                <w:sz w:val="24"/>
              </w:rPr>
              <w:t>洗砂机、破碎机、筛分机</w:t>
            </w:r>
            <w:r>
              <w:rPr>
                <w:color w:val="000000"/>
                <w:sz w:val="24"/>
              </w:rPr>
              <w:t>等生产设备产生噪声，声压级约为</w:t>
            </w:r>
            <w:r>
              <w:rPr>
                <w:rFonts w:hint="eastAsia"/>
                <w:color w:val="000000"/>
                <w:sz w:val="24"/>
              </w:rPr>
              <w:t>80~85</w:t>
            </w:r>
            <w:r>
              <w:rPr>
                <w:color w:val="000000"/>
                <w:sz w:val="24"/>
              </w:rPr>
              <w:t>dB(A)。主要噪声设备均位于生产车间内。本次评价对噪声源强进行预测，具体如下：</w:t>
            </w:r>
          </w:p>
          <w:p>
            <w:pPr>
              <w:spacing w:line="360" w:lineRule="auto"/>
              <w:ind w:firstLine="482" w:firstLineChars="200"/>
              <w:rPr>
                <w:b/>
                <w:color w:val="000000"/>
                <w:sz w:val="24"/>
              </w:rPr>
            </w:pPr>
            <w:r>
              <w:rPr>
                <w:rFonts w:hint="eastAsia" w:cs="宋体"/>
                <w:b/>
                <w:color w:val="000000"/>
                <w:sz w:val="24"/>
              </w:rPr>
              <w:t>①</w:t>
            </w:r>
            <w:r>
              <w:rPr>
                <w:b/>
                <w:color w:val="000000"/>
                <w:sz w:val="24"/>
              </w:rPr>
              <w:t>预测模式：</w:t>
            </w:r>
          </w:p>
          <w:p>
            <w:pPr>
              <w:wordWrap w:val="0"/>
              <w:adjustRightInd w:val="0"/>
              <w:snapToGrid w:val="0"/>
              <w:spacing w:line="360" w:lineRule="auto"/>
              <w:ind w:firstLine="480" w:firstLineChars="200"/>
              <w:jc w:val="left"/>
              <w:rPr>
                <w:color w:val="000000"/>
                <w:sz w:val="24"/>
              </w:rPr>
            </w:pPr>
            <w:r>
              <w:rPr>
                <w:color w:val="000000"/>
                <w:sz w:val="24"/>
              </w:rPr>
              <w:t>预测模式如下：</w:t>
            </w:r>
          </w:p>
          <w:p>
            <w:pPr>
              <w:pStyle w:val="38"/>
              <w:ind w:firstLine="480"/>
              <w:rPr>
                <w:color w:val="000000"/>
              </w:rPr>
            </w:pPr>
            <w:r>
              <w:rPr>
                <w:color w:val="000000"/>
              </w:rPr>
              <w:t>（1）</w:t>
            </w:r>
            <w:r>
              <w:rPr>
                <w:rFonts w:hint="eastAsia"/>
                <w:color w:val="000000"/>
              </w:rPr>
              <w:t>无指向性点声源的几何发散衰减公式：</w:t>
            </w:r>
          </w:p>
          <w:p>
            <w:pPr>
              <w:pStyle w:val="38"/>
              <w:ind w:firstLine="0" w:firstLineChars="0"/>
              <w:jc w:val="center"/>
              <w:rPr>
                <w:color w:val="000000"/>
                <w:szCs w:val="26"/>
              </w:rPr>
            </w:pPr>
            <w:r>
              <w:rPr>
                <w:color w:val="000000"/>
              </w:rPr>
              <w:drawing>
                <wp:inline distT="0" distB="0" distL="0" distR="0">
                  <wp:extent cx="1638935" cy="241300"/>
                  <wp:effectExtent l="0" t="0" r="0" b="635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638935" cy="241300"/>
                          </a:xfrm>
                          <a:prstGeom prst="rect">
                            <a:avLst/>
                          </a:prstGeom>
                          <a:noFill/>
                          <a:ln>
                            <a:noFill/>
                          </a:ln>
                        </pic:spPr>
                      </pic:pic>
                    </a:graphicData>
                  </a:graphic>
                </wp:inline>
              </w:drawing>
            </w:r>
          </w:p>
          <w:p>
            <w:pPr>
              <w:pStyle w:val="38"/>
              <w:ind w:firstLine="480"/>
              <w:rPr>
                <w:color w:val="000000"/>
                <w:szCs w:val="26"/>
              </w:rPr>
            </w:pPr>
            <w:r>
              <w:rPr>
                <w:color w:val="000000"/>
                <w:szCs w:val="26"/>
              </w:rPr>
              <w:t>式中：</w:t>
            </w:r>
            <w:r>
              <w:rPr>
                <w:i/>
                <w:color w:val="000000"/>
                <w:szCs w:val="26"/>
              </w:rPr>
              <w:t>L</w:t>
            </w:r>
            <w:r>
              <w:rPr>
                <w:i/>
                <w:color w:val="000000"/>
                <w:szCs w:val="26"/>
                <w:vertAlign w:val="subscript"/>
              </w:rPr>
              <w:t>P</w:t>
            </w:r>
            <w:r>
              <w:rPr>
                <w:rFonts w:hint="eastAsia"/>
                <w:i/>
                <w:color w:val="000000"/>
                <w:szCs w:val="26"/>
                <w:vertAlign w:val="subscript"/>
              </w:rPr>
              <w:t>（r）</w:t>
            </w:r>
            <w:r>
              <w:rPr>
                <w:color w:val="000000"/>
                <w:szCs w:val="26"/>
              </w:rPr>
              <w:t>—</w:t>
            </w:r>
            <w:r>
              <w:rPr>
                <w:rFonts w:hint="eastAsia"/>
                <w:color w:val="000000"/>
                <w:szCs w:val="26"/>
              </w:rPr>
              <w:t>预测点处声压级，dB；</w:t>
            </w:r>
          </w:p>
          <w:p>
            <w:pPr>
              <w:pStyle w:val="38"/>
              <w:ind w:firstLine="1200" w:firstLineChars="500"/>
              <w:rPr>
                <w:color w:val="000000"/>
                <w:szCs w:val="26"/>
              </w:rPr>
            </w:pPr>
            <w:r>
              <w:rPr>
                <w:i/>
                <w:color w:val="000000"/>
                <w:szCs w:val="26"/>
              </w:rPr>
              <w:t>L</w:t>
            </w:r>
            <w:r>
              <w:rPr>
                <w:i/>
                <w:color w:val="000000"/>
                <w:szCs w:val="26"/>
                <w:vertAlign w:val="subscript"/>
              </w:rPr>
              <w:t>P</w:t>
            </w:r>
            <w:r>
              <w:rPr>
                <w:rFonts w:hint="eastAsia"/>
                <w:i/>
                <w:color w:val="000000"/>
                <w:szCs w:val="26"/>
                <w:vertAlign w:val="subscript"/>
              </w:rPr>
              <w:t>（r0）</w:t>
            </w:r>
            <w:r>
              <w:rPr>
                <w:color w:val="000000"/>
                <w:szCs w:val="26"/>
              </w:rPr>
              <w:t>—</w:t>
            </w:r>
            <w:r>
              <w:rPr>
                <w:rFonts w:hint="eastAsia"/>
                <w:color w:val="000000"/>
                <w:szCs w:val="26"/>
              </w:rPr>
              <w:t>参考位置距声源的距离</w:t>
            </w:r>
            <w:r>
              <w:rPr>
                <w:color w:val="000000"/>
                <w:szCs w:val="26"/>
              </w:rPr>
              <w:t>；</w:t>
            </w:r>
          </w:p>
          <w:p>
            <w:pPr>
              <w:pStyle w:val="38"/>
              <w:ind w:firstLine="480"/>
              <w:rPr>
                <w:color w:val="000000"/>
                <w:szCs w:val="26"/>
              </w:rPr>
            </w:pPr>
            <w:r>
              <w:rPr>
                <w:rFonts w:hint="eastAsia"/>
                <w:color w:val="000000"/>
                <w:szCs w:val="26"/>
              </w:rPr>
              <w:t>（2）室内声源等效室外声源声功率级计算方法</w:t>
            </w:r>
          </w:p>
          <w:p>
            <w:pPr>
              <w:pStyle w:val="38"/>
              <w:ind w:firstLine="0" w:firstLineChars="0"/>
              <w:jc w:val="center"/>
              <w:rPr>
                <w:color w:val="000000"/>
                <w:szCs w:val="26"/>
              </w:rPr>
            </w:pPr>
            <w:r>
              <w:rPr>
                <w:color w:val="000000"/>
              </w:rPr>
              <w:drawing>
                <wp:inline distT="0" distB="0" distL="0" distR="0">
                  <wp:extent cx="1224915" cy="241300"/>
                  <wp:effectExtent l="0" t="0" r="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224915" cy="241300"/>
                          </a:xfrm>
                          <a:prstGeom prst="rect">
                            <a:avLst/>
                          </a:prstGeom>
                          <a:noFill/>
                          <a:ln>
                            <a:noFill/>
                          </a:ln>
                        </pic:spPr>
                      </pic:pic>
                    </a:graphicData>
                  </a:graphic>
                </wp:inline>
              </w:drawing>
            </w:r>
          </w:p>
          <w:p>
            <w:pPr>
              <w:pStyle w:val="38"/>
              <w:ind w:firstLine="480"/>
              <w:rPr>
                <w:color w:val="000000"/>
                <w:szCs w:val="26"/>
              </w:rPr>
            </w:pPr>
            <w:r>
              <w:rPr>
                <w:rFonts w:hint="eastAsia"/>
                <w:color w:val="000000"/>
                <w:szCs w:val="26"/>
              </w:rPr>
              <w:t>式中：</w:t>
            </w:r>
            <w:r>
              <w:rPr>
                <w:rFonts w:hint="eastAsia"/>
                <w:i/>
                <w:color w:val="000000"/>
                <w:szCs w:val="26"/>
              </w:rPr>
              <w:t>L</w:t>
            </w:r>
            <w:r>
              <w:rPr>
                <w:rFonts w:hint="eastAsia"/>
                <w:i/>
                <w:color w:val="000000"/>
                <w:szCs w:val="26"/>
                <w:vertAlign w:val="subscript"/>
              </w:rPr>
              <w:t>p1</w:t>
            </w:r>
            <w:r>
              <w:rPr>
                <w:rFonts w:hint="eastAsia"/>
                <w:color w:val="000000"/>
                <w:szCs w:val="26"/>
              </w:rPr>
              <w:t>——靠近开口处（窗户）室内某倍频带的声压级或A声级，dB；</w:t>
            </w:r>
          </w:p>
          <w:p>
            <w:pPr>
              <w:pStyle w:val="38"/>
              <w:ind w:firstLine="1200" w:firstLineChars="500"/>
              <w:rPr>
                <w:color w:val="000000"/>
                <w:szCs w:val="26"/>
              </w:rPr>
            </w:pPr>
            <w:r>
              <w:rPr>
                <w:rFonts w:hint="eastAsia"/>
                <w:i/>
                <w:color w:val="000000"/>
                <w:szCs w:val="26"/>
              </w:rPr>
              <w:t>L</w:t>
            </w:r>
            <w:r>
              <w:rPr>
                <w:rFonts w:hint="eastAsia"/>
                <w:i/>
                <w:color w:val="000000"/>
                <w:szCs w:val="26"/>
                <w:vertAlign w:val="subscript"/>
              </w:rPr>
              <w:t>p2</w:t>
            </w:r>
            <w:r>
              <w:rPr>
                <w:rFonts w:hint="eastAsia"/>
                <w:color w:val="000000"/>
                <w:szCs w:val="26"/>
              </w:rPr>
              <w:t>——靠近开口处（窗户）室外某倍频带的声压级或A声级，dB；</w:t>
            </w:r>
          </w:p>
          <w:p>
            <w:pPr>
              <w:pStyle w:val="38"/>
              <w:ind w:firstLine="1200" w:firstLineChars="500"/>
              <w:rPr>
                <w:color w:val="000000"/>
                <w:szCs w:val="26"/>
              </w:rPr>
            </w:pPr>
            <w:r>
              <w:rPr>
                <w:rFonts w:hint="eastAsia"/>
                <w:i/>
                <w:color w:val="000000"/>
                <w:szCs w:val="26"/>
              </w:rPr>
              <w:t>TL</w:t>
            </w:r>
            <w:r>
              <w:rPr>
                <w:rFonts w:hint="eastAsia"/>
                <w:color w:val="000000"/>
                <w:szCs w:val="26"/>
              </w:rPr>
              <w:t>——隔墙（窗户）倍频带或A声级的隔音量，dB。</w:t>
            </w:r>
          </w:p>
          <w:p>
            <w:pPr>
              <w:pStyle w:val="38"/>
              <w:ind w:firstLine="480"/>
              <w:rPr>
                <w:color w:val="000000"/>
                <w:szCs w:val="26"/>
              </w:rPr>
            </w:pPr>
            <w:r>
              <w:rPr>
                <w:color w:val="000000"/>
                <w:szCs w:val="26"/>
              </w:rPr>
              <w:t>（</w:t>
            </w:r>
            <w:r>
              <w:rPr>
                <w:rFonts w:hint="eastAsia"/>
                <w:color w:val="000000"/>
                <w:szCs w:val="26"/>
              </w:rPr>
              <w:t>3</w:t>
            </w:r>
            <w:r>
              <w:rPr>
                <w:color w:val="000000"/>
                <w:szCs w:val="26"/>
              </w:rPr>
              <w:t>）</w:t>
            </w:r>
            <w:r>
              <w:rPr>
                <w:rFonts w:hint="eastAsia"/>
                <w:color w:val="000000"/>
                <w:szCs w:val="26"/>
              </w:rPr>
              <w:t>工业企业噪声计算：</w:t>
            </w:r>
          </w:p>
          <w:p>
            <w:pPr>
              <w:pStyle w:val="38"/>
              <w:ind w:firstLine="0" w:firstLineChars="0"/>
              <w:jc w:val="center"/>
              <w:rPr>
                <w:color w:val="000000"/>
                <w:szCs w:val="26"/>
              </w:rPr>
            </w:pPr>
            <w:r>
              <w:rPr>
                <w:color w:val="000000"/>
              </w:rPr>
              <w:drawing>
                <wp:inline distT="0" distB="0" distL="0" distR="0">
                  <wp:extent cx="2622550" cy="483235"/>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622550" cy="483235"/>
                          </a:xfrm>
                          <a:prstGeom prst="rect">
                            <a:avLst/>
                          </a:prstGeom>
                          <a:noFill/>
                          <a:ln>
                            <a:noFill/>
                          </a:ln>
                        </pic:spPr>
                      </pic:pic>
                    </a:graphicData>
                  </a:graphic>
                </wp:inline>
              </w:drawing>
            </w:r>
          </w:p>
          <w:p>
            <w:pPr>
              <w:pStyle w:val="38"/>
              <w:ind w:firstLine="480"/>
              <w:rPr>
                <w:color w:val="000000"/>
                <w:szCs w:val="26"/>
              </w:rPr>
            </w:pPr>
            <w:r>
              <w:rPr>
                <w:rFonts w:hint="eastAsia"/>
                <w:color w:val="000000"/>
                <w:szCs w:val="26"/>
              </w:rPr>
              <w:t>式中：L</w:t>
            </w:r>
            <w:r>
              <w:rPr>
                <w:rFonts w:hint="eastAsia"/>
                <w:color w:val="000000"/>
                <w:szCs w:val="26"/>
                <w:vertAlign w:val="subscript"/>
              </w:rPr>
              <w:t>eqg</w:t>
            </w:r>
            <w:r>
              <w:rPr>
                <w:rFonts w:hint="eastAsia"/>
                <w:color w:val="000000"/>
                <w:szCs w:val="26"/>
              </w:rPr>
              <w:t>——建设项目声源在预测点的等效声级贡献值，dB；</w:t>
            </w:r>
          </w:p>
          <w:p>
            <w:pPr>
              <w:pStyle w:val="38"/>
              <w:ind w:firstLine="1200" w:firstLineChars="500"/>
              <w:rPr>
                <w:color w:val="000000"/>
                <w:szCs w:val="26"/>
              </w:rPr>
            </w:pPr>
            <w:r>
              <w:rPr>
                <w:rFonts w:hint="eastAsia"/>
                <w:color w:val="000000"/>
                <w:szCs w:val="26"/>
              </w:rPr>
              <w:t>T——用于计算等效声级的时间，s；</w:t>
            </w:r>
          </w:p>
          <w:p>
            <w:pPr>
              <w:pStyle w:val="38"/>
              <w:ind w:firstLine="1200" w:firstLineChars="500"/>
              <w:rPr>
                <w:color w:val="000000"/>
                <w:szCs w:val="26"/>
              </w:rPr>
            </w:pPr>
            <w:r>
              <w:rPr>
                <w:rFonts w:hint="eastAsia"/>
                <w:color w:val="000000"/>
                <w:szCs w:val="26"/>
              </w:rPr>
              <w:t>N——室外声源个数；</w:t>
            </w:r>
          </w:p>
          <w:p>
            <w:pPr>
              <w:pStyle w:val="38"/>
              <w:ind w:firstLine="1200" w:firstLineChars="500"/>
              <w:rPr>
                <w:color w:val="000000"/>
                <w:szCs w:val="26"/>
              </w:rPr>
            </w:pPr>
            <w:r>
              <w:rPr>
                <w:rFonts w:hint="eastAsia"/>
                <w:color w:val="000000"/>
                <w:szCs w:val="26"/>
              </w:rPr>
              <w:t>t</w:t>
            </w:r>
            <w:r>
              <w:rPr>
                <w:rFonts w:hint="eastAsia"/>
                <w:color w:val="000000"/>
                <w:szCs w:val="26"/>
                <w:vertAlign w:val="subscript"/>
              </w:rPr>
              <w:t>i</w:t>
            </w:r>
            <w:r>
              <w:rPr>
                <w:rFonts w:hint="eastAsia"/>
                <w:color w:val="000000"/>
                <w:szCs w:val="26"/>
              </w:rPr>
              <w:t>——在T时间内i声源工作时间，s；</w:t>
            </w:r>
          </w:p>
          <w:p>
            <w:pPr>
              <w:pStyle w:val="38"/>
              <w:ind w:firstLine="1200" w:firstLineChars="500"/>
              <w:rPr>
                <w:color w:val="000000"/>
                <w:szCs w:val="26"/>
              </w:rPr>
            </w:pPr>
            <w:r>
              <w:rPr>
                <w:rFonts w:hint="eastAsia"/>
                <w:color w:val="000000"/>
                <w:szCs w:val="26"/>
              </w:rPr>
              <w:t>M——等效室外声源个数；</w:t>
            </w:r>
          </w:p>
          <w:p>
            <w:pPr>
              <w:pStyle w:val="38"/>
              <w:ind w:firstLine="1200" w:firstLineChars="500"/>
              <w:rPr>
                <w:color w:val="000000"/>
                <w:szCs w:val="26"/>
              </w:rPr>
            </w:pPr>
            <w:r>
              <w:rPr>
                <w:rFonts w:hint="eastAsia"/>
                <w:color w:val="000000"/>
                <w:szCs w:val="26"/>
              </w:rPr>
              <w:t>t</w:t>
            </w:r>
            <w:r>
              <w:rPr>
                <w:rFonts w:hint="eastAsia"/>
                <w:color w:val="000000"/>
                <w:szCs w:val="26"/>
                <w:vertAlign w:val="subscript"/>
              </w:rPr>
              <w:t>j</w:t>
            </w:r>
            <w:r>
              <w:rPr>
                <w:rFonts w:hint="eastAsia"/>
                <w:color w:val="000000"/>
                <w:szCs w:val="26"/>
              </w:rPr>
              <w:t>——在T时间内j声源工作时间，s。</w:t>
            </w:r>
          </w:p>
          <w:p>
            <w:pPr>
              <w:pStyle w:val="38"/>
              <w:ind w:firstLine="480"/>
              <w:rPr>
                <w:color w:val="000000"/>
                <w:szCs w:val="26"/>
              </w:rPr>
            </w:pPr>
            <w:r>
              <w:rPr>
                <w:rFonts w:hint="eastAsia"/>
                <w:color w:val="000000"/>
                <w:szCs w:val="26"/>
              </w:rPr>
              <w:t>（4）</w:t>
            </w:r>
            <w:r>
              <w:rPr>
                <w:color w:val="000000"/>
                <w:szCs w:val="26"/>
              </w:rPr>
              <w:t>预测点的预测等效声级（Leq）计算公式：</w:t>
            </w:r>
          </w:p>
          <w:p>
            <w:pPr>
              <w:pStyle w:val="38"/>
              <w:ind w:firstLine="480"/>
              <w:jc w:val="center"/>
              <w:rPr>
                <w:color w:val="000000"/>
                <w:szCs w:val="26"/>
              </w:rPr>
            </w:pPr>
            <w:r>
              <w:rPr>
                <w:color w:val="000000"/>
              </w:rPr>
              <w:drawing>
                <wp:inline distT="0" distB="0" distL="0" distR="0">
                  <wp:extent cx="1714500" cy="257175"/>
                  <wp:effectExtent l="0" t="0" r="0" b="9525"/>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44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714500" cy="257175"/>
                          </a:xfrm>
                          <a:prstGeom prst="rect">
                            <a:avLst/>
                          </a:prstGeom>
                          <a:noFill/>
                          <a:ln>
                            <a:noFill/>
                          </a:ln>
                        </pic:spPr>
                      </pic:pic>
                    </a:graphicData>
                  </a:graphic>
                </wp:inline>
              </w:drawing>
            </w:r>
          </w:p>
          <w:p>
            <w:pPr>
              <w:pStyle w:val="38"/>
              <w:ind w:firstLine="480"/>
              <w:rPr>
                <w:color w:val="000000"/>
                <w:szCs w:val="26"/>
              </w:rPr>
            </w:pPr>
            <w:r>
              <w:rPr>
                <w:color w:val="000000"/>
                <w:szCs w:val="26"/>
              </w:rPr>
              <w:t>式中：</w:t>
            </w:r>
            <w:r>
              <w:rPr>
                <w:i/>
                <w:color w:val="000000"/>
                <w:szCs w:val="26"/>
              </w:rPr>
              <w:t>L</w:t>
            </w:r>
            <w:r>
              <w:rPr>
                <w:i/>
                <w:color w:val="000000"/>
                <w:szCs w:val="26"/>
                <w:vertAlign w:val="subscript"/>
              </w:rPr>
              <w:t>eqg</w:t>
            </w:r>
            <w:r>
              <w:rPr>
                <w:rFonts w:hint="eastAsia"/>
                <w:color w:val="000000"/>
                <w:szCs w:val="26"/>
              </w:rPr>
              <w:t>——</w:t>
            </w:r>
            <w:r>
              <w:rPr>
                <w:color w:val="000000"/>
                <w:szCs w:val="26"/>
              </w:rPr>
              <w:t>建设项目声源在预测点的等效声级贡献值，dB（A）；</w:t>
            </w:r>
          </w:p>
          <w:p>
            <w:pPr>
              <w:pStyle w:val="38"/>
              <w:ind w:firstLine="1200" w:firstLineChars="500"/>
              <w:rPr>
                <w:b/>
                <w:bCs/>
                <w:color w:val="000000"/>
              </w:rPr>
            </w:pPr>
            <w:r>
              <w:rPr>
                <w:i/>
                <w:color w:val="000000"/>
                <w:szCs w:val="26"/>
              </w:rPr>
              <w:t>L</w:t>
            </w:r>
            <w:r>
              <w:rPr>
                <w:i/>
                <w:color w:val="000000"/>
                <w:szCs w:val="26"/>
                <w:vertAlign w:val="subscript"/>
              </w:rPr>
              <w:t>eqb</w:t>
            </w:r>
            <w:r>
              <w:rPr>
                <w:rFonts w:hint="eastAsia"/>
                <w:i/>
                <w:color w:val="000000"/>
                <w:szCs w:val="26"/>
              </w:rPr>
              <w:t>——</w:t>
            </w:r>
            <w:r>
              <w:rPr>
                <w:color w:val="000000"/>
                <w:szCs w:val="26"/>
              </w:rPr>
              <w:t>预测点的背景值，dB（A）。</w:t>
            </w:r>
          </w:p>
          <w:p>
            <w:pPr>
              <w:spacing w:line="360" w:lineRule="auto"/>
              <w:ind w:firstLine="482" w:firstLineChars="200"/>
              <w:jc w:val="left"/>
              <w:rPr>
                <w:b/>
                <w:color w:val="000000"/>
                <w:sz w:val="24"/>
              </w:rPr>
            </w:pPr>
            <w:r>
              <w:rPr>
                <w:rFonts w:hint="eastAsia"/>
                <w:b/>
                <w:color w:val="000000"/>
                <w:sz w:val="24"/>
              </w:rPr>
              <w:t>②预测结果</w:t>
            </w:r>
          </w:p>
          <w:p>
            <w:pPr>
              <w:spacing w:line="360" w:lineRule="auto"/>
              <w:ind w:firstLine="480" w:firstLineChars="200"/>
              <w:rPr>
                <w:color w:val="000000"/>
                <w:sz w:val="24"/>
              </w:rPr>
            </w:pPr>
            <w:r>
              <w:rPr>
                <w:rFonts w:hint="eastAsia"/>
                <w:color w:val="000000"/>
                <w:sz w:val="24"/>
              </w:rPr>
              <w:t>根据噪声衰减公式对各设备声源在不同距离的衰减量进行计算得出本工程噪声的贡献值，工程噪声预测结果如下表所示。</w:t>
            </w:r>
          </w:p>
          <w:p>
            <w:pPr>
              <w:pStyle w:val="40"/>
              <w:spacing w:line="240" w:lineRule="auto"/>
            </w:pPr>
            <w:r>
              <w:rPr>
                <w:rFonts w:hint="eastAsia"/>
              </w:rPr>
              <w:t>表4-</w:t>
            </w:r>
            <w:r>
              <w:t xml:space="preserve">10 </w:t>
            </w:r>
            <w:r>
              <w:rPr>
                <w:rFonts w:hint="eastAsia"/>
              </w:rPr>
              <w:t>本工程各主要噪声源对各厂界噪声贡献值</w:t>
            </w:r>
            <w:r>
              <w:t xml:space="preserve">    </w:t>
            </w:r>
            <w:r>
              <w:rPr>
                <w:rFonts w:hint="eastAsia"/>
              </w:rPr>
              <w:t>单位：</w:t>
            </w:r>
            <w:r>
              <w:t>dB</w:t>
            </w:r>
            <w:r>
              <w:rPr>
                <w:rFonts w:hint="eastAsia"/>
              </w:rPr>
              <w:t>（</w:t>
            </w:r>
            <w:r>
              <w:t>A</w:t>
            </w:r>
            <w:r>
              <w:rPr>
                <w:rFonts w:hint="eastAsia"/>
              </w:rPr>
              <w:t>）</w:t>
            </w:r>
          </w:p>
          <w:tbl>
            <w:tblPr>
              <w:tblStyle w:val="14"/>
              <w:tblW w:w="846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90"/>
              <w:gridCol w:w="1417"/>
              <w:gridCol w:w="1350"/>
              <w:gridCol w:w="1252"/>
              <w:gridCol w:w="1253"/>
              <w:gridCol w:w="1253"/>
              <w:gridCol w:w="125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 w:hRule="atLeast"/>
                <w:jc w:val="center"/>
              </w:trPr>
              <w:tc>
                <w:tcPr>
                  <w:tcW w:w="690" w:type="dxa"/>
                  <w:vMerge w:val="restart"/>
                  <w:tcBorders>
                    <w:top w:val="single" w:color="auto" w:sz="12" w:space="0"/>
                    <w:left w:val="nil"/>
                    <w:bottom w:val="single" w:color="auto" w:sz="6" w:space="0"/>
                    <w:right w:val="single" w:color="auto" w:sz="6" w:space="0"/>
                  </w:tcBorders>
                  <w:vAlign w:val="center"/>
                </w:tcPr>
                <w:p>
                  <w:pPr>
                    <w:pStyle w:val="36"/>
                    <w:rPr>
                      <w:b/>
                      <w:color w:val="000000"/>
                    </w:rPr>
                  </w:pPr>
                  <w:r>
                    <w:rPr>
                      <w:rFonts w:hint="eastAsia"/>
                      <w:b/>
                      <w:color w:val="000000"/>
                    </w:rPr>
                    <w:t>序号</w:t>
                  </w:r>
                </w:p>
              </w:tc>
              <w:tc>
                <w:tcPr>
                  <w:tcW w:w="1417" w:type="dxa"/>
                  <w:vMerge w:val="restart"/>
                  <w:tcBorders>
                    <w:top w:val="single" w:color="auto" w:sz="12" w:space="0"/>
                    <w:left w:val="single" w:color="auto" w:sz="6" w:space="0"/>
                    <w:bottom w:val="single" w:color="auto" w:sz="6" w:space="0"/>
                    <w:right w:val="single" w:color="auto" w:sz="6" w:space="0"/>
                  </w:tcBorders>
                  <w:vAlign w:val="center"/>
                </w:tcPr>
                <w:p>
                  <w:pPr>
                    <w:pStyle w:val="36"/>
                    <w:rPr>
                      <w:b/>
                      <w:color w:val="000000"/>
                    </w:rPr>
                  </w:pPr>
                  <w:r>
                    <w:rPr>
                      <w:rFonts w:hint="eastAsia"/>
                      <w:b/>
                      <w:color w:val="000000"/>
                    </w:rPr>
                    <w:t>噪声源</w:t>
                  </w:r>
                </w:p>
              </w:tc>
              <w:tc>
                <w:tcPr>
                  <w:tcW w:w="1350" w:type="dxa"/>
                  <w:vMerge w:val="restart"/>
                  <w:tcBorders>
                    <w:top w:val="single" w:color="auto" w:sz="12" w:space="0"/>
                    <w:left w:val="single" w:color="auto" w:sz="6" w:space="0"/>
                    <w:right w:val="single" w:color="auto" w:sz="6" w:space="0"/>
                  </w:tcBorders>
                  <w:vAlign w:val="center"/>
                </w:tcPr>
                <w:p>
                  <w:pPr>
                    <w:pStyle w:val="36"/>
                    <w:rPr>
                      <w:b/>
                      <w:color w:val="000000"/>
                    </w:rPr>
                  </w:pPr>
                  <w:r>
                    <w:rPr>
                      <w:rFonts w:hint="eastAsia"/>
                      <w:b/>
                      <w:color w:val="000000"/>
                    </w:rPr>
                    <w:t>数量</w:t>
                  </w:r>
                </w:p>
              </w:tc>
              <w:tc>
                <w:tcPr>
                  <w:tcW w:w="5011" w:type="dxa"/>
                  <w:gridSpan w:val="4"/>
                  <w:tcBorders>
                    <w:top w:val="single" w:color="auto" w:sz="12" w:space="0"/>
                    <w:left w:val="single" w:color="auto" w:sz="6" w:space="0"/>
                    <w:bottom w:val="single" w:color="auto" w:sz="6" w:space="0"/>
                    <w:right w:val="nil"/>
                  </w:tcBorders>
                  <w:vAlign w:val="center"/>
                </w:tcPr>
                <w:p>
                  <w:pPr>
                    <w:pStyle w:val="36"/>
                    <w:rPr>
                      <w:b/>
                      <w:color w:val="000000"/>
                    </w:rPr>
                  </w:pPr>
                  <w:r>
                    <w:rPr>
                      <w:rFonts w:hint="eastAsia"/>
                      <w:b/>
                      <w:color w:val="000000"/>
                    </w:rPr>
                    <w:t>贡献值（</w:t>
                  </w:r>
                  <w:r>
                    <w:rPr>
                      <w:b/>
                      <w:color w:val="000000"/>
                    </w:rPr>
                    <w:t>dB</w:t>
                  </w:r>
                  <w:r>
                    <w:rPr>
                      <w:rFonts w:hint="eastAsia"/>
                      <w:b/>
                      <w:color w:val="000000"/>
                    </w:rPr>
                    <w:t>（</w:t>
                  </w:r>
                  <w:r>
                    <w:rPr>
                      <w:b/>
                      <w:color w:val="000000"/>
                    </w:rPr>
                    <w:t>A</w:t>
                  </w:r>
                  <w:r>
                    <w:rPr>
                      <w:rFonts w:hint="eastAsia"/>
                      <w:b/>
                      <w:color w:val="000000"/>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690" w:type="dxa"/>
                  <w:vMerge w:val="continue"/>
                  <w:tcBorders>
                    <w:top w:val="single" w:color="auto" w:sz="6" w:space="0"/>
                    <w:left w:val="nil"/>
                    <w:bottom w:val="single" w:color="auto" w:sz="6" w:space="0"/>
                    <w:right w:val="single" w:color="auto" w:sz="6" w:space="0"/>
                  </w:tcBorders>
                  <w:vAlign w:val="center"/>
                </w:tcPr>
                <w:p>
                  <w:pPr>
                    <w:pStyle w:val="36"/>
                    <w:rPr>
                      <w:b/>
                      <w:color w:val="000000"/>
                    </w:rPr>
                  </w:pPr>
                </w:p>
              </w:tc>
              <w:tc>
                <w:tcPr>
                  <w:tcW w:w="1417" w:type="dxa"/>
                  <w:vMerge w:val="continue"/>
                  <w:tcBorders>
                    <w:top w:val="single" w:color="auto" w:sz="6" w:space="0"/>
                    <w:left w:val="single" w:color="auto" w:sz="6" w:space="0"/>
                    <w:bottom w:val="single" w:color="auto" w:sz="6" w:space="0"/>
                    <w:right w:val="single" w:color="auto" w:sz="6" w:space="0"/>
                  </w:tcBorders>
                  <w:vAlign w:val="center"/>
                </w:tcPr>
                <w:p>
                  <w:pPr>
                    <w:pStyle w:val="36"/>
                    <w:rPr>
                      <w:b/>
                      <w:color w:val="000000"/>
                    </w:rPr>
                  </w:pPr>
                </w:p>
              </w:tc>
              <w:tc>
                <w:tcPr>
                  <w:tcW w:w="1350" w:type="dxa"/>
                  <w:vMerge w:val="continue"/>
                  <w:tcBorders>
                    <w:left w:val="single" w:color="auto" w:sz="6" w:space="0"/>
                    <w:right w:val="single" w:color="auto" w:sz="6" w:space="0"/>
                  </w:tcBorders>
                  <w:vAlign w:val="center"/>
                </w:tcPr>
                <w:p>
                  <w:pPr>
                    <w:pStyle w:val="36"/>
                    <w:rPr>
                      <w:b/>
                      <w:color w:val="000000"/>
                    </w:rPr>
                  </w:pPr>
                </w:p>
              </w:tc>
              <w:tc>
                <w:tcPr>
                  <w:tcW w:w="1252" w:type="dxa"/>
                  <w:tcBorders>
                    <w:top w:val="single" w:color="auto" w:sz="6" w:space="0"/>
                    <w:left w:val="single" w:color="auto" w:sz="6" w:space="0"/>
                    <w:bottom w:val="single" w:color="auto" w:sz="6" w:space="0"/>
                    <w:right w:val="single" w:color="auto" w:sz="6" w:space="0"/>
                  </w:tcBorders>
                  <w:vAlign w:val="center"/>
                </w:tcPr>
                <w:p>
                  <w:pPr>
                    <w:pStyle w:val="36"/>
                    <w:rPr>
                      <w:b/>
                      <w:color w:val="000000"/>
                    </w:rPr>
                  </w:pPr>
                  <w:r>
                    <w:rPr>
                      <w:rFonts w:hint="eastAsia"/>
                      <w:b/>
                      <w:color w:val="000000"/>
                    </w:rPr>
                    <w:t>东厂界</w:t>
                  </w:r>
                </w:p>
              </w:tc>
              <w:tc>
                <w:tcPr>
                  <w:tcW w:w="1253" w:type="dxa"/>
                  <w:tcBorders>
                    <w:top w:val="single" w:color="auto" w:sz="6" w:space="0"/>
                    <w:left w:val="single" w:color="auto" w:sz="6" w:space="0"/>
                    <w:bottom w:val="single" w:color="auto" w:sz="6" w:space="0"/>
                    <w:right w:val="single" w:color="auto" w:sz="6" w:space="0"/>
                  </w:tcBorders>
                  <w:vAlign w:val="center"/>
                </w:tcPr>
                <w:p>
                  <w:pPr>
                    <w:pStyle w:val="36"/>
                    <w:rPr>
                      <w:b/>
                      <w:color w:val="000000"/>
                    </w:rPr>
                  </w:pPr>
                  <w:r>
                    <w:rPr>
                      <w:rFonts w:hint="eastAsia"/>
                      <w:b/>
                      <w:color w:val="000000"/>
                    </w:rPr>
                    <w:t>南厂界</w:t>
                  </w:r>
                </w:p>
              </w:tc>
              <w:tc>
                <w:tcPr>
                  <w:tcW w:w="1253" w:type="dxa"/>
                  <w:tcBorders>
                    <w:top w:val="single" w:color="auto" w:sz="6" w:space="0"/>
                    <w:left w:val="single" w:color="auto" w:sz="6" w:space="0"/>
                    <w:bottom w:val="single" w:color="auto" w:sz="6" w:space="0"/>
                    <w:right w:val="single" w:color="auto" w:sz="6" w:space="0"/>
                  </w:tcBorders>
                  <w:vAlign w:val="center"/>
                </w:tcPr>
                <w:p>
                  <w:pPr>
                    <w:pStyle w:val="36"/>
                    <w:rPr>
                      <w:b/>
                      <w:color w:val="000000"/>
                    </w:rPr>
                  </w:pPr>
                  <w:r>
                    <w:rPr>
                      <w:rFonts w:hint="eastAsia"/>
                      <w:b/>
                      <w:color w:val="000000"/>
                    </w:rPr>
                    <w:t>西厂界</w:t>
                  </w:r>
                </w:p>
              </w:tc>
              <w:tc>
                <w:tcPr>
                  <w:tcW w:w="1253" w:type="dxa"/>
                  <w:tcBorders>
                    <w:top w:val="single" w:color="auto" w:sz="6" w:space="0"/>
                    <w:left w:val="single" w:color="auto" w:sz="6" w:space="0"/>
                    <w:bottom w:val="single" w:color="auto" w:sz="6" w:space="0"/>
                    <w:right w:val="nil"/>
                  </w:tcBorders>
                  <w:vAlign w:val="center"/>
                </w:tcPr>
                <w:p>
                  <w:pPr>
                    <w:pStyle w:val="36"/>
                    <w:rPr>
                      <w:b/>
                      <w:color w:val="000000"/>
                    </w:rPr>
                  </w:pPr>
                  <w:r>
                    <w:rPr>
                      <w:rFonts w:hint="eastAsia"/>
                      <w:b/>
                      <w:color w:val="000000"/>
                    </w:rPr>
                    <w:t>北厂界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690" w:type="dxa"/>
                  <w:tcBorders>
                    <w:top w:val="single" w:color="auto" w:sz="6" w:space="0"/>
                    <w:left w:val="nil"/>
                    <w:bottom w:val="single" w:color="auto" w:sz="6" w:space="0"/>
                    <w:right w:val="single" w:color="auto" w:sz="6" w:space="0"/>
                  </w:tcBorders>
                  <w:vAlign w:val="center"/>
                </w:tcPr>
                <w:p>
                  <w:pPr>
                    <w:pStyle w:val="36"/>
                    <w:rPr>
                      <w:color w:val="000000"/>
                    </w:rPr>
                  </w:pPr>
                  <w:r>
                    <w:rPr>
                      <w:color w:val="000000"/>
                    </w:rPr>
                    <w:t>1</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color w:val="000000"/>
                      <w:kern w:val="0"/>
                      <w:szCs w:val="21"/>
                    </w:rPr>
                  </w:pPr>
                  <w:r>
                    <w:rPr>
                      <w:rFonts w:hint="eastAsia"/>
                    </w:rPr>
                    <w:t>洗砂</w:t>
                  </w:r>
                  <w:r>
                    <w:t>机</w:t>
                  </w:r>
                </w:p>
              </w:tc>
              <w:tc>
                <w:tcPr>
                  <w:tcW w:w="1350" w:type="dxa"/>
                  <w:tcBorders>
                    <w:left w:val="single" w:color="auto" w:sz="6" w:space="0"/>
                    <w:right w:val="single" w:color="auto" w:sz="6" w:space="0"/>
                  </w:tcBorders>
                  <w:vAlign w:val="center"/>
                </w:tcPr>
                <w:p>
                  <w:pPr>
                    <w:pStyle w:val="36"/>
                    <w:rPr>
                      <w:color w:val="000000"/>
                    </w:rPr>
                  </w:pPr>
                  <w:r>
                    <w:rPr>
                      <w:color w:val="000000"/>
                    </w:rPr>
                    <w:t>5</w:t>
                  </w:r>
                </w:p>
              </w:tc>
              <w:tc>
                <w:tcPr>
                  <w:tcW w:w="1252" w:type="dxa"/>
                  <w:tcBorders>
                    <w:top w:val="single" w:color="auto" w:sz="6" w:space="0"/>
                    <w:left w:val="single" w:color="auto" w:sz="6" w:space="0"/>
                    <w:bottom w:val="single" w:color="auto" w:sz="6" w:space="0"/>
                    <w:right w:val="single" w:color="auto" w:sz="6" w:space="0"/>
                  </w:tcBorders>
                  <w:vAlign w:val="center"/>
                </w:tcPr>
                <w:p>
                  <w:pPr>
                    <w:jc w:val="center"/>
                  </w:pPr>
                  <w:r>
                    <w:t>24.6</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26.8</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9.0</w:t>
                  </w:r>
                </w:p>
              </w:tc>
              <w:tc>
                <w:tcPr>
                  <w:tcW w:w="1253" w:type="dxa"/>
                  <w:tcBorders>
                    <w:top w:val="single" w:color="auto" w:sz="6" w:space="0"/>
                    <w:left w:val="single" w:color="auto" w:sz="6" w:space="0"/>
                    <w:bottom w:val="single" w:color="auto" w:sz="6" w:space="0"/>
                    <w:right w:val="nil"/>
                  </w:tcBorders>
                  <w:vAlign w:val="center"/>
                </w:tcPr>
                <w:p>
                  <w:pPr>
                    <w:jc w:val="center"/>
                  </w:pPr>
                  <w:r>
                    <w:t>14.6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90" w:type="dxa"/>
                  <w:tcBorders>
                    <w:top w:val="single" w:color="auto" w:sz="6" w:space="0"/>
                    <w:left w:val="nil"/>
                    <w:bottom w:val="single" w:color="auto" w:sz="6" w:space="0"/>
                    <w:right w:val="single" w:color="auto" w:sz="6" w:space="0"/>
                  </w:tcBorders>
                  <w:vAlign w:val="center"/>
                </w:tcPr>
                <w:p>
                  <w:pPr>
                    <w:pStyle w:val="36"/>
                    <w:rPr>
                      <w:color w:val="000000"/>
                    </w:rPr>
                  </w:pPr>
                  <w:r>
                    <w:rPr>
                      <w:color w:val="000000"/>
                    </w:rPr>
                    <w:t>2</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color w:val="000000"/>
                      <w:kern w:val="0"/>
                      <w:szCs w:val="21"/>
                    </w:rPr>
                  </w:pPr>
                  <w:r>
                    <w:rPr>
                      <w:rFonts w:hint="eastAsia"/>
                    </w:rPr>
                    <w:t>颚式破碎机</w:t>
                  </w:r>
                </w:p>
              </w:tc>
              <w:tc>
                <w:tcPr>
                  <w:tcW w:w="1350" w:type="dxa"/>
                  <w:tcBorders>
                    <w:left w:val="single" w:color="auto" w:sz="6" w:space="0"/>
                    <w:right w:val="single" w:color="auto" w:sz="6" w:space="0"/>
                  </w:tcBorders>
                  <w:vAlign w:val="center"/>
                </w:tcPr>
                <w:p>
                  <w:pPr>
                    <w:pStyle w:val="36"/>
                    <w:rPr>
                      <w:color w:val="000000"/>
                    </w:rPr>
                  </w:pPr>
                  <w:r>
                    <w:rPr>
                      <w:rFonts w:hint="eastAsia"/>
                      <w:color w:val="000000"/>
                    </w:rPr>
                    <w:t>2</w:t>
                  </w:r>
                </w:p>
              </w:tc>
              <w:tc>
                <w:tcPr>
                  <w:tcW w:w="1252" w:type="dxa"/>
                  <w:tcBorders>
                    <w:top w:val="single" w:color="auto" w:sz="6" w:space="0"/>
                    <w:left w:val="single" w:color="auto" w:sz="6" w:space="0"/>
                    <w:bottom w:val="single" w:color="auto" w:sz="6" w:space="0"/>
                    <w:right w:val="single" w:color="auto" w:sz="6" w:space="0"/>
                  </w:tcBorders>
                  <w:vAlign w:val="center"/>
                </w:tcPr>
                <w:p>
                  <w:pPr>
                    <w:jc w:val="center"/>
                  </w:pPr>
                  <w:r>
                    <w:t>37.5</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31.8</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8.4</w:t>
                  </w:r>
                </w:p>
              </w:tc>
              <w:tc>
                <w:tcPr>
                  <w:tcW w:w="1253" w:type="dxa"/>
                  <w:tcBorders>
                    <w:top w:val="single" w:color="auto" w:sz="6" w:space="0"/>
                    <w:left w:val="single" w:color="auto" w:sz="6" w:space="0"/>
                    <w:bottom w:val="single" w:color="auto" w:sz="6" w:space="0"/>
                    <w:right w:val="nil"/>
                  </w:tcBorders>
                  <w:vAlign w:val="center"/>
                </w:tcPr>
                <w:p>
                  <w:pPr>
                    <w:jc w:val="center"/>
                  </w:pPr>
                  <w:r>
                    <w:t>19.6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90" w:type="dxa"/>
                  <w:tcBorders>
                    <w:top w:val="single" w:color="auto" w:sz="6" w:space="0"/>
                    <w:left w:val="nil"/>
                    <w:bottom w:val="single" w:color="auto" w:sz="6" w:space="0"/>
                    <w:right w:val="single" w:color="auto" w:sz="6" w:space="0"/>
                  </w:tcBorders>
                  <w:vAlign w:val="center"/>
                </w:tcPr>
                <w:p>
                  <w:pPr>
                    <w:pStyle w:val="36"/>
                    <w:rPr>
                      <w:color w:val="000000"/>
                    </w:rPr>
                  </w:pPr>
                  <w:r>
                    <w:rPr>
                      <w:rFonts w:hint="eastAsia"/>
                      <w:color w:val="000000"/>
                    </w:rPr>
                    <w:t>3</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color w:val="000000"/>
                      <w:kern w:val="0"/>
                      <w:szCs w:val="21"/>
                    </w:rPr>
                  </w:pPr>
                  <w:r>
                    <w:rPr>
                      <w:rFonts w:hint="eastAsia"/>
                    </w:rPr>
                    <w:t>圆锥破碎机</w:t>
                  </w:r>
                </w:p>
              </w:tc>
              <w:tc>
                <w:tcPr>
                  <w:tcW w:w="1350" w:type="dxa"/>
                  <w:tcBorders>
                    <w:left w:val="single" w:color="auto" w:sz="6" w:space="0"/>
                    <w:right w:val="single" w:color="auto" w:sz="6" w:space="0"/>
                  </w:tcBorders>
                  <w:vAlign w:val="center"/>
                </w:tcPr>
                <w:p>
                  <w:pPr>
                    <w:pStyle w:val="36"/>
                    <w:rPr>
                      <w:color w:val="000000"/>
                    </w:rPr>
                  </w:pPr>
                  <w:r>
                    <w:rPr>
                      <w:rFonts w:hint="eastAsia"/>
                      <w:color w:val="000000"/>
                    </w:rPr>
                    <w:t>2</w:t>
                  </w:r>
                </w:p>
              </w:tc>
              <w:tc>
                <w:tcPr>
                  <w:tcW w:w="1252" w:type="dxa"/>
                  <w:tcBorders>
                    <w:top w:val="single" w:color="auto" w:sz="6" w:space="0"/>
                    <w:left w:val="single" w:color="auto" w:sz="6" w:space="0"/>
                    <w:bottom w:val="single" w:color="auto" w:sz="6" w:space="0"/>
                    <w:right w:val="single" w:color="auto" w:sz="6" w:space="0"/>
                  </w:tcBorders>
                  <w:vAlign w:val="center"/>
                </w:tcPr>
                <w:p>
                  <w:pPr>
                    <w:jc w:val="center"/>
                  </w:pPr>
                  <w:r>
                    <w:t>31.5</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14.7</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11.7</w:t>
                  </w:r>
                </w:p>
              </w:tc>
              <w:tc>
                <w:tcPr>
                  <w:tcW w:w="1253" w:type="dxa"/>
                  <w:tcBorders>
                    <w:top w:val="single" w:color="auto" w:sz="6" w:space="0"/>
                    <w:left w:val="single" w:color="auto" w:sz="6" w:space="0"/>
                    <w:bottom w:val="single" w:color="auto" w:sz="6" w:space="0"/>
                    <w:right w:val="nil"/>
                  </w:tcBorders>
                  <w:vAlign w:val="center"/>
                </w:tcPr>
                <w:p>
                  <w:pPr>
                    <w:jc w:val="center"/>
                  </w:pPr>
                  <w:r>
                    <w:t>36.0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90" w:type="dxa"/>
                  <w:tcBorders>
                    <w:top w:val="single" w:color="auto" w:sz="6" w:space="0"/>
                    <w:left w:val="nil"/>
                    <w:bottom w:val="single" w:color="auto" w:sz="6" w:space="0"/>
                    <w:right w:val="single" w:color="auto" w:sz="6" w:space="0"/>
                  </w:tcBorders>
                  <w:vAlign w:val="center"/>
                </w:tcPr>
                <w:p>
                  <w:pPr>
                    <w:pStyle w:val="36"/>
                    <w:rPr>
                      <w:color w:val="000000"/>
                    </w:rPr>
                  </w:pPr>
                  <w:r>
                    <w:rPr>
                      <w:rFonts w:hint="eastAsia"/>
                      <w:color w:val="000000"/>
                    </w:rPr>
                    <w:t>4</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color w:val="000000"/>
                      <w:kern w:val="0"/>
                      <w:szCs w:val="21"/>
                    </w:rPr>
                  </w:pPr>
                  <w:r>
                    <w:rPr>
                      <w:rFonts w:hint="eastAsia"/>
                    </w:rPr>
                    <w:t>1</w:t>
                  </w:r>
                  <w:r>
                    <w:t>#</w:t>
                  </w:r>
                  <w:r>
                    <w:rPr>
                      <w:rFonts w:hint="eastAsia"/>
                    </w:rPr>
                    <w:t>筛分机</w:t>
                  </w:r>
                </w:p>
              </w:tc>
              <w:tc>
                <w:tcPr>
                  <w:tcW w:w="1350" w:type="dxa"/>
                  <w:tcBorders>
                    <w:left w:val="single" w:color="auto" w:sz="6" w:space="0"/>
                    <w:right w:val="single" w:color="auto" w:sz="6" w:space="0"/>
                  </w:tcBorders>
                  <w:vAlign w:val="center"/>
                </w:tcPr>
                <w:p>
                  <w:pPr>
                    <w:pStyle w:val="36"/>
                    <w:rPr>
                      <w:color w:val="000000"/>
                    </w:rPr>
                  </w:pPr>
                  <w:r>
                    <w:rPr>
                      <w:rFonts w:hint="eastAsia"/>
                      <w:color w:val="000000"/>
                    </w:rPr>
                    <w:t>1</w:t>
                  </w:r>
                </w:p>
              </w:tc>
              <w:tc>
                <w:tcPr>
                  <w:tcW w:w="1252" w:type="dxa"/>
                  <w:tcBorders>
                    <w:top w:val="single" w:color="auto" w:sz="6" w:space="0"/>
                    <w:left w:val="single" w:color="auto" w:sz="6" w:space="0"/>
                    <w:bottom w:val="single" w:color="auto" w:sz="6" w:space="0"/>
                    <w:right w:val="single" w:color="auto" w:sz="6" w:space="0"/>
                  </w:tcBorders>
                  <w:vAlign w:val="center"/>
                </w:tcPr>
                <w:p>
                  <w:pPr>
                    <w:jc w:val="center"/>
                  </w:pPr>
                  <w:r>
                    <w:t>32.5</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24.3</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3.4</w:t>
                  </w:r>
                </w:p>
              </w:tc>
              <w:tc>
                <w:tcPr>
                  <w:tcW w:w="1253" w:type="dxa"/>
                  <w:tcBorders>
                    <w:top w:val="single" w:color="auto" w:sz="6" w:space="0"/>
                    <w:left w:val="single" w:color="auto" w:sz="6" w:space="0"/>
                    <w:bottom w:val="single" w:color="auto" w:sz="6" w:space="0"/>
                    <w:right w:val="nil"/>
                  </w:tcBorders>
                  <w:vAlign w:val="center"/>
                </w:tcPr>
                <w:p>
                  <w:pPr>
                    <w:jc w:val="center"/>
                  </w:pPr>
                  <w:r>
                    <w:t>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90" w:type="dxa"/>
                  <w:tcBorders>
                    <w:top w:val="single" w:color="auto" w:sz="6" w:space="0"/>
                    <w:left w:val="nil"/>
                    <w:bottom w:val="single" w:color="auto" w:sz="6" w:space="0"/>
                    <w:right w:val="single" w:color="auto" w:sz="6" w:space="0"/>
                  </w:tcBorders>
                  <w:vAlign w:val="center"/>
                </w:tcPr>
                <w:p>
                  <w:pPr>
                    <w:pStyle w:val="36"/>
                    <w:rPr>
                      <w:color w:val="000000"/>
                    </w:rPr>
                  </w:pPr>
                  <w:r>
                    <w:rPr>
                      <w:rFonts w:hint="eastAsia"/>
                      <w:color w:val="000000"/>
                    </w:rPr>
                    <w:t>5</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color w:val="000000"/>
                      <w:kern w:val="0"/>
                      <w:szCs w:val="21"/>
                    </w:rPr>
                  </w:pPr>
                  <w:r>
                    <w:t>2#</w:t>
                  </w:r>
                  <w:r>
                    <w:rPr>
                      <w:rFonts w:hint="eastAsia"/>
                    </w:rPr>
                    <w:t>筛分机</w:t>
                  </w:r>
                </w:p>
              </w:tc>
              <w:tc>
                <w:tcPr>
                  <w:tcW w:w="1350" w:type="dxa"/>
                  <w:tcBorders>
                    <w:left w:val="single" w:color="auto" w:sz="6" w:space="0"/>
                    <w:right w:val="single" w:color="auto" w:sz="6" w:space="0"/>
                  </w:tcBorders>
                  <w:vAlign w:val="center"/>
                </w:tcPr>
                <w:p>
                  <w:pPr>
                    <w:pStyle w:val="36"/>
                    <w:rPr>
                      <w:color w:val="000000"/>
                    </w:rPr>
                  </w:pPr>
                  <w:r>
                    <w:rPr>
                      <w:rFonts w:hint="eastAsia"/>
                      <w:color w:val="000000"/>
                    </w:rPr>
                    <w:t>1</w:t>
                  </w:r>
                </w:p>
              </w:tc>
              <w:tc>
                <w:tcPr>
                  <w:tcW w:w="1252" w:type="dxa"/>
                  <w:tcBorders>
                    <w:top w:val="single" w:color="auto" w:sz="6" w:space="0"/>
                    <w:left w:val="single" w:color="auto" w:sz="6" w:space="0"/>
                    <w:bottom w:val="single" w:color="auto" w:sz="6" w:space="0"/>
                    <w:right w:val="single" w:color="auto" w:sz="6" w:space="0"/>
                  </w:tcBorders>
                  <w:vAlign w:val="center"/>
                </w:tcPr>
                <w:p>
                  <w:pPr>
                    <w:jc w:val="center"/>
                  </w:pPr>
                  <w:r>
                    <w:t>26.5</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24.3</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6.7</w:t>
                  </w:r>
                </w:p>
              </w:tc>
              <w:tc>
                <w:tcPr>
                  <w:tcW w:w="1253" w:type="dxa"/>
                  <w:tcBorders>
                    <w:top w:val="single" w:color="auto" w:sz="6" w:space="0"/>
                    <w:left w:val="single" w:color="auto" w:sz="6" w:space="0"/>
                    <w:bottom w:val="single" w:color="auto" w:sz="6" w:space="0"/>
                    <w:right w:val="nil"/>
                  </w:tcBorders>
                  <w:vAlign w:val="center"/>
                </w:tcPr>
                <w:p>
                  <w:pPr>
                    <w:jc w:val="center"/>
                  </w:pPr>
                  <w:r>
                    <w:t>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90" w:type="dxa"/>
                  <w:tcBorders>
                    <w:top w:val="single" w:color="auto" w:sz="6" w:space="0"/>
                    <w:left w:val="nil"/>
                    <w:bottom w:val="single" w:color="auto" w:sz="6" w:space="0"/>
                    <w:right w:val="single" w:color="auto" w:sz="6" w:space="0"/>
                  </w:tcBorders>
                  <w:vAlign w:val="center"/>
                </w:tcPr>
                <w:p>
                  <w:pPr>
                    <w:pStyle w:val="36"/>
                    <w:rPr>
                      <w:color w:val="000000"/>
                    </w:rPr>
                  </w:pPr>
                  <w:r>
                    <w:rPr>
                      <w:rFonts w:hint="eastAsia"/>
                      <w:color w:val="000000"/>
                    </w:rPr>
                    <w:t>6</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color w:val="000000"/>
                      <w:kern w:val="0"/>
                      <w:szCs w:val="21"/>
                    </w:rPr>
                  </w:pPr>
                  <w:r>
                    <w:t>3#</w:t>
                  </w:r>
                  <w:r>
                    <w:rPr>
                      <w:rFonts w:hint="eastAsia"/>
                    </w:rPr>
                    <w:t>筛分机</w:t>
                  </w:r>
                </w:p>
              </w:tc>
              <w:tc>
                <w:tcPr>
                  <w:tcW w:w="1350" w:type="dxa"/>
                  <w:tcBorders>
                    <w:left w:val="single" w:color="auto" w:sz="6" w:space="0"/>
                    <w:right w:val="single" w:color="auto" w:sz="6" w:space="0"/>
                  </w:tcBorders>
                  <w:vAlign w:val="center"/>
                </w:tcPr>
                <w:p>
                  <w:pPr>
                    <w:pStyle w:val="36"/>
                    <w:rPr>
                      <w:color w:val="000000"/>
                    </w:rPr>
                  </w:pPr>
                  <w:r>
                    <w:rPr>
                      <w:rFonts w:hint="eastAsia"/>
                      <w:color w:val="000000"/>
                    </w:rPr>
                    <w:t>1</w:t>
                  </w:r>
                </w:p>
              </w:tc>
              <w:tc>
                <w:tcPr>
                  <w:tcW w:w="1252" w:type="dxa"/>
                  <w:tcBorders>
                    <w:top w:val="single" w:color="auto" w:sz="6" w:space="0"/>
                    <w:left w:val="single" w:color="auto" w:sz="6" w:space="0"/>
                    <w:bottom w:val="single" w:color="auto" w:sz="6" w:space="0"/>
                    <w:right w:val="single" w:color="auto" w:sz="6" w:space="0"/>
                  </w:tcBorders>
                  <w:vAlign w:val="center"/>
                </w:tcPr>
                <w:p>
                  <w:pPr>
                    <w:jc w:val="center"/>
                  </w:pPr>
                  <w:r>
                    <w:t>23.0</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24.3</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12.1</w:t>
                  </w:r>
                </w:p>
              </w:tc>
              <w:tc>
                <w:tcPr>
                  <w:tcW w:w="1253" w:type="dxa"/>
                  <w:tcBorders>
                    <w:top w:val="single" w:color="auto" w:sz="6" w:space="0"/>
                    <w:left w:val="single" w:color="auto" w:sz="6" w:space="0"/>
                    <w:bottom w:val="single" w:color="auto" w:sz="6" w:space="0"/>
                    <w:right w:val="nil"/>
                  </w:tcBorders>
                  <w:vAlign w:val="center"/>
                </w:tcPr>
                <w:p>
                  <w:pPr>
                    <w:jc w:val="center"/>
                  </w:pPr>
                  <w:r>
                    <w:t>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90" w:type="dxa"/>
                  <w:tcBorders>
                    <w:top w:val="single" w:color="auto" w:sz="6" w:space="0"/>
                    <w:left w:val="nil"/>
                    <w:bottom w:val="single" w:color="auto" w:sz="6" w:space="0"/>
                    <w:right w:val="single" w:color="auto" w:sz="6" w:space="0"/>
                  </w:tcBorders>
                  <w:vAlign w:val="center"/>
                </w:tcPr>
                <w:p>
                  <w:pPr>
                    <w:pStyle w:val="36"/>
                    <w:rPr>
                      <w:color w:val="000000"/>
                    </w:rPr>
                  </w:pPr>
                  <w:r>
                    <w:rPr>
                      <w:rFonts w:hint="eastAsia"/>
                      <w:color w:val="000000"/>
                    </w:rPr>
                    <w:t>7</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color w:val="000000"/>
                      <w:kern w:val="0"/>
                      <w:szCs w:val="21"/>
                    </w:rPr>
                  </w:pPr>
                  <w:r>
                    <w:rPr>
                      <w:rFonts w:hint="eastAsia"/>
                      <w:color w:val="000000"/>
                      <w:szCs w:val="21"/>
                    </w:rPr>
                    <w:t>制砂机</w:t>
                  </w:r>
                </w:p>
              </w:tc>
              <w:tc>
                <w:tcPr>
                  <w:tcW w:w="1350" w:type="dxa"/>
                  <w:tcBorders>
                    <w:left w:val="single" w:color="auto" w:sz="6" w:space="0"/>
                    <w:right w:val="single" w:color="auto" w:sz="6" w:space="0"/>
                  </w:tcBorders>
                  <w:vAlign w:val="center"/>
                </w:tcPr>
                <w:p>
                  <w:pPr>
                    <w:pStyle w:val="36"/>
                    <w:rPr>
                      <w:color w:val="000000"/>
                    </w:rPr>
                  </w:pPr>
                  <w:r>
                    <w:rPr>
                      <w:rFonts w:hint="eastAsia"/>
                      <w:color w:val="000000"/>
                    </w:rPr>
                    <w:t>2</w:t>
                  </w:r>
                </w:p>
              </w:tc>
              <w:tc>
                <w:tcPr>
                  <w:tcW w:w="1252" w:type="dxa"/>
                  <w:tcBorders>
                    <w:top w:val="single" w:color="auto" w:sz="6" w:space="0"/>
                    <w:left w:val="single" w:color="auto" w:sz="6" w:space="0"/>
                    <w:bottom w:val="single" w:color="auto" w:sz="6" w:space="0"/>
                    <w:right w:val="single" w:color="auto" w:sz="6" w:space="0"/>
                  </w:tcBorders>
                  <w:vAlign w:val="center"/>
                </w:tcPr>
                <w:p>
                  <w:pPr>
                    <w:jc w:val="center"/>
                  </w:pPr>
                  <w:r>
                    <w:t>28.0</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14.7</w:t>
                  </w:r>
                </w:p>
              </w:tc>
              <w:tc>
                <w:tcPr>
                  <w:tcW w:w="1253" w:type="dxa"/>
                  <w:tcBorders>
                    <w:top w:val="single" w:color="auto" w:sz="6" w:space="0"/>
                    <w:left w:val="single" w:color="auto" w:sz="6" w:space="0"/>
                    <w:bottom w:val="single" w:color="auto" w:sz="6" w:space="0"/>
                    <w:right w:val="single" w:color="auto" w:sz="6" w:space="0"/>
                  </w:tcBorders>
                  <w:vAlign w:val="center"/>
                </w:tcPr>
                <w:p>
                  <w:pPr>
                    <w:jc w:val="center"/>
                  </w:pPr>
                  <w:r>
                    <w:t>17.1</w:t>
                  </w:r>
                </w:p>
              </w:tc>
              <w:tc>
                <w:tcPr>
                  <w:tcW w:w="1253" w:type="dxa"/>
                  <w:tcBorders>
                    <w:top w:val="single" w:color="auto" w:sz="6" w:space="0"/>
                    <w:left w:val="single" w:color="auto" w:sz="6" w:space="0"/>
                    <w:bottom w:val="single" w:color="auto" w:sz="6" w:space="0"/>
                    <w:right w:val="nil"/>
                  </w:tcBorders>
                  <w:vAlign w:val="center"/>
                </w:tcPr>
                <w:p>
                  <w:pPr>
                    <w:jc w:val="center"/>
                  </w:pPr>
                  <w:r>
                    <w:t>36.0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3" w:hRule="atLeast"/>
                <w:jc w:val="center"/>
              </w:trPr>
              <w:tc>
                <w:tcPr>
                  <w:tcW w:w="3457" w:type="dxa"/>
                  <w:gridSpan w:val="3"/>
                  <w:tcBorders>
                    <w:top w:val="single" w:color="auto" w:sz="6" w:space="0"/>
                    <w:left w:val="nil"/>
                    <w:bottom w:val="single" w:color="auto" w:sz="12" w:space="0"/>
                    <w:right w:val="single" w:color="auto" w:sz="6" w:space="0"/>
                  </w:tcBorders>
                  <w:vAlign w:val="center"/>
                </w:tcPr>
                <w:p>
                  <w:pPr>
                    <w:pStyle w:val="36"/>
                    <w:rPr>
                      <w:color w:val="000000"/>
                    </w:rPr>
                  </w:pPr>
                  <w:r>
                    <w:rPr>
                      <w:rFonts w:hint="eastAsia"/>
                      <w:color w:val="000000"/>
                    </w:rPr>
                    <w:t>叠加后噪声源对厂界噪声的贡献值</w:t>
                  </w:r>
                </w:p>
              </w:tc>
              <w:tc>
                <w:tcPr>
                  <w:tcW w:w="1252" w:type="dxa"/>
                  <w:tcBorders>
                    <w:top w:val="single" w:color="auto" w:sz="6" w:space="0"/>
                    <w:left w:val="single" w:color="auto" w:sz="6" w:space="0"/>
                    <w:bottom w:val="single" w:color="auto" w:sz="12" w:space="0"/>
                    <w:right w:val="single" w:color="auto" w:sz="6" w:space="0"/>
                  </w:tcBorders>
                  <w:vAlign w:val="center"/>
                </w:tcPr>
                <w:p>
                  <w:pPr>
                    <w:jc w:val="center"/>
                  </w:pPr>
                  <w:r>
                    <w:t>42.9</w:t>
                  </w:r>
                </w:p>
              </w:tc>
              <w:tc>
                <w:tcPr>
                  <w:tcW w:w="1253" w:type="dxa"/>
                  <w:tcBorders>
                    <w:top w:val="single" w:color="auto" w:sz="6" w:space="0"/>
                    <w:left w:val="single" w:color="auto" w:sz="6" w:space="0"/>
                    <w:bottom w:val="single" w:color="auto" w:sz="12" w:space="0"/>
                    <w:right w:val="single" w:color="auto" w:sz="6" w:space="0"/>
                  </w:tcBorders>
                  <w:vAlign w:val="center"/>
                </w:tcPr>
                <w:p>
                  <w:pPr>
                    <w:jc w:val="center"/>
                  </w:pPr>
                  <w:r>
                    <w:t>38.1</w:t>
                  </w:r>
                </w:p>
              </w:tc>
              <w:tc>
                <w:tcPr>
                  <w:tcW w:w="1253" w:type="dxa"/>
                  <w:tcBorders>
                    <w:top w:val="single" w:color="auto" w:sz="6" w:space="0"/>
                    <w:left w:val="single" w:color="auto" w:sz="6" w:space="0"/>
                    <w:bottom w:val="single" w:color="auto" w:sz="12" w:space="0"/>
                    <w:right w:val="single" w:color="auto" w:sz="6" w:space="0"/>
                  </w:tcBorders>
                  <w:vAlign w:val="center"/>
                </w:tcPr>
                <w:p>
                  <w:pPr>
                    <w:jc w:val="center"/>
                  </w:pPr>
                  <w:r>
                    <w:t>23.2</w:t>
                  </w:r>
                </w:p>
              </w:tc>
              <w:tc>
                <w:tcPr>
                  <w:tcW w:w="1253" w:type="dxa"/>
                  <w:tcBorders>
                    <w:top w:val="single" w:color="auto" w:sz="6" w:space="0"/>
                    <w:left w:val="single" w:color="auto" w:sz="6" w:space="0"/>
                    <w:bottom w:val="single" w:color="auto" w:sz="12" w:space="0"/>
                    <w:right w:val="nil"/>
                  </w:tcBorders>
                  <w:vAlign w:val="center"/>
                </w:tcPr>
                <w:p>
                  <w:pPr>
                    <w:jc w:val="center"/>
                  </w:pPr>
                  <w:r>
                    <w:t>42.2</w:t>
                  </w:r>
                </w:p>
              </w:tc>
            </w:tr>
          </w:tbl>
          <w:p>
            <w:pPr>
              <w:pStyle w:val="40"/>
              <w:spacing w:before="120" w:beforeLines="50" w:line="240" w:lineRule="auto"/>
            </w:pPr>
            <w:r>
              <w:rPr>
                <w:rFonts w:hint="eastAsia"/>
              </w:rPr>
              <w:t>表4-</w:t>
            </w:r>
            <w:r>
              <w:t xml:space="preserve">11 </w:t>
            </w:r>
            <w:r>
              <w:rPr>
                <w:rFonts w:hint="eastAsia"/>
              </w:rPr>
              <w:t>项目厂界处噪声排放预测值</w:t>
            </w:r>
          </w:p>
          <w:tbl>
            <w:tblPr>
              <w:tblStyle w:val="14"/>
              <w:tblW w:w="8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2"/>
              <w:gridCol w:w="1682"/>
              <w:gridCol w:w="1682"/>
              <w:gridCol w:w="1682"/>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682" w:type="dxa"/>
                  <w:tcBorders>
                    <w:top w:val="single" w:color="auto" w:sz="12" w:space="0"/>
                    <w:left w:val="nil"/>
                    <w:bottom w:val="single" w:color="auto" w:sz="4" w:space="0"/>
                    <w:right w:val="single" w:color="auto" w:sz="4" w:space="0"/>
                  </w:tcBorders>
                  <w:vAlign w:val="center"/>
                </w:tcPr>
                <w:p>
                  <w:pPr>
                    <w:wordWrap w:val="0"/>
                    <w:autoSpaceDE w:val="0"/>
                    <w:autoSpaceDN w:val="0"/>
                    <w:adjustRightInd w:val="0"/>
                    <w:jc w:val="center"/>
                    <w:rPr>
                      <w:b/>
                      <w:color w:val="000000"/>
                      <w:kern w:val="0"/>
                      <w:szCs w:val="21"/>
                    </w:rPr>
                  </w:pPr>
                  <w:r>
                    <w:rPr>
                      <w:rFonts w:hint="eastAsia"/>
                      <w:b/>
                      <w:color w:val="000000"/>
                      <w:kern w:val="0"/>
                      <w:szCs w:val="21"/>
                    </w:rPr>
                    <w:t>预测点名称</w:t>
                  </w:r>
                </w:p>
              </w:tc>
              <w:tc>
                <w:tcPr>
                  <w:tcW w:w="1682" w:type="dxa"/>
                  <w:tcBorders>
                    <w:top w:val="single" w:color="auto" w:sz="12" w:space="0"/>
                    <w:left w:val="single" w:color="auto" w:sz="4" w:space="0"/>
                    <w:bottom w:val="single" w:color="auto" w:sz="4" w:space="0"/>
                    <w:right w:val="single" w:color="auto" w:sz="4" w:space="0"/>
                  </w:tcBorders>
                  <w:vAlign w:val="center"/>
                </w:tcPr>
                <w:p>
                  <w:pPr>
                    <w:pStyle w:val="36"/>
                    <w:rPr>
                      <w:b/>
                      <w:color w:val="000000"/>
                    </w:rPr>
                  </w:pPr>
                  <w:r>
                    <w:rPr>
                      <w:rFonts w:hint="eastAsia"/>
                      <w:b/>
                      <w:color w:val="000000"/>
                    </w:rPr>
                    <w:t>东厂界</w:t>
                  </w:r>
                </w:p>
              </w:tc>
              <w:tc>
                <w:tcPr>
                  <w:tcW w:w="1682" w:type="dxa"/>
                  <w:tcBorders>
                    <w:top w:val="single" w:color="auto" w:sz="12" w:space="0"/>
                    <w:left w:val="single" w:color="auto" w:sz="4" w:space="0"/>
                    <w:bottom w:val="single" w:color="auto" w:sz="4" w:space="0"/>
                    <w:right w:val="single" w:color="auto" w:sz="4" w:space="0"/>
                  </w:tcBorders>
                  <w:vAlign w:val="center"/>
                </w:tcPr>
                <w:p>
                  <w:pPr>
                    <w:pStyle w:val="36"/>
                    <w:rPr>
                      <w:b/>
                      <w:color w:val="000000"/>
                    </w:rPr>
                  </w:pPr>
                  <w:r>
                    <w:rPr>
                      <w:rFonts w:hint="eastAsia"/>
                      <w:b/>
                      <w:color w:val="000000"/>
                    </w:rPr>
                    <w:t>南厂界</w:t>
                  </w:r>
                </w:p>
              </w:tc>
              <w:tc>
                <w:tcPr>
                  <w:tcW w:w="1682" w:type="dxa"/>
                  <w:tcBorders>
                    <w:top w:val="single" w:color="auto" w:sz="12" w:space="0"/>
                    <w:left w:val="single" w:color="auto" w:sz="4" w:space="0"/>
                    <w:bottom w:val="single" w:color="auto" w:sz="4" w:space="0"/>
                    <w:right w:val="single" w:color="auto" w:sz="4" w:space="0"/>
                  </w:tcBorders>
                  <w:vAlign w:val="center"/>
                </w:tcPr>
                <w:p>
                  <w:pPr>
                    <w:pStyle w:val="36"/>
                    <w:rPr>
                      <w:b/>
                      <w:color w:val="000000"/>
                    </w:rPr>
                  </w:pPr>
                  <w:r>
                    <w:rPr>
                      <w:rFonts w:hint="eastAsia"/>
                      <w:b/>
                      <w:color w:val="000000"/>
                    </w:rPr>
                    <w:t>西厂界</w:t>
                  </w:r>
                </w:p>
              </w:tc>
              <w:tc>
                <w:tcPr>
                  <w:tcW w:w="1683" w:type="dxa"/>
                  <w:tcBorders>
                    <w:top w:val="single" w:color="auto" w:sz="12" w:space="0"/>
                    <w:left w:val="single" w:color="auto" w:sz="4" w:space="0"/>
                    <w:bottom w:val="single" w:color="auto" w:sz="4" w:space="0"/>
                    <w:right w:val="nil"/>
                  </w:tcBorders>
                  <w:vAlign w:val="center"/>
                </w:tcPr>
                <w:p>
                  <w:pPr>
                    <w:pStyle w:val="36"/>
                    <w:rPr>
                      <w:b/>
                      <w:color w:val="000000"/>
                    </w:rPr>
                  </w:pPr>
                  <w:r>
                    <w:rPr>
                      <w:rFonts w:hint="eastAsia"/>
                      <w:b/>
                      <w:color w:val="000000"/>
                    </w:rPr>
                    <w:t>北厂界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682" w:type="dxa"/>
                  <w:tcBorders>
                    <w:top w:val="single" w:color="auto" w:sz="4" w:space="0"/>
                    <w:left w:val="nil"/>
                    <w:bottom w:val="single" w:color="auto" w:sz="4" w:space="0"/>
                    <w:right w:val="single" w:color="auto" w:sz="4" w:space="0"/>
                  </w:tcBorders>
                  <w:vAlign w:val="center"/>
                </w:tcPr>
                <w:p>
                  <w:pPr>
                    <w:wordWrap w:val="0"/>
                    <w:autoSpaceDE w:val="0"/>
                    <w:autoSpaceDN w:val="0"/>
                    <w:adjustRightInd w:val="0"/>
                    <w:jc w:val="center"/>
                    <w:rPr>
                      <w:color w:val="000000"/>
                      <w:kern w:val="0"/>
                      <w:szCs w:val="21"/>
                    </w:rPr>
                  </w:pPr>
                  <w:r>
                    <w:rPr>
                      <w:rFonts w:hint="eastAsia"/>
                      <w:color w:val="000000"/>
                      <w:kern w:val="0"/>
                      <w:szCs w:val="21"/>
                    </w:rPr>
                    <w:t>噪声值</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pPr>
                  <w:r>
                    <w:t>42.9</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pPr>
                  <w:r>
                    <w:t>38.1</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pPr>
                  <w:r>
                    <w:t>23.2</w:t>
                  </w:r>
                </w:p>
              </w:tc>
              <w:tc>
                <w:tcPr>
                  <w:tcW w:w="1683" w:type="dxa"/>
                  <w:tcBorders>
                    <w:top w:val="single" w:color="auto" w:sz="4" w:space="0"/>
                    <w:left w:val="single" w:color="auto" w:sz="4" w:space="0"/>
                    <w:bottom w:val="single" w:color="auto" w:sz="4" w:space="0"/>
                    <w:right w:val="nil"/>
                  </w:tcBorders>
                  <w:vAlign w:val="center"/>
                </w:tcPr>
                <w:p>
                  <w:pPr>
                    <w:jc w:val="center"/>
                  </w:pPr>
                  <w:r>
                    <w:t>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682" w:type="dxa"/>
                  <w:tcBorders>
                    <w:top w:val="single" w:color="auto" w:sz="4" w:space="0"/>
                    <w:left w:val="nil"/>
                    <w:bottom w:val="single" w:color="auto" w:sz="12" w:space="0"/>
                    <w:right w:val="single" w:color="auto" w:sz="4" w:space="0"/>
                  </w:tcBorders>
                  <w:vAlign w:val="center"/>
                </w:tcPr>
                <w:p>
                  <w:pPr>
                    <w:wordWrap w:val="0"/>
                    <w:autoSpaceDE w:val="0"/>
                    <w:autoSpaceDN w:val="0"/>
                    <w:adjustRightInd w:val="0"/>
                    <w:jc w:val="center"/>
                    <w:rPr>
                      <w:color w:val="000000"/>
                      <w:kern w:val="0"/>
                      <w:szCs w:val="21"/>
                    </w:rPr>
                  </w:pPr>
                  <w:r>
                    <w:rPr>
                      <w:rFonts w:hint="eastAsia"/>
                      <w:color w:val="000000"/>
                      <w:kern w:val="0"/>
                      <w:szCs w:val="21"/>
                    </w:rPr>
                    <w:t>执行标准</w:t>
                  </w:r>
                </w:p>
              </w:tc>
              <w:tc>
                <w:tcPr>
                  <w:tcW w:w="6729" w:type="dxa"/>
                  <w:gridSpan w:val="4"/>
                  <w:tcBorders>
                    <w:top w:val="single" w:color="auto" w:sz="4" w:space="0"/>
                    <w:left w:val="single" w:color="auto" w:sz="4" w:space="0"/>
                    <w:bottom w:val="single" w:color="auto" w:sz="12" w:space="0"/>
                    <w:right w:val="nil"/>
                  </w:tcBorders>
                  <w:vAlign w:val="center"/>
                </w:tcPr>
                <w:p>
                  <w:pPr>
                    <w:pStyle w:val="36"/>
                    <w:rPr>
                      <w:color w:val="000000"/>
                    </w:rPr>
                  </w:pPr>
                  <w:r>
                    <w:rPr>
                      <w:rFonts w:hint="eastAsia"/>
                      <w:color w:val="000000"/>
                    </w:rPr>
                    <w:t>《工业企业厂界环境噪声排放标准》（</w:t>
                  </w:r>
                  <w:r>
                    <w:rPr>
                      <w:color w:val="000000"/>
                    </w:rPr>
                    <w:t>GB12348-2008</w:t>
                  </w:r>
                  <w:r>
                    <w:rPr>
                      <w:rFonts w:hint="eastAsia"/>
                      <w:color w:val="000000"/>
                    </w:rPr>
                    <w:t>）3类标准（昼间</w:t>
                  </w:r>
                  <w:r>
                    <w:rPr>
                      <w:color w:val="000000"/>
                    </w:rPr>
                    <w:t>≤</w:t>
                  </w:r>
                  <w:r>
                    <w:rPr>
                      <w:rFonts w:hint="eastAsia"/>
                      <w:color w:val="000000"/>
                    </w:rPr>
                    <w:t>65，夜间≤55）</w:t>
                  </w:r>
                </w:p>
              </w:tc>
            </w:tr>
          </w:tbl>
          <w:p>
            <w:pPr>
              <w:spacing w:before="120" w:beforeLines="50" w:line="360" w:lineRule="auto"/>
              <w:ind w:firstLine="482" w:firstLineChars="200"/>
              <w:rPr>
                <w:b/>
                <w:color w:val="000000"/>
                <w:sz w:val="24"/>
              </w:rPr>
            </w:pPr>
            <w:r>
              <w:rPr>
                <w:rFonts w:hint="eastAsia"/>
                <w:b/>
                <w:color w:val="000000"/>
                <w:sz w:val="24"/>
              </w:rPr>
              <w:t>③噪声影响评价结论</w:t>
            </w:r>
          </w:p>
          <w:p>
            <w:pPr>
              <w:spacing w:line="360" w:lineRule="auto"/>
              <w:ind w:firstLine="480" w:firstLineChars="200"/>
              <w:rPr>
                <w:color w:val="000000"/>
                <w:sz w:val="24"/>
              </w:rPr>
            </w:pPr>
            <w:r>
              <w:rPr>
                <w:rFonts w:hint="eastAsia"/>
                <w:color w:val="000000"/>
                <w:sz w:val="24"/>
              </w:rPr>
              <w:t>由上表可看出，项目运营期厂界昼间噪声满足《工业企业厂界环境噪声排放标准》（GB12348-2008）中3类标准。</w:t>
            </w:r>
          </w:p>
          <w:p>
            <w:pPr>
              <w:spacing w:line="360" w:lineRule="auto"/>
              <w:ind w:firstLine="480" w:firstLineChars="200"/>
              <w:rPr>
                <w:color w:val="000000"/>
                <w:sz w:val="24"/>
              </w:rPr>
            </w:pPr>
            <w:r>
              <w:rPr>
                <w:rFonts w:hint="eastAsia"/>
                <w:color w:val="000000"/>
                <w:sz w:val="24"/>
              </w:rPr>
              <w:t>综上，项目拟采取的噪声防治措施能实现达标排放。</w:t>
            </w:r>
          </w:p>
          <w:p>
            <w:pPr>
              <w:spacing w:line="360" w:lineRule="auto"/>
              <w:ind w:firstLine="482" w:firstLineChars="200"/>
              <w:rPr>
                <w:b/>
                <w:color w:val="000000"/>
                <w:sz w:val="24"/>
              </w:rPr>
            </w:pPr>
            <w:r>
              <w:rPr>
                <w:rFonts w:hint="eastAsia"/>
                <w:b/>
                <w:color w:val="000000"/>
                <w:sz w:val="24"/>
              </w:rPr>
              <w:t>4）环境监测计划</w:t>
            </w:r>
          </w:p>
          <w:p>
            <w:pPr>
              <w:adjustRightInd w:val="0"/>
              <w:snapToGrid w:val="0"/>
              <w:spacing w:line="360" w:lineRule="auto"/>
              <w:ind w:firstLine="480" w:firstLineChars="200"/>
              <w:rPr>
                <w:color w:val="000000"/>
                <w:kern w:val="0"/>
                <w:sz w:val="24"/>
              </w:rPr>
            </w:pPr>
            <w:r>
              <w:rPr>
                <w:rFonts w:hint="eastAsia" w:cs="宋体"/>
                <w:bCs/>
                <w:color w:val="000000"/>
                <w:kern w:val="0"/>
                <w:sz w:val="24"/>
              </w:rPr>
              <w:t>本项目为新建砂石加工项目</w:t>
            </w:r>
            <w:r>
              <w:rPr>
                <w:bCs/>
                <w:color w:val="000000"/>
                <w:kern w:val="0"/>
                <w:sz w:val="24"/>
              </w:rPr>
              <w:t>，</w:t>
            </w:r>
            <w:r>
              <w:rPr>
                <w:color w:val="000000"/>
                <w:kern w:val="0"/>
                <w:sz w:val="24"/>
              </w:rPr>
              <w:t>根据《固定污染源排污许可分类管理名录》（2019版），本项目为</w:t>
            </w:r>
            <w:r>
              <w:rPr>
                <w:rFonts w:hint="eastAsia"/>
                <w:color w:val="000000"/>
                <w:kern w:val="0"/>
                <w:sz w:val="24"/>
              </w:rPr>
              <w:t>简化管理</w:t>
            </w:r>
            <w:r>
              <w:rPr>
                <w:color w:val="000000"/>
                <w:kern w:val="0"/>
                <w:sz w:val="24"/>
              </w:rPr>
              <w:t>。根据《排污单位自行监测技术指南 总则》（HJ819-2017）</w:t>
            </w:r>
            <w:r>
              <w:rPr>
                <w:rFonts w:hint="eastAsia"/>
                <w:color w:val="000000"/>
                <w:kern w:val="0"/>
                <w:sz w:val="24"/>
              </w:rPr>
              <w:t>，</w:t>
            </w:r>
            <w:r>
              <w:rPr>
                <w:color w:val="000000"/>
                <w:kern w:val="0"/>
                <w:sz w:val="24"/>
              </w:rPr>
              <w:t>本项目监测计划</w:t>
            </w:r>
            <w:r>
              <w:rPr>
                <w:rFonts w:hint="eastAsia"/>
                <w:color w:val="000000"/>
                <w:kern w:val="0"/>
                <w:sz w:val="24"/>
              </w:rPr>
              <w:t>如下表所示。</w:t>
            </w:r>
          </w:p>
          <w:p>
            <w:pPr>
              <w:tabs>
                <w:tab w:val="right" w:pos="8306"/>
              </w:tabs>
              <w:jc w:val="center"/>
              <w:rPr>
                <w:b/>
                <w:bCs/>
                <w:color w:val="000000"/>
                <w:szCs w:val="21"/>
              </w:rPr>
            </w:pPr>
            <w:r>
              <w:rPr>
                <w:b/>
                <w:bCs/>
                <w:color w:val="000000"/>
                <w:szCs w:val="21"/>
              </w:rPr>
              <w:t>表</w:t>
            </w:r>
            <w:r>
              <w:rPr>
                <w:rFonts w:hint="eastAsia"/>
                <w:b/>
                <w:bCs/>
                <w:color w:val="000000"/>
                <w:szCs w:val="21"/>
              </w:rPr>
              <w:t>4</w:t>
            </w:r>
            <w:r>
              <w:rPr>
                <w:b/>
                <w:bCs/>
                <w:color w:val="000000"/>
                <w:szCs w:val="21"/>
              </w:rPr>
              <w:t>-12</w:t>
            </w:r>
            <w:r>
              <w:rPr>
                <w:rFonts w:hint="eastAsia"/>
                <w:b/>
                <w:bCs/>
                <w:color w:val="000000"/>
                <w:szCs w:val="21"/>
              </w:rPr>
              <w:t xml:space="preserve"> </w:t>
            </w:r>
            <w:r>
              <w:rPr>
                <w:b/>
                <w:bCs/>
                <w:color w:val="000000"/>
                <w:szCs w:val="21"/>
              </w:rPr>
              <w:t>项目监测计划表</w:t>
            </w:r>
          </w:p>
          <w:tbl>
            <w:tblPr>
              <w:tblStyle w:val="1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1379"/>
              <w:gridCol w:w="1864"/>
              <w:gridCol w:w="1658"/>
              <w:gridCol w:w="1223"/>
              <w:gridCol w:w="119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pct"/>
                  <w:vAlign w:val="center"/>
                </w:tcPr>
                <w:p>
                  <w:pPr>
                    <w:wordWrap w:val="0"/>
                    <w:autoSpaceDE w:val="0"/>
                    <w:autoSpaceDN w:val="0"/>
                    <w:adjustRightInd w:val="0"/>
                    <w:jc w:val="center"/>
                    <w:rPr>
                      <w:b/>
                      <w:color w:val="000000"/>
                      <w:kern w:val="0"/>
                      <w:szCs w:val="21"/>
                    </w:rPr>
                  </w:pPr>
                  <w:r>
                    <w:rPr>
                      <w:b/>
                      <w:color w:val="000000"/>
                      <w:kern w:val="0"/>
                      <w:szCs w:val="21"/>
                    </w:rPr>
                    <w:t>监测时段</w:t>
                  </w:r>
                </w:p>
              </w:tc>
              <w:tc>
                <w:tcPr>
                  <w:tcW w:w="805" w:type="pct"/>
                  <w:vAlign w:val="center"/>
                </w:tcPr>
                <w:p>
                  <w:pPr>
                    <w:wordWrap w:val="0"/>
                    <w:autoSpaceDE w:val="0"/>
                    <w:autoSpaceDN w:val="0"/>
                    <w:adjustRightInd w:val="0"/>
                    <w:jc w:val="center"/>
                    <w:rPr>
                      <w:b/>
                      <w:color w:val="000000"/>
                      <w:kern w:val="0"/>
                      <w:szCs w:val="21"/>
                    </w:rPr>
                  </w:pPr>
                  <w:r>
                    <w:rPr>
                      <w:b/>
                      <w:color w:val="000000"/>
                      <w:kern w:val="0"/>
                      <w:szCs w:val="21"/>
                    </w:rPr>
                    <w:t>监测内容</w:t>
                  </w:r>
                </w:p>
              </w:tc>
              <w:tc>
                <w:tcPr>
                  <w:tcW w:w="1088" w:type="pct"/>
                  <w:vAlign w:val="center"/>
                </w:tcPr>
                <w:p>
                  <w:pPr>
                    <w:wordWrap w:val="0"/>
                    <w:autoSpaceDE w:val="0"/>
                    <w:autoSpaceDN w:val="0"/>
                    <w:adjustRightInd w:val="0"/>
                    <w:jc w:val="center"/>
                    <w:rPr>
                      <w:b/>
                      <w:color w:val="000000"/>
                      <w:kern w:val="0"/>
                      <w:szCs w:val="21"/>
                    </w:rPr>
                  </w:pPr>
                  <w:r>
                    <w:rPr>
                      <w:b/>
                      <w:color w:val="000000"/>
                      <w:kern w:val="0"/>
                      <w:szCs w:val="21"/>
                    </w:rPr>
                    <w:t>监测点</w:t>
                  </w:r>
                  <w:r>
                    <w:rPr>
                      <w:rFonts w:hint="eastAsia"/>
                      <w:b/>
                      <w:color w:val="000000"/>
                      <w:kern w:val="0"/>
                      <w:szCs w:val="21"/>
                    </w:rPr>
                    <w:t>位</w:t>
                  </w:r>
                </w:p>
              </w:tc>
              <w:tc>
                <w:tcPr>
                  <w:tcW w:w="968" w:type="pct"/>
                  <w:vAlign w:val="center"/>
                </w:tcPr>
                <w:p>
                  <w:pPr>
                    <w:wordWrap w:val="0"/>
                    <w:autoSpaceDE w:val="0"/>
                    <w:autoSpaceDN w:val="0"/>
                    <w:adjustRightInd w:val="0"/>
                    <w:jc w:val="center"/>
                    <w:rPr>
                      <w:b/>
                      <w:color w:val="000000"/>
                      <w:kern w:val="0"/>
                      <w:szCs w:val="21"/>
                    </w:rPr>
                  </w:pPr>
                  <w:r>
                    <w:rPr>
                      <w:b/>
                      <w:color w:val="000000"/>
                      <w:kern w:val="0"/>
                      <w:szCs w:val="21"/>
                    </w:rPr>
                    <w:t>监测项目</w:t>
                  </w:r>
                </w:p>
              </w:tc>
              <w:tc>
                <w:tcPr>
                  <w:tcW w:w="714" w:type="pct"/>
                  <w:vAlign w:val="center"/>
                </w:tcPr>
                <w:p>
                  <w:pPr>
                    <w:wordWrap w:val="0"/>
                    <w:autoSpaceDE w:val="0"/>
                    <w:autoSpaceDN w:val="0"/>
                    <w:adjustRightInd w:val="0"/>
                    <w:jc w:val="center"/>
                    <w:rPr>
                      <w:b/>
                      <w:color w:val="000000"/>
                      <w:kern w:val="0"/>
                      <w:szCs w:val="21"/>
                    </w:rPr>
                  </w:pPr>
                  <w:r>
                    <w:rPr>
                      <w:b/>
                      <w:color w:val="000000"/>
                      <w:kern w:val="0"/>
                      <w:szCs w:val="21"/>
                    </w:rPr>
                    <w:t>监测频率</w:t>
                  </w:r>
                </w:p>
              </w:tc>
              <w:tc>
                <w:tcPr>
                  <w:tcW w:w="696" w:type="pct"/>
                  <w:vAlign w:val="center"/>
                </w:tcPr>
                <w:p>
                  <w:pPr>
                    <w:wordWrap w:val="0"/>
                    <w:autoSpaceDE w:val="0"/>
                    <w:autoSpaceDN w:val="0"/>
                    <w:adjustRightInd w:val="0"/>
                    <w:jc w:val="center"/>
                    <w:rPr>
                      <w:b/>
                      <w:color w:val="000000"/>
                      <w:kern w:val="0"/>
                      <w:szCs w:val="21"/>
                    </w:rPr>
                  </w:pPr>
                  <w:r>
                    <w:rPr>
                      <w:b/>
                      <w:color w:val="000000"/>
                      <w:kern w:val="0"/>
                      <w:szCs w:val="21"/>
                    </w:rPr>
                    <w:t>监测方法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pct"/>
                  <w:vAlign w:val="center"/>
                </w:tcPr>
                <w:p>
                  <w:pPr>
                    <w:wordWrap w:val="0"/>
                    <w:autoSpaceDE w:val="0"/>
                    <w:autoSpaceDN w:val="0"/>
                    <w:adjustRightInd w:val="0"/>
                    <w:jc w:val="center"/>
                    <w:rPr>
                      <w:color w:val="000000"/>
                      <w:kern w:val="0"/>
                      <w:szCs w:val="21"/>
                    </w:rPr>
                  </w:pPr>
                  <w:r>
                    <w:rPr>
                      <w:color w:val="000000"/>
                      <w:kern w:val="0"/>
                      <w:szCs w:val="21"/>
                    </w:rPr>
                    <w:t>运营期</w:t>
                  </w:r>
                </w:p>
              </w:tc>
              <w:tc>
                <w:tcPr>
                  <w:tcW w:w="805" w:type="pct"/>
                  <w:vAlign w:val="center"/>
                </w:tcPr>
                <w:p>
                  <w:pPr>
                    <w:wordWrap w:val="0"/>
                    <w:autoSpaceDE w:val="0"/>
                    <w:autoSpaceDN w:val="0"/>
                    <w:adjustRightInd w:val="0"/>
                    <w:jc w:val="center"/>
                    <w:rPr>
                      <w:color w:val="000000"/>
                      <w:kern w:val="0"/>
                      <w:szCs w:val="21"/>
                    </w:rPr>
                  </w:pPr>
                  <w:r>
                    <w:rPr>
                      <w:color w:val="000000"/>
                      <w:kern w:val="0"/>
                      <w:szCs w:val="21"/>
                    </w:rPr>
                    <w:t>噪声</w:t>
                  </w:r>
                </w:p>
              </w:tc>
              <w:tc>
                <w:tcPr>
                  <w:tcW w:w="1088" w:type="pct"/>
                  <w:vAlign w:val="center"/>
                </w:tcPr>
                <w:p>
                  <w:pPr>
                    <w:wordWrap w:val="0"/>
                    <w:autoSpaceDE w:val="0"/>
                    <w:autoSpaceDN w:val="0"/>
                    <w:adjustRightInd w:val="0"/>
                    <w:jc w:val="center"/>
                    <w:rPr>
                      <w:color w:val="000000"/>
                      <w:kern w:val="0"/>
                      <w:szCs w:val="21"/>
                    </w:rPr>
                  </w:pPr>
                  <w:r>
                    <w:rPr>
                      <w:color w:val="000000"/>
                      <w:kern w:val="0"/>
                      <w:szCs w:val="21"/>
                    </w:rPr>
                    <w:t>项目厂界四周</w:t>
                  </w:r>
                </w:p>
              </w:tc>
              <w:tc>
                <w:tcPr>
                  <w:tcW w:w="968" w:type="pct"/>
                  <w:vAlign w:val="center"/>
                </w:tcPr>
                <w:p>
                  <w:pPr>
                    <w:wordWrap w:val="0"/>
                    <w:autoSpaceDE w:val="0"/>
                    <w:autoSpaceDN w:val="0"/>
                    <w:adjustRightInd w:val="0"/>
                    <w:jc w:val="center"/>
                    <w:rPr>
                      <w:color w:val="000000"/>
                      <w:kern w:val="0"/>
                      <w:szCs w:val="21"/>
                    </w:rPr>
                  </w:pPr>
                  <w:r>
                    <w:rPr>
                      <w:color w:val="000000"/>
                      <w:kern w:val="0"/>
                      <w:szCs w:val="21"/>
                    </w:rPr>
                    <w:t>昼</w:t>
                  </w:r>
                  <w:r>
                    <w:rPr>
                      <w:rFonts w:hint="eastAsia"/>
                      <w:color w:val="000000"/>
                      <w:kern w:val="0"/>
                      <w:szCs w:val="21"/>
                    </w:rPr>
                    <w:t>间</w:t>
                  </w:r>
                  <w:r>
                    <w:rPr>
                      <w:color w:val="000000"/>
                      <w:kern w:val="0"/>
                      <w:szCs w:val="21"/>
                    </w:rPr>
                    <w:t>连续等效A声级</w:t>
                  </w:r>
                </w:p>
              </w:tc>
              <w:tc>
                <w:tcPr>
                  <w:tcW w:w="714" w:type="pct"/>
                  <w:vAlign w:val="center"/>
                </w:tcPr>
                <w:p>
                  <w:pPr>
                    <w:wordWrap w:val="0"/>
                    <w:autoSpaceDE w:val="0"/>
                    <w:autoSpaceDN w:val="0"/>
                    <w:adjustRightInd w:val="0"/>
                    <w:jc w:val="center"/>
                    <w:rPr>
                      <w:color w:val="000000"/>
                      <w:kern w:val="0"/>
                      <w:szCs w:val="21"/>
                    </w:rPr>
                  </w:pPr>
                  <w:r>
                    <w:rPr>
                      <w:rFonts w:hint="eastAsia"/>
                      <w:color w:val="000000"/>
                      <w:kern w:val="0"/>
                      <w:szCs w:val="21"/>
                    </w:rPr>
                    <w:t>1次/季度</w:t>
                  </w:r>
                </w:p>
              </w:tc>
              <w:tc>
                <w:tcPr>
                  <w:tcW w:w="696" w:type="pct"/>
                  <w:vAlign w:val="center"/>
                </w:tcPr>
                <w:p>
                  <w:pPr>
                    <w:wordWrap w:val="0"/>
                    <w:autoSpaceDE w:val="0"/>
                    <w:autoSpaceDN w:val="0"/>
                    <w:adjustRightInd w:val="0"/>
                    <w:jc w:val="center"/>
                    <w:rPr>
                      <w:color w:val="000000"/>
                      <w:kern w:val="0"/>
                      <w:szCs w:val="21"/>
                    </w:rPr>
                  </w:pPr>
                  <w:r>
                    <w:rPr>
                      <w:color w:val="000000"/>
                      <w:kern w:val="0"/>
                      <w:szCs w:val="21"/>
                    </w:rPr>
                    <w:t>按相关规范进行</w:t>
                  </w:r>
                </w:p>
              </w:tc>
            </w:tr>
          </w:tbl>
          <w:p>
            <w:pPr>
              <w:pStyle w:val="38"/>
              <w:spacing w:before="120" w:beforeLines="50"/>
              <w:ind w:firstLine="482"/>
              <w:rPr>
                <w:b/>
                <w:color w:val="000000"/>
              </w:rPr>
            </w:pPr>
            <w:r>
              <w:rPr>
                <w:rFonts w:hint="eastAsia"/>
                <w:b/>
                <w:color w:val="000000"/>
              </w:rPr>
              <w:t>4、固废产生及治理措施</w:t>
            </w:r>
          </w:p>
          <w:p>
            <w:pPr>
              <w:pStyle w:val="38"/>
              <w:ind w:firstLine="480"/>
              <w:jc w:val="both"/>
              <w:rPr>
                <w:color w:val="000000"/>
              </w:rPr>
            </w:pPr>
            <w:r>
              <w:rPr>
                <w:rFonts w:hint="eastAsia"/>
                <w:color w:val="000000"/>
              </w:rPr>
              <w:t>根据《建设项目危险废物环境影响评价指南》（环保部公告[2017]43号）、《危险废物鉴别标准通则》(GB5085.7-2019)、《固体废物鉴别标准通则》（GB34330-2017）的要求，结合项目主辅工程的原辅材料使用情况及工艺，分析了各固废产生环节、主要成分及其产生量。</w:t>
            </w:r>
          </w:p>
          <w:p>
            <w:pPr>
              <w:pStyle w:val="38"/>
              <w:ind w:firstLine="482"/>
              <w:rPr>
                <w:b/>
                <w:color w:val="000000"/>
              </w:rPr>
            </w:pPr>
            <w:r>
              <w:rPr>
                <w:rFonts w:hint="eastAsia"/>
                <w:b/>
                <w:color w:val="000000"/>
              </w:rPr>
              <w:t>（1）产生及处置情况</w:t>
            </w:r>
          </w:p>
          <w:p>
            <w:pPr>
              <w:pStyle w:val="38"/>
              <w:ind w:firstLine="480"/>
              <w:jc w:val="both"/>
            </w:pPr>
            <w:r>
              <w:rPr>
                <w:rFonts w:hint="eastAsia"/>
                <w:color w:val="000000"/>
              </w:rPr>
              <w:t>本项目固体废物主要为</w:t>
            </w:r>
            <w:r>
              <w:t>员工生活垃圾</w:t>
            </w:r>
            <w:r>
              <w:rPr>
                <w:rFonts w:hint="eastAsia"/>
              </w:rPr>
              <w:t>、浓密罐污</w:t>
            </w:r>
            <w:r>
              <w:rPr>
                <w:rFonts w:ascii="宋体" w:hAnsi="宋体"/>
              </w:rPr>
              <w:t>泥</w:t>
            </w:r>
            <w:r>
              <w:rPr>
                <w:rFonts w:hint="eastAsia" w:ascii="宋体" w:hAnsi="宋体"/>
              </w:rPr>
              <w:t>和</w:t>
            </w:r>
            <w:r>
              <w:rPr>
                <w:rFonts w:hint="eastAsia" w:hAnsi="宋体"/>
              </w:rPr>
              <w:t>设备检修废油</w:t>
            </w:r>
            <w:r>
              <w:t>。</w:t>
            </w:r>
          </w:p>
          <w:p>
            <w:pPr>
              <w:pStyle w:val="38"/>
              <w:ind w:firstLine="480"/>
              <w:rPr>
                <w:color w:val="000000"/>
              </w:rPr>
            </w:pPr>
            <w:r>
              <w:rPr>
                <w:rFonts w:hint="eastAsia" w:ascii="宋体" w:hAnsi="宋体" w:cs="宋体"/>
                <w:bCs/>
              </w:rPr>
              <w:t>1）</w:t>
            </w:r>
            <w:r>
              <w:rPr>
                <w:rFonts w:hint="eastAsia"/>
                <w:color w:val="000000"/>
              </w:rPr>
              <w:t>生活垃圾</w:t>
            </w:r>
          </w:p>
          <w:p>
            <w:pPr>
              <w:pStyle w:val="38"/>
              <w:ind w:firstLine="482"/>
              <w:jc w:val="both"/>
              <w:rPr>
                <w:color w:val="000000"/>
              </w:rPr>
            </w:pPr>
            <w:r>
              <w:rPr>
                <w:rFonts w:hint="eastAsia"/>
                <w:b/>
                <w:color w:val="000000"/>
              </w:rPr>
              <w:t>产生情况：</w:t>
            </w:r>
            <w:r>
              <w:rPr>
                <w:rFonts w:hint="eastAsia"/>
                <w:color w:val="000000"/>
              </w:rPr>
              <w:t>本项目新增劳动定员</w:t>
            </w:r>
            <w:r>
              <w:rPr>
                <w:color w:val="000000"/>
              </w:rPr>
              <w:t>20</w:t>
            </w:r>
            <w:r>
              <w:rPr>
                <w:rFonts w:hint="eastAsia"/>
                <w:color w:val="000000"/>
              </w:rPr>
              <w:t>人，生活垃圾产生量以0.5kg/人•天计，则本项目产生的生活垃圾</w:t>
            </w:r>
            <w:r>
              <w:rPr>
                <w:color w:val="000000"/>
              </w:rPr>
              <w:t>10</w:t>
            </w:r>
            <w:r>
              <w:rPr>
                <w:rFonts w:hint="eastAsia"/>
                <w:color w:val="000000"/>
              </w:rPr>
              <w:t>kg/d，本项目每年生活垃圾产生量为</w:t>
            </w:r>
            <w:r>
              <w:rPr>
                <w:color w:val="000000"/>
              </w:rPr>
              <w:t>0.33</w:t>
            </w:r>
            <w:r>
              <w:rPr>
                <w:rFonts w:hint="eastAsia"/>
                <w:color w:val="000000"/>
              </w:rPr>
              <w:t>t/a。</w:t>
            </w:r>
          </w:p>
          <w:p>
            <w:pPr>
              <w:pStyle w:val="38"/>
              <w:ind w:firstLine="482"/>
              <w:rPr>
                <w:color w:val="000000"/>
              </w:rPr>
            </w:pPr>
            <w:r>
              <w:rPr>
                <w:rFonts w:hint="eastAsia"/>
                <w:b/>
                <w:color w:val="000000"/>
              </w:rPr>
              <w:t>治理措施：</w:t>
            </w:r>
            <w:r>
              <w:rPr>
                <w:rFonts w:hint="eastAsia"/>
                <w:color w:val="000000"/>
              </w:rPr>
              <w:t>收集后定期送当地环卫部门统一处理。</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2）浓密罐污泥</w:t>
            </w:r>
          </w:p>
          <w:p>
            <w:pPr>
              <w:adjustRightInd w:val="0"/>
              <w:snapToGrid w:val="0"/>
              <w:spacing w:line="360" w:lineRule="auto"/>
              <w:ind w:firstLine="482" w:firstLineChars="200"/>
              <w:rPr>
                <w:bCs/>
                <w:sz w:val="24"/>
              </w:rPr>
            </w:pPr>
            <w:r>
              <w:rPr>
                <w:rFonts w:hint="eastAsia" w:ascii="宋体" w:hAnsi="宋体" w:cs="宋体"/>
                <w:b/>
                <w:bCs/>
                <w:sz w:val="24"/>
              </w:rPr>
              <w:t>产生情况：</w:t>
            </w:r>
            <w:r>
              <w:rPr>
                <w:rFonts w:hint="eastAsia" w:ascii="宋体" w:hAnsi="宋体" w:cs="宋体"/>
                <w:bCs/>
                <w:sz w:val="24"/>
              </w:rPr>
              <w:t>项目细砂过程中会带走砂石中的泥土，将洗砂废水进入浓密罐后，这部分泥土会堆积在浓密罐底部形成泥水，泥水进入压滤机进行压滤脱水，脱水后产生污泥。根据类比分析，每吨砂石原料含泥量约为</w:t>
            </w:r>
            <w:r>
              <w:rPr>
                <w:bCs/>
                <w:sz w:val="24"/>
              </w:rPr>
              <w:t>0.015</w:t>
            </w:r>
            <w:r>
              <w:rPr>
                <w:rFonts w:hint="eastAsia"/>
                <w:bCs/>
                <w:sz w:val="24"/>
              </w:rPr>
              <w:t>t</w:t>
            </w:r>
            <w:r>
              <w:rPr>
                <w:rFonts w:hint="eastAsia" w:ascii="宋体" w:hAnsi="宋体" w:cs="宋体"/>
                <w:bCs/>
                <w:sz w:val="24"/>
              </w:rPr>
              <w:t>，本项目原料功共计</w:t>
            </w:r>
            <w:r>
              <w:rPr>
                <w:bCs/>
                <w:sz w:val="24"/>
              </w:rPr>
              <w:t>189.9</w:t>
            </w:r>
            <w:r>
              <w:rPr>
                <w:rFonts w:hint="eastAsia"/>
                <w:bCs/>
                <w:sz w:val="24"/>
              </w:rPr>
              <w:t>万</w:t>
            </w:r>
            <w:r>
              <w:rPr>
                <w:bCs/>
                <w:sz w:val="24"/>
              </w:rPr>
              <w:t>t</w:t>
            </w:r>
            <w:r>
              <w:rPr>
                <w:rFonts w:hint="eastAsia"/>
                <w:bCs/>
                <w:sz w:val="24"/>
              </w:rPr>
              <w:t>，</w:t>
            </w:r>
            <w:r>
              <w:rPr>
                <w:rFonts w:hint="eastAsia" w:ascii="宋体" w:hAnsi="宋体" w:cs="宋体"/>
                <w:bCs/>
                <w:sz w:val="24"/>
              </w:rPr>
              <w:t>则预估本项目产生的浓密罐污泥（含水率</w:t>
            </w:r>
            <w:r>
              <w:rPr>
                <w:bCs/>
                <w:sz w:val="24"/>
              </w:rPr>
              <w:t>60%</w:t>
            </w:r>
            <w:r>
              <w:rPr>
                <w:rFonts w:hint="eastAsia" w:ascii="宋体" w:hAnsi="宋体" w:cs="宋体"/>
                <w:bCs/>
                <w:sz w:val="24"/>
              </w:rPr>
              <w:t>）量为</w:t>
            </w:r>
            <w:r>
              <w:rPr>
                <w:bCs/>
                <w:sz w:val="24"/>
              </w:rPr>
              <w:t>6.55</w:t>
            </w:r>
            <w:r>
              <w:rPr>
                <w:rFonts w:hint="eastAsia" w:ascii="宋体" w:hAnsi="宋体" w:cs="宋体"/>
                <w:bCs/>
                <w:sz w:val="24"/>
              </w:rPr>
              <w:t>万</w:t>
            </w:r>
            <w:r>
              <w:rPr>
                <w:bCs/>
                <w:sz w:val="24"/>
              </w:rPr>
              <w:t>m</w:t>
            </w:r>
            <w:r>
              <w:rPr>
                <w:bCs/>
                <w:sz w:val="24"/>
                <w:vertAlign w:val="superscript"/>
              </w:rPr>
              <w:t>3</w:t>
            </w:r>
            <w:r>
              <w:rPr>
                <w:bCs/>
                <w:sz w:val="24"/>
              </w:rPr>
              <w:t>/a</w:t>
            </w:r>
            <w:r>
              <w:rPr>
                <w:rFonts w:hint="eastAsia"/>
                <w:bCs/>
                <w:sz w:val="24"/>
              </w:rPr>
              <w:t>。</w:t>
            </w:r>
          </w:p>
          <w:p>
            <w:pPr>
              <w:adjustRightInd w:val="0"/>
              <w:snapToGrid w:val="0"/>
              <w:spacing w:line="360" w:lineRule="auto"/>
              <w:ind w:firstLine="482" w:firstLineChars="200"/>
              <w:rPr>
                <w:rFonts w:ascii="宋体" w:hAnsi="宋体" w:cs="宋体"/>
                <w:kern w:val="0"/>
                <w:sz w:val="24"/>
                <w:lang w:bidi="ar"/>
              </w:rPr>
            </w:pPr>
            <w:r>
              <w:rPr>
                <w:rFonts w:hint="eastAsia"/>
                <w:b/>
                <w:color w:val="000000"/>
                <w:sz w:val="24"/>
              </w:rPr>
              <w:t>治理措施：</w:t>
            </w:r>
            <w:r>
              <w:rPr>
                <w:rFonts w:hint="eastAsia" w:ascii="宋体" w:hAnsi="宋体" w:cs="宋体"/>
                <w:kern w:val="0"/>
                <w:sz w:val="24"/>
                <w:lang w:bidi="ar"/>
              </w:rPr>
              <w:t>拟建污泥暂存区，位于压滤机下方（封闭生产车间内），污泥经压滤后暂存于污泥暂存区，定期运至政府指定地点堆放。污泥暂存区采取“三防”措施，地面硬化，并设置三面围挡，一面留作车辆进出，做到日产日清。</w:t>
            </w:r>
          </w:p>
          <w:p>
            <w:pPr>
              <w:adjustRightInd w:val="0"/>
              <w:snapToGrid w:val="0"/>
              <w:spacing w:line="360" w:lineRule="auto"/>
              <w:ind w:firstLine="480" w:firstLineChars="200"/>
              <w:rPr>
                <w:bCs/>
                <w:sz w:val="24"/>
              </w:rPr>
            </w:pPr>
            <w:r>
              <w:rPr>
                <w:rFonts w:hint="eastAsia"/>
                <w:bCs/>
                <w:sz w:val="24"/>
              </w:rPr>
              <w:t>3）设备检修废油</w:t>
            </w:r>
          </w:p>
          <w:p>
            <w:pPr>
              <w:adjustRightInd w:val="0"/>
              <w:snapToGrid w:val="0"/>
              <w:spacing w:line="360" w:lineRule="auto"/>
              <w:ind w:firstLine="482" w:firstLineChars="200"/>
              <w:rPr>
                <w:bCs/>
                <w:sz w:val="24"/>
              </w:rPr>
            </w:pPr>
            <w:r>
              <w:rPr>
                <w:rFonts w:hint="eastAsia"/>
                <w:b/>
                <w:bCs/>
                <w:sz w:val="24"/>
              </w:rPr>
              <w:t>产生情况：</w:t>
            </w:r>
            <w:r>
              <w:rPr>
                <w:rFonts w:hint="eastAsia"/>
                <w:bCs/>
                <w:sz w:val="24"/>
              </w:rPr>
              <w:t>项目运营期设备检修过程中会产生少量废机油，</w:t>
            </w:r>
            <w:r>
              <w:rPr>
                <w:rFonts w:hint="eastAsia" w:ascii="宋体" w:hAnsi="宋体" w:cs="宋体"/>
                <w:kern w:val="0"/>
                <w:sz w:val="24"/>
                <w:lang w:bidi="ar"/>
              </w:rPr>
              <w:t>产生量约</w:t>
            </w:r>
            <w:r>
              <w:rPr>
                <w:kern w:val="0"/>
                <w:sz w:val="24"/>
                <w:lang w:bidi="ar"/>
              </w:rPr>
              <w:t>0.1t/a</w:t>
            </w:r>
            <w:r>
              <w:rPr>
                <w:rFonts w:hint="eastAsia"/>
                <w:kern w:val="0"/>
                <w:sz w:val="24"/>
                <w:lang w:bidi="ar"/>
              </w:rPr>
              <w:t>。</w:t>
            </w:r>
            <w:r>
              <w:rPr>
                <w:rFonts w:hint="eastAsia"/>
                <w:bCs/>
                <w:sz w:val="24"/>
              </w:rPr>
              <w:t>根据《国家危险废物名录（2</w:t>
            </w:r>
            <w:r>
              <w:rPr>
                <w:bCs/>
                <w:sz w:val="24"/>
              </w:rPr>
              <w:t>021</w:t>
            </w:r>
            <w:r>
              <w:rPr>
                <w:rFonts w:hint="eastAsia"/>
                <w:bCs/>
                <w:sz w:val="24"/>
              </w:rPr>
              <w:t>年版）》，废机油属于</w:t>
            </w:r>
            <w:r>
              <w:rPr>
                <w:rFonts w:hint="eastAsia" w:ascii="宋体" w:hAnsi="宋体" w:cs="宋体"/>
                <w:kern w:val="0"/>
                <w:sz w:val="24"/>
                <w:lang w:bidi="ar"/>
              </w:rPr>
              <w:t>“</w:t>
            </w:r>
            <w:r>
              <w:rPr>
                <w:rFonts w:ascii="宋体" w:hAnsi="宋体" w:cs="宋体"/>
                <w:kern w:val="0"/>
                <w:sz w:val="24"/>
                <w:lang w:bidi="ar"/>
              </w:rPr>
              <w:t>HW08</w:t>
            </w:r>
            <w:r>
              <w:rPr>
                <w:rFonts w:hint="eastAsia" w:ascii="宋体" w:hAnsi="宋体" w:cs="宋体"/>
                <w:kern w:val="0"/>
                <w:sz w:val="24"/>
                <w:lang w:bidi="ar"/>
              </w:rPr>
              <w:t xml:space="preserve">废矿物油与含矿物油废油 非特定行业 </w:t>
            </w:r>
            <w:r>
              <w:rPr>
                <w:rFonts w:ascii="宋体" w:hAnsi="宋体" w:cs="宋体"/>
                <w:kern w:val="0"/>
                <w:sz w:val="24"/>
                <w:lang w:bidi="ar"/>
              </w:rPr>
              <w:t>900-217-08</w:t>
            </w:r>
            <w:r>
              <w:rPr>
                <w:rFonts w:hint="eastAsia" w:ascii="宋体" w:hAnsi="宋体" w:cs="宋体"/>
                <w:kern w:val="0"/>
                <w:sz w:val="24"/>
                <w:lang w:bidi="ar"/>
              </w:rPr>
              <w:t>使用工业齿轮油进行机械设备润滑过程中产生的废润滑油”</w:t>
            </w:r>
            <w:r>
              <w:rPr>
                <w:rFonts w:hint="eastAsia"/>
                <w:bCs/>
                <w:sz w:val="24"/>
              </w:rPr>
              <w:t>。</w:t>
            </w:r>
          </w:p>
          <w:p>
            <w:pPr>
              <w:pStyle w:val="38"/>
              <w:ind w:firstLine="482"/>
              <w:rPr>
                <w:rFonts w:ascii="宋体" w:hAnsi="宋体" w:cs="宋体"/>
                <w:kern w:val="0"/>
                <w:szCs w:val="21"/>
                <w:lang w:bidi="ar"/>
              </w:rPr>
            </w:pPr>
            <w:r>
              <w:rPr>
                <w:rFonts w:hint="eastAsia"/>
                <w:b/>
                <w:color w:val="000000"/>
              </w:rPr>
              <w:t>治理措施：</w:t>
            </w:r>
            <w:r>
              <w:rPr>
                <w:rFonts w:hint="eastAsia"/>
                <w:bCs/>
              </w:rPr>
              <w:t>设备检修废油</w:t>
            </w:r>
            <w:r>
              <w:rPr>
                <w:rFonts w:hint="eastAsia" w:ascii="宋体" w:hAnsi="宋体" w:cs="宋体"/>
                <w:kern w:val="0"/>
                <w:szCs w:val="21"/>
                <w:lang w:bidi="ar"/>
              </w:rPr>
              <w:t>暂存于危废暂存间，定期交由资质单位清运处置。</w:t>
            </w:r>
          </w:p>
          <w:p>
            <w:pPr>
              <w:pStyle w:val="38"/>
              <w:ind w:firstLine="480"/>
              <w:rPr>
                <w:color w:val="000000"/>
              </w:rPr>
            </w:pPr>
            <w:r>
              <w:rPr>
                <w:rFonts w:hint="eastAsia"/>
                <w:color w:val="000000"/>
              </w:rPr>
              <w:t>本项目全厂固废产生情况如下表所示。</w:t>
            </w:r>
          </w:p>
          <w:p>
            <w:pPr>
              <w:adjustRightInd w:val="0"/>
              <w:snapToGrid w:val="0"/>
              <w:spacing w:line="240" w:lineRule="atLeast"/>
              <w:ind w:firstLine="402"/>
              <w:jc w:val="center"/>
              <w:rPr>
                <w:b/>
                <w:color w:val="000000"/>
                <w:szCs w:val="21"/>
              </w:rPr>
            </w:pPr>
            <w:r>
              <w:rPr>
                <w:rFonts w:hint="eastAsia"/>
                <w:b/>
                <w:color w:val="000000"/>
                <w:szCs w:val="21"/>
              </w:rPr>
              <w:t>表4-</w:t>
            </w:r>
            <w:r>
              <w:rPr>
                <w:b/>
                <w:color w:val="000000"/>
                <w:szCs w:val="21"/>
              </w:rPr>
              <w:t>13</w:t>
            </w:r>
            <w:r>
              <w:rPr>
                <w:rFonts w:hint="eastAsia"/>
                <w:b/>
                <w:color w:val="000000"/>
                <w:szCs w:val="21"/>
              </w:rPr>
              <w:t xml:space="preserve"> 项目固废产生情况汇总表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199"/>
              <w:gridCol w:w="1275"/>
              <w:gridCol w:w="1560"/>
              <w:gridCol w:w="2222"/>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12" w:space="0"/>
                    <w:left w:val="nil"/>
                  </w:tcBorders>
                  <w:vAlign w:val="center"/>
                </w:tcPr>
                <w:p>
                  <w:pPr>
                    <w:jc w:val="center"/>
                    <w:rPr>
                      <w:b/>
                      <w:szCs w:val="21"/>
                    </w:rPr>
                  </w:pPr>
                  <w:r>
                    <w:rPr>
                      <w:rFonts w:hint="eastAsia"/>
                      <w:b/>
                      <w:szCs w:val="21"/>
                    </w:rPr>
                    <w:t>序号</w:t>
                  </w:r>
                </w:p>
              </w:tc>
              <w:tc>
                <w:tcPr>
                  <w:tcW w:w="1199" w:type="dxa"/>
                  <w:tcBorders>
                    <w:top w:val="single" w:color="auto" w:sz="12" w:space="0"/>
                  </w:tcBorders>
                  <w:vAlign w:val="center"/>
                </w:tcPr>
                <w:p>
                  <w:pPr>
                    <w:jc w:val="center"/>
                    <w:rPr>
                      <w:b/>
                      <w:szCs w:val="21"/>
                    </w:rPr>
                  </w:pPr>
                  <w:r>
                    <w:rPr>
                      <w:rFonts w:hint="eastAsia"/>
                      <w:b/>
                      <w:szCs w:val="21"/>
                    </w:rPr>
                    <w:t>固废名称</w:t>
                  </w:r>
                </w:p>
              </w:tc>
              <w:tc>
                <w:tcPr>
                  <w:tcW w:w="1275" w:type="dxa"/>
                  <w:tcBorders>
                    <w:top w:val="single" w:color="auto" w:sz="12" w:space="0"/>
                  </w:tcBorders>
                  <w:vAlign w:val="center"/>
                </w:tcPr>
                <w:p>
                  <w:pPr>
                    <w:jc w:val="center"/>
                    <w:rPr>
                      <w:b/>
                      <w:szCs w:val="21"/>
                    </w:rPr>
                  </w:pPr>
                  <w:r>
                    <w:rPr>
                      <w:rFonts w:hint="eastAsia"/>
                      <w:b/>
                      <w:szCs w:val="21"/>
                    </w:rPr>
                    <w:t>产生源</w:t>
                  </w:r>
                </w:p>
              </w:tc>
              <w:tc>
                <w:tcPr>
                  <w:tcW w:w="1560" w:type="dxa"/>
                  <w:tcBorders>
                    <w:top w:val="single" w:color="auto" w:sz="12" w:space="0"/>
                  </w:tcBorders>
                  <w:vAlign w:val="center"/>
                </w:tcPr>
                <w:p>
                  <w:pPr>
                    <w:jc w:val="center"/>
                    <w:rPr>
                      <w:b/>
                      <w:szCs w:val="21"/>
                    </w:rPr>
                  </w:pPr>
                  <w:r>
                    <w:rPr>
                      <w:rFonts w:hint="eastAsia"/>
                      <w:b/>
                      <w:szCs w:val="21"/>
                    </w:rPr>
                    <w:t>产生量（t/a）</w:t>
                  </w:r>
                </w:p>
              </w:tc>
              <w:tc>
                <w:tcPr>
                  <w:tcW w:w="2222" w:type="dxa"/>
                  <w:tcBorders>
                    <w:top w:val="single" w:color="auto" w:sz="12" w:space="0"/>
                  </w:tcBorders>
                  <w:vAlign w:val="center"/>
                </w:tcPr>
                <w:p>
                  <w:pPr>
                    <w:jc w:val="center"/>
                    <w:rPr>
                      <w:b/>
                      <w:szCs w:val="21"/>
                    </w:rPr>
                  </w:pPr>
                  <w:r>
                    <w:rPr>
                      <w:rFonts w:hint="eastAsia"/>
                      <w:b/>
                      <w:szCs w:val="21"/>
                    </w:rPr>
                    <w:t>固废类别</w:t>
                  </w:r>
                </w:p>
              </w:tc>
              <w:tc>
                <w:tcPr>
                  <w:tcW w:w="1605" w:type="dxa"/>
                  <w:tcBorders>
                    <w:top w:val="single" w:color="auto" w:sz="12" w:space="0"/>
                    <w:right w:val="nil"/>
                  </w:tcBorders>
                  <w:vAlign w:val="center"/>
                </w:tcPr>
                <w:p>
                  <w:pPr>
                    <w:jc w:val="center"/>
                    <w:rPr>
                      <w:b/>
                      <w:szCs w:val="21"/>
                    </w:rPr>
                  </w:pPr>
                  <w:r>
                    <w:rPr>
                      <w:rFonts w:hint="eastAsia"/>
                      <w:b/>
                      <w:szCs w:val="21"/>
                    </w:rPr>
                    <w:t>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left w:val="nil"/>
                  </w:tcBorders>
                  <w:vAlign w:val="center"/>
                </w:tcPr>
                <w:p>
                  <w:pPr>
                    <w:jc w:val="center"/>
                    <w:rPr>
                      <w:szCs w:val="21"/>
                    </w:rPr>
                  </w:pPr>
                  <w:r>
                    <w:rPr>
                      <w:rFonts w:hint="eastAsia"/>
                      <w:szCs w:val="21"/>
                    </w:rPr>
                    <w:t>1</w:t>
                  </w:r>
                </w:p>
              </w:tc>
              <w:tc>
                <w:tcPr>
                  <w:tcW w:w="1199" w:type="dxa"/>
                  <w:vAlign w:val="center"/>
                </w:tcPr>
                <w:p>
                  <w:pPr>
                    <w:jc w:val="center"/>
                    <w:rPr>
                      <w:szCs w:val="21"/>
                    </w:rPr>
                  </w:pPr>
                  <w:r>
                    <w:rPr>
                      <w:rFonts w:hint="eastAsia"/>
                      <w:szCs w:val="21"/>
                    </w:rPr>
                    <w:t>生活垃圾</w:t>
                  </w:r>
                </w:p>
              </w:tc>
              <w:tc>
                <w:tcPr>
                  <w:tcW w:w="1275" w:type="dxa"/>
                  <w:vAlign w:val="center"/>
                </w:tcPr>
                <w:p>
                  <w:pPr>
                    <w:jc w:val="center"/>
                    <w:rPr>
                      <w:szCs w:val="21"/>
                    </w:rPr>
                  </w:pPr>
                  <w:r>
                    <w:rPr>
                      <w:rFonts w:hint="eastAsia"/>
                      <w:szCs w:val="21"/>
                    </w:rPr>
                    <w:t>员工日常生活</w:t>
                  </w:r>
                </w:p>
              </w:tc>
              <w:tc>
                <w:tcPr>
                  <w:tcW w:w="1560" w:type="dxa"/>
                  <w:vAlign w:val="center"/>
                </w:tcPr>
                <w:p>
                  <w:pPr>
                    <w:jc w:val="center"/>
                    <w:rPr>
                      <w:szCs w:val="21"/>
                    </w:rPr>
                  </w:pPr>
                  <w:r>
                    <w:rPr>
                      <w:rFonts w:hint="eastAsia"/>
                      <w:szCs w:val="21"/>
                    </w:rPr>
                    <w:t>0</w:t>
                  </w:r>
                  <w:r>
                    <w:rPr>
                      <w:szCs w:val="21"/>
                    </w:rPr>
                    <w:t>.33</w:t>
                  </w:r>
                </w:p>
              </w:tc>
              <w:tc>
                <w:tcPr>
                  <w:tcW w:w="2222" w:type="dxa"/>
                  <w:vAlign w:val="center"/>
                </w:tcPr>
                <w:p>
                  <w:pPr>
                    <w:jc w:val="center"/>
                    <w:rPr>
                      <w:szCs w:val="21"/>
                    </w:rPr>
                  </w:pPr>
                  <w:r>
                    <w:rPr>
                      <w:rFonts w:hint="eastAsia"/>
                      <w:szCs w:val="21"/>
                    </w:rPr>
                    <w:t>生活垃圾</w:t>
                  </w:r>
                </w:p>
              </w:tc>
              <w:tc>
                <w:tcPr>
                  <w:tcW w:w="1605" w:type="dxa"/>
                  <w:tcBorders>
                    <w:right w:val="nil"/>
                  </w:tcBorders>
                  <w:vAlign w:val="center"/>
                </w:tcPr>
                <w:p>
                  <w:pPr>
                    <w:jc w:val="center"/>
                    <w:rPr>
                      <w:szCs w:val="21"/>
                    </w:rPr>
                  </w:pPr>
                  <w:r>
                    <w:rPr>
                      <w:rFonts w:hint="eastAsia"/>
                      <w:szCs w:val="21"/>
                    </w:rPr>
                    <w:t>环卫部门统一处理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left w:val="nil"/>
                  </w:tcBorders>
                  <w:vAlign w:val="center"/>
                </w:tcPr>
                <w:p>
                  <w:pPr>
                    <w:jc w:val="center"/>
                    <w:rPr>
                      <w:szCs w:val="21"/>
                    </w:rPr>
                  </w:pPr>
                  <w:r>
                    <w:rPr>
                      <w:rFonts w:hint="eastAsia"/>
                      <w:szCs w:val="21"/>
                    </w:rPr>
                    <w:t>2</w:t>
                  </w:r>
                </w:p>
              </w:tc>
              <w:tc>
                <w:tcPr>
                  <w:tcW w:w="1199" w:type="dxa"/>
                  <w:vAlign w:val="center"/>
                </w:tcPr>
                <w:p>
                  <w:pPr>
                    <w:jc w:val="center"/>
                    <w:rPr>
                      <w:szCs w:val="21"/>
                    </w:rPr>
                  </w:pPr>
                  <w:r>
                    <w:rPr>
                      <w:rFonts w:hint="eastAsia"/>
                      <w:szCs w:val="21"/>
                    </w:rPr>
                    <w:t>浓密罐污泥</w:t>
                  </w:r>
                </w:p>
              </w:tc>
              <w:tc>
                <w:tcPr>
                  <w:tcW w:w="1275" w:type="dxa"/>
                  <w:vAlign w:val="center"/>
                </w:tcPr>
                <w:p>
                  <w:pPr>
                    <w:jc w:val="center"/>
                    <w:rPr>
                      <w:szCs w:val="21"/>
                    </w:rPr>
                  </w:pPr>
                  <w:r>
                    <w:rPr>
                      <w:rFonts w:hint="eastAsia"/>
                      <w:szCs w:val="21"/>
                    </w:rPr>
                    <w:t>浓密罐</w:t>
                  </w:r>
                </w:p>
              </w:tc>
              <w:tc>
                <w:tcPr>
                  <w:tcW w:w="1560" w:type="dxa"/>
                  <w:vAlign w:val="center"/>
                </w:tcPr>
                <w:p>
                  <w:pPr>
                    <w:jc w:val="center"/>
                    <w:rPr>
                      <w:szCs w:val="21"/>
                    </w:rPr>
                  </w:pPr>
                  <w:r>
                    <w:rPr>
                      <w:szCs w:val="21"/>
                    </w:rPr>
                    <w:t>6.55</w:t>
                  </w:r>
                  <w:r>
                    <w:rPr>
                      <w:rFonts w:hint="eastAsia"/>
                      <w:szCs w:val="21"/>
                    </w:rPr>
                    <w:t>万</w:t>
                  </w:r>
                </w:p>
              </w:tc>
              <w:tc>
                <w:tcPr>
                  <w:tcW w:w="2222" w:type="dxa"/>
                  <w:vAlign w:val="center"/>
                </w:tcPr>
                <w:p>
                  <w:pPr>
                    <w:jc w:val="center"/>
                    <w:rPr>
                      <w:szCs w:val="21"/>
                    </w:rPr>
                  </w:pPr>
                  <w:r>
                    <w:rPr>
                      <w:rFonts w:hint="eastAsia"/>
                      <w:szCs w:val="21"/>
                    </w:rPr>
                    <w:t>一般固废</w:t>
                  </w:r>
                </w:p>
              </w:tc>
              <w:tc>
                <w:tcPr>
                  <w:tcW w:w="1605" w:type="dxa"/>
                  <w:tcBorders>
                    <w:right w:val="nil"/>
                  </w:tcBorders>
                  <w:vAlign w:val="center"/>
                </w:tcPr>
                <w:p>
                  <w:pPr>
                    <w:jc w:val="center"/>
                    <w:rPr>
                      <w:szCs w:val="21"/>
                    </w:rPr>
                  </w:pPr>
                  <w:r>
                    <w:rPr>
                      <w:rFonts w:hint="eastAsia"/>
                      <w:szCs w:val="21"/>
                    </w:rPr>
                    <w:t>压滤机脱水后运往政府指定地点堆放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left w:val="nil"/>
                  </w:tcBorders>
                  <w:vAlign w:val="center"/>
                </w:tcPr>
                <w:p>
                  <w:pPr>
                    <w:jc w:val="center"/>
                    <w:rPr>
                      <w:szCs w:val="21"/>
                    </w:rPr>
                  </w:pPr>
                  <w:r>
                    <w:rPr>
                      <w:rFonts w:hint="eastAsia"/>
                      <w:szCs w:val="21"/>
                    </w:rPr>
                    <w:t>3</w:t>
                  </w:r>
                </w:p>
              </w:tc>
              <w:tc>
                <w:tcPr>
                  <w:tcW w:w="1199" w:type="dxa"/>
                  <w:vAlign w:val="center"/>
                </w:tcPr>
                <w:p>
                  <w:pPr>
                    <w:jc w:val="center"/>
                    <w:rPr>
                      <w:szCs w:val="21"/>
                    </w:rPr>
                  </w:pPr>
                  <w:r>
                    <w:rPr>
                      <w:rFonts w:hint="eastAsia"/>
                      <w:szCs w:val="21"/>
                    </w:rPr>
                    <w:t>设备检修废油</w:t>
                  </w:r>
                </w:p>
              </w:tc>
              <w:tc>
                <w:tcPr>
                  <w:tcW w:w="1275" w:type="dxa"/>
                  <w:vAlign w:val="center"/>
                </w:tcPr>
                <w:p>
                  <w:pPr>
                    <w:jc w:val="center"/>
                    <w:rPr>
                      <w:szCs w:val="21"/>
                    </w:rPr>
                  </w:pPr>
                  <w:r>
                    <w:rPr>
                      <w:rFonts w:hint="eastAsia"/>
                      <w:szCs w:val="21"/>
                    </w:rPr>
                    <w:t>设备检修</w:t>
                  </w:r>
                </w:p>
              </w:tc>
              <w:tc>
                <w:tcPr>
                  <w:tcW w:w="1560" w:type="dxa"/>
                  <w:vAlign w:val="center"/>
                </w:tcPr>
                <w:p>
                  <w:pPr>
                    <w:jc w:val="center"/>
                    <w:rPr>
                      <w:szCs w:val="21"/>
                    </w:rPr>
                  </w:pPr>
                  <w:r>
                    <w:rPr>
                      <w:szCs w:val="21"/>
                    </w:rPr>
                    <w:t>0.1</w:t>
                  </w:r>
                </w:p>
              </w:tc>
              <w:tc>
                <w:tcPr>
                  <w:tcW w:w="2222" w:type="dxa"/>
                  <w:vAlign w:val="center"/>
                </w:tcPr>
                <w:p>
                  <w:pPr>
                    <w:jc w:val="center"/>
                    <w:rPr>
                      <w:szCs w:val="21"/>
                    </w:rPr>
                  </w:pPr>
                  <w:r>
                    <w:rPr>
                      <w:rFonts w:hint="eastAsia"/>
                      <w:szCs w:val="21"/>
                    </w:rPr>
                    <w:t>危险废物</w:t>
                  </w:r>
                </w:p>
                <w:p>
                  <w:pPr>
                    <w:jc w:val="center"/>
                    <w:rPr>
                      <w:szCs w:val="21"/>
                    </w:rPr>
                  </w:pPr>
                  <w:r>
                    <w:rPr>
                      <w:rFonts w:hint="eastAsia"/>
                      <w:szCs w:val="21"/>
                    </w:rPr>
                    <w:t>（HW08废矿物油与含矿物油废油）</w:t>
                  </w:r>
                </w:p>
              </w:tc>
              <w:tc>
                <w:tcPr>
                  <w:tcW w:w="1605" w:type="dxa"/>
                  <w:tcBorders>
                    <w:right w:val="nil"/>
                  </w:tcBorders>
                  <w:vAlign w:val="center"/>
                </w:tcPr>
                <w:p>
                  <w:pPr>
                    <w:jc w:val="center"/>
                    <w:rPr>
                      <w:szCs w:val="21"/>
                    </w:rPr>
                  </w:pPr>
                  <w:r>
                    <w:rPr>
                      <w:rFonts w:hint="eastAsia" w:ascii="宋体" w:hAnsi="宋体" w:cs="宋体"/>
                      <w:kern w:val="0"/>
                      <w:szCs w:val="21"/>
                      <w:lang w:bidi="ar"/>
                    </w:rPr>
                    <w:t>暂存于危废暂存间，定期交由资质单位清运处置</w:t>
                  </w:r>
                </w:p>
              </w:tc>
            </w:tr>
          </w:tbl>
          <w:p>
            <w:pPr>
              <w:pStyle w:val="38"/>
              <w:wordWrap/>
              <w:spacing w:before="120" w:beforeLines="50"/>
              <w:ind w:firstLine="482"/>
              <w:jc w:val="both"/>
              <w:rPr>
                <w:b/>
                <w:lang w:bidi="ar"/>
              </w:rPr>
            </w:pPr>
            <w:r>
              <w:rPr>
                <w:rFonts w:hint="eastAsia"/>
                <w:b/>
                <w:lang w:bidi="ar"/>
              </w:rPr>
              <w:t>（2）危险废物环境管理要求</w:t>
            </w:r>
          </w:p>
          <w:p>
            <w:pPr>
              <w:widowControl/>
              <w:spacing w:line="360" w:lineRule="auto"/>
              <w:ind w:firstLine="480" w:firstLineChars="200"/>
              <w:rPr>
                <w:rFonts w:cs="宋体"/>
                <w:kern w:val="0"/>
                <w:sz w:val="24"/>
                <w:lang w:bidi="ar"/>
              </w:rPr>
            </w:pPr>
            <w:r>
              <w:rPr>
                <w:rFonts w:hint="eastAsia" w:cs="宋体"/>
                <w:kern w:val="0"/>
                <w:sz w:val="24"/>
                <w:lang w:bidi="ar"/>
              </w:rPr>
              <w:t xml:space="preserve">危废暂存间设置明显警示标识，由专人管理，依据国家相关法律法规，危险废物需送至具有相关处置资质的单位进行处理。严格按照《危险废物收集贮存运输技术规范》（HJ2025-2010）、《危险废物贮存污染控制标准》和《危险废物转移联单管理办法》采用专用收集容器进行收集、贮存和管理。 </w:t>
            </w:r>
          </w:p>
          <w:p>
            <w:pPr>
              <w:widowControl/>
              <w:spacing w:line="360" w:lineRule="auto"/>
              <w:ind w:firstLine="482" w:firstLineChars="200"/>
              <w:rPr>
                <w:rFonts w:cs="宋体"/>
                <w:kern w:val="0"/>
                <w:sz w:val="24"/>
                <w:lang w:bidi="ar"/>
              </w:rPr>
            </w:pPr>
            <w:r>
              <w:rPr>
                <w:rFonts w:hint="eastAsia" w:cs="宋体"/>
                <w:b/>
                <w:bCs/>
                <w:kern w:val="0"/>
                <w:sz w:val="24"/>
                <w:lang w:bidi="ar"/>
              </w:rPr>
              <w:t>①危险废物收集要求</w:t>
            </w:r>
            <w:r>
              <w:rPr>
                <w:rFonts w:hint="eastAsia" w:cs="宋体"/>
                <w:kern w:val="0"/>
                <w:sz w:val="24"/>
                <w:lang w:bidi="ar"/>
              </w:rPr>
              <w:t xml:space="preserve"> </w:t>
            </w:r>
          </w:p>
          <w:p>
            <w:pPr>
              <w:widowControl/>
              <w:spacing w:line="360" w:lineRule="auto"/>
              <w:ind w:firstLine="480" w:firstLineChars="200"/>
              <w:rPr>
                <w:rFonts w:cs="宋体"/>
                <w:kern w:val="0"/>
                <w:sz w:val="24"/>
                <w:lang w:bidi="ar"/>
              </w:rPr>
            </w:pPr>
            <w:r>
              <w:rPr>
                <w:rFonts w:hint="eastAsia" w:cs="宋体"/>
                <w:kern w:val="0"/>
                <w:sz w:val="24"/>
                <w:lang w:bidi="ar"/>
              </w:rPr>
              <w:t>项目危险废物的收集包括两个方面，一是在危险废物产生节点将危险废物集中到包装桶或包装袋中，二是将已包装的危险废物集中到危废暂存间内。在危险废物的收集过程中，项目应采取如下污染防治措施：</w:t>
            </w:r>
          </w:p>
          <w:p>
            <w:pPr>
              <w:widowControl/>
              <w:spacing w:line="360" w:lineRule="auto"/>
              <w:ind w:firstLine="480" w:firstLineChars="200"/>
              <w:rPr>
                <w:rFonts w:cs="宋体"/>
                <w:kern w:val="0"/>
                <w:sz w:val="24"/>
                <w:lang w:bidi="ar"/>
              </w:rPr>
            </w:pPr>
            <w:r>
              <w:rPr>
                <w:rFonts w:hint="eastAsia" w:cs="宋体"/>
                <w:kern w:val="0"/>
                <w:sz w:val="24"/>
                <w:lang w:bidi="ar"/>
              </w:rPr>
              <w:t>1）危险废物的收集应根据危险废物产生工艺特征、排放周期、危险废物特性、废物管理计划等因素制定收集计划。收集计划应包括收集任务概述、收集目标及原则、危险废物特性评估、危险废物收集量估算、收集作业范围和方法、收集设备与包装容器、安全生产与个人防护、工程防护与事故应急、进度安排与组织管理等。</w:t>
            </w:r>
          </w:p>
          <w:p>
            <w:pPr>
              <w:widowControl/>
              <w:spacing w:line="360" w:lineRule="auto"/>
              <w:ind w:firstLine="480" w:firstLineChars="200"/>
              <w:rPr>
                <w:rFonts w:cs="宋体"/>
                <w:kern w:val="0"/>
                <w:sz w:val="24"/>
                <w:lang w:bidi="ar"/>
              </w:rPr>
            </w:pPr>
            <w:r>
              <w:rPr>
                <w:rFonts w:hint="eastAsia" w:cs="宋体"/>
                <w:kern w:val="0"/>
                <w:sz w:val="24"/>
                <w:lang w:bidi="ar"/>
              </w:rPr>
              <w:t>2）危险废物的收集应制定详细的操作规程，内容至少应包括适用范围、操作程序和方法、专用设备和工具、转移和交接、安全保障和应急防护等。</w:t>
            </w:r>
          </w:p>
          <w:p>
            <w:pPr>
              <w:widowControl/>
              <w:spacing w:line="360" w:lineRule="auto"/>
              <w:ind w:firstLine="480" w:firstLineChars="200"/>
              <w:rPr>
                <w:rFonts w:cs="宋体"/>
                <w:kern w:val="0"/>
                <w:sz w:val="24"/>
                <w:lang w:bidi="ar"/>
              </w:rPr>
            </w:pPr>
            <w:r>
              <w:rPr>
                <w:rFonts w:hint="eastAsia" w:cs="宋体"/>
                <w:kern w:val="0"/>
                <w:sz w:val="24"/>
                <w:lang w:bidi="ar"/>
              </w:rPr>
              <w:t>3）危险废物收集和转运作业人员应根据工作需要配备必要的个人防护装备，如手套等。</w:t>
            </w:r>
          </w:p>
          <w:p>
            <w:pPr>
              <w:widowControl/>
              <w:spacing w:line="360" w:lineRule="auto"/>
              <w:ind w:firstLine="480" w:firstLineChars="200"/>
              <w:rPr>
                <w:rFonts w:cs="宋体"/>
                <w:kern w:val="0"/>
                <w:sz w:val="24"/>
                <w:lang w:bidi="ar"/>
              </w:rPr>
            </w:pPr>
            <w:r>
              <w:rPr>
                <w:rFonts w:hint="eastAsia" w:cs="宋体"/>
                <w:kern w:val="0"/>
                <w:sz w:val="24"/>
                <w:lang w:bidi="ar"/>
              </w:rPr>
              <w:t>4）危废废物应存放于符合国家标准的容器中，贮存容器必须具有耐腐蚀、耐压、密封和不与所贮存的废物发生反应等特性，贮存容器应保证完好无损并具有明显标志。</w:t>
            </w:r>
          </w:p>
          <w:p>
            <w:pPr>
              <w:widowControl/>
              <w:spacing w:line="360" w:lineRule="auto"/>
              <w:ind w:firstLine="480" w:firstLineChars="200"/>
              <w:rPr>
                <w:rFonts w:cs="宋体"/>
                <w:kern w:val="0"/>
                <w:sz w:val="24"/>
                <w:lang w:bidi="ar"/>
              </w:rPr>
            </w:pPr>
            <w:r>
              <w:rPr>
                <w:rFonts w:hint="eastAsia" w:cs="宋体"/>
                <w:kern w:val="0"/>
                <w:sz w:val="24"/>
                <w:lang w:bidi="ar"/>
              </w:rPr>
              <w:t>5）应根据收集设备、转运车辆以及现场人员等实际情况确定相应作业区域，同时要设置作业界限标志和警示牌；作业区域内应设置危险废物收集专用通道和人员避险通道；收集时应配备必要的收集工具和包装物，以及必要的应急监测设备及应急装备；应填写记录表，并将记录表作为危险废物管理的重要档案妥善保存；收集结束后应清理和恢复收集作业区域，确保作业区域环境整洁安全；收集过危险废物的容器、设备、设施、场所及其它物品转作它用时，应消除污染，确保其使用安全。</w:t>
            </w:r>
          </w:p>
          <w:p>
            <w:pPr>
              <w:widowControl/>
              <w:spacing w:line="360" w:lineRule="auto"/>
              <w:ind w:firstLine="480" w:firstLineChars="200"/>
              <w:rPr>
                <w:rFonts w:cs="宋体"/>
                <w:kern w:val="0"/>
                <w:sz w:val="24"/>
                <w:lang w:bidi="ar"/>
              </w:rPr>
            </w:pPr>
            <w:r>
              <w:rPr>
                <w:rFonts w:hint="eastAsia" w:cs="宋体"/>
                <w:kern w:val="0"/>
                <w:sz w:val="24"/>
                <w:lang w:bidi="ar"/>
              </w:rPr>
              <w:t>6）危险废物内部转运应综合考虑厂区的实际情况确定转运路线，尽量避开办公区和生活区；应采用专用的工具，并填写厂内转运记录表；转运结束后，应对转运路线进行检查和清理，确保无危险废物遗失在转运路线上，并对转运工具进行清洗。</w:t>
            </w:r>
          </w:p>
          <w:p>
            <w:pPr>
              <w:widowControl/>
              <w:spacing w:line="360" w:lineRule="auto"/>
              <w:ind w:firstLine="482" w:firstLineChars="200"/>
              <w:rPr>
                <w:rFonts w:cs="宋体"/>
                <w:b/>
                <w:bCs/>
                <w:kern w:val="0"/>
                <w:sz w:val="24"/>
                <w:lang w:bidi="ar"/>
              </w:rPr>
            </w:pPr>
            <w:r>
              <w:rPr>
                <w:rFonts w:hint="eastAsia" w:cs="宋体"/>
                <w:b/>
                <w:bCs/>
                <w:kern w:val="0"/>
                <w:sz w:val="24"/>
                <w:lang w:bidi="ar"/>
              </w:rPr>
              <w:t xml:space="preserve">②危险废物暂存 </w:t>
            </w:r>
          </w:p>
          <w:p>
            <w:pPr>
              <w:widowControl/>
              <w:spacing w:line="360" w:lineRule="auto"/>
              <w:ind w:firstLine="480" w:firstLineChars="200"/>
              <w:rPr>
                <w:rFonts w:cs="宋体"/>
                <w:kern w:val="0"/>
                <w:sz w:val="24"/>
                <w:lang w:bidi="ar"/>
              </w:rPr>
            </w:pPr>
            <w:r>
              <w:rPr>
                <w:rFonts w:hint="eastAsia" w:cs="宋体"/>
                <w:kern w:val="0"/>
                <w:sz w:val="24"/>
                <w:lang w:bidi="ar"/>
              </w:rPr>
              <w:t>1）厂区内所有危险危废收集后应暂存于危废暂存间内。</w:t>
            </w:r>
          </w:p>
          <w:p>
            <w:pPr>
              <w:widowControl/>
              <w:spacing w:line="360" w:lineRule="auto"/>
              <w:ind w:firstLine="480" w:firstLineChars="200"/>
              <w:rPr>
                <w:rFonts w:cs="宋体"/>
                <w:kern w:val="0"/>
                <w:sz w:val="24"/>
                <w:lang w:bidi="ar"/>
              </w:rPr>
            </w:pPr>
            <w:r>
              <w:rPr>
                <w:rFonts w:hint="eastAsia" w:cs="宋体"/>
                <w:kern w:val="0"/>
                <w:sz w:val="24"/>
                <w:lang w:bidi="ar"/>
              </w:rPr>
              <w:t>2）装载液态、半固态危险废物的容器内必须留足足够空间，容器顶部与液体表明之间留足100mm以上的空间。</w:t>
            </w:r>
          </w:p>
          <w:p>
            <w:pPr>
              <w:widowControl/>
              <w:spacing w:line="360" w:lineRule="auto"/>
              <w:ind w:firstLine="480" w:firstLineChars="200"/>
              <w:rPr>
                <w:rFonts w:cs="宋体"/>
                <w:kern w:val="0"/>
                <w:sz w:val="24"/>
                <w:lang w:bidi="ar"/>
              </w:rPr>
            </w:pPr>
            <w:r>
              <w:rPr>
                <w:rFonts w:hint="eastAsia" w:cs="宋体"/>
                <w:kern w:val="0"/>
                <w:sz w:val="24"/>
                <w:lang w:bidi="ar"/>
              </w:rPr>
              <w:t>3）贮存危险废物时应按危险废物的种类和特性进行分区贮存，每个贮存区域之间宜设置挡墙间隔，危险废物应储存在危废存放设施内，并按《危险废物识别标志设置技术规范》（HJ 1276-2022）设置警示标志。性质不相容危废不能混放，应单独分区存放。</w:t>
            </w:r>
          </w:p>
          <w:p>
            <w:pPr>
              <w:widowControl/>
              <w:spacing w:line="360" w:lineRule="auto"/>
              <w:ind w:firstLine="480" w:firstLineChars="200"/>
              <w:rPr>
                <w:rFonts w:cs="宋体"/>
                <w:kern w:val="0"/>
                <w:sz w:val="24"/>
                <w:lang w:bidi="ar"/>
              </w:rPr>
            </w:pPr>
            <w:r>
              <w:rPr>
                <w:rFonts w:hint="eastAsia" w:cs="宋体"/>
                <w:kern w:val="0"/>
                <w:sz w:val="24"/>
                <w:lang w:bidi="ar"/>
              </w:rPr>
              <w:t>4）危险废物贮存设施内应设置照明设置和观察口。</w:t>
            </w:r>
          </w:p>
          <w:p>
            <w:pPr>
              <w:widowControl/>
              <w:spacing w:line="360" w:lineRule="auto"/>
              <w:ind w:firstLine="480" w:firstLineChars="200"/>
              <w:rPr>
                <w:rFonts w:cs="宋体"/>
                <w:kern w:val="0"/>
                <w:sz w:val="24"/>
                <w:lang w:bidi="ar"/>
              </w:rPr>
            </w:pPr>
            <w:r>
              <w:rPr>
                <w:rFonts w:hint="eastAsia" w:cs="宋体"/>
                <w:kern w:val="0"/>
                <w:sz w:val="24"/>
                <w:lang w:bidi="ar"/>
              </w:rPr>
              <w:t>5）危险废物存放间做好防雨、防风、防晒措施。地面不得有裂纹，对危废暂存间地面进行重点防渗，防渗性能等效于粘土防渗层Mb</w:t>
            </w:r>
            <w:r>
              <w:rPr>
                <w:kern w:val="0"/>
                <w:sz w:val="24"/>
                <w:lang w:bidi="ar"/>
              </w:rPr>
              <w:t>≥</w:t>
            </w:r>
            <w:r>
              <w:rPr>
                <w:rFonts w:hint="eastAsia" w:cs="宋体"/>
                <w:kern w:val="0"/>
                <w:sz w:val="24"/>
                <w:lang w:bidi="ar"/>
              </w:rPr>
              <w:t>6.0m</w:t>
            </w:r>
            <w:r>
              <w:rPr>
                <w:kern w:val="0"/>
                <w:sz w:val="24"/>
                <w:lang w:bidi="ar"/>
              </w:rPr>
              <w:t>，K≤1×10</w:t>
            </w:r>
            <w:r>
              <w:rPr>
                <w:kern w:val="0"/>
                <w:sz w:val="24"/>
                <w:vertAlign w:val="superscript"/>
                <w:lang w:bidi="ar"/>
              </w:rPr>
              <w:t>-7</w:t>
            </w:r>
            <w:r>
              <w:rPr>
                <w:kern w:val="0"/>
                <w:sz w:val="24"/>
                <w:lang w:bidi="ar"/>
              </w:rPr>
              <w:t>cm/s</w:t>
            </w:r>
            <w:r>
              <w:rPr>
                <w:rFonts w:hint="eastAsia" w:cs="宋体"/>
                <w:kern w:val="0"/>
                <w:sz w:val="24"/>
                <w:lang w:bidi="ar"/>
              </w:rPr>
              <w:t>，达到危废存放防渗要求。</w:t>
            </w:r>
          </w:p>
          <w:p>
            <w:pPr>
              <w:widowControl/>
              <w:spacing w:line="360" w:lineRule="auto"/>
              <w:ind w:firstLine="480" w:firstLineChars="200"/>
              <w:rPr>
                <w:rFonts w:cs="宋体"/>
                <w:kern w:val="0"/>
                <w:sz w:val="24"/>
                <w:lang w:bidi="ar"/>
              </w:rPr>
            </w:pPr>
            <w:r>
              <w:rPr>
                <w:rFonts w:hint="eastAsia" w:cs="宋体"/>
                <w:kern w:val="0"/>
                <w:sz w:val="24"/>
                <w:lang w:bidi="ar"/>
              </w:rPr>
              <w:t>6）必须有泄漏液体收集装置，环评要求危险暂存间设置围堰，并配备备用容器及工具，并设有应急备用收集容器等防护设施；</w:t>
            </w:r>
          </w:p>
          <w:p>
            <w:pPr>
              <w:widowControl/>
              <w:spacing w:line="360" w:lineRule="auto"/>
              <w:ind w:firstLine="480" w:firstLineChars="200"/>
              <w:rPr>
                <w:rFonts w:cs="宋体"/>
                <w:kern w:val="0"/>
                <w:sz w:val="24"/>
                <w:lang w:bidi="ar"/>
              </w:rPr>
            </w:pPr>
            <w:r>
              <w:rPr>
                <w:rFonts w:hint="eastAsia" w:cs="宋体"/>
                <w:kern w:val="0"/>
                <w:sz w:val="24"/>
                <w:lang w:bidi="ar"/>
              </w:rPr>
              <w:t xml:space="preserve">7）危险暂存间应采取防风、防雨、防晒、防渗漏措施。 </w:t>
            </w:r>
          </w:p>
          <w:p>
            <w:pPr>
              <w:widowControl/>
              <w:spacing w:line="360" w:lineRule="auto"/>
              <w:ind w:firstLine="480" w:firstLineChars="200"/>
              <w:rPr>
                <w:rFonts w:cs="宋体"/>
                <w:kern w:val="0"/>
                <w:sz w:val="24"/>
                <w:lang w:bidi="ar"/>
              </w:rPr>
            </w:pPr>
            <w:r>
              <w:rPr>
                <w:rFonts w:hint="eastAsia" w:cs="宋体"/>
                <w:kern w:val="0"/>
                <w:sz w:val="24"/>
                <w:lang w:bidi="ar"/>
              </w:rPr>
              <w:t>8）应建立危险废物贮存的台帐制度，做好危险废物出入库交接记录。</w:t>
            </w:r>
          </w:p>
          <w:p>
            <w:pPr>
              <w:widowControl/>
              <w:spacing w:line="360" w:lineRule="auto"/>
              <w:ind w:firstLine="480" w:firstLineChars="200"/>
              <w:rPr>
                <w:rFonts w:cs="宋体"/>
                <w:kern w:val="0"/>
                <w:sz w:val="24"/>
                <w:lang w:bidi="ar"/>
              </w:rPr>
            </w:pPr>
            <w:r>
              <w:rPr>
                <w:rFonts w:hint="eastAsia" w:cs="宋体"/>
                <w:kern w:val="0"/>
                <w:sz w:val="24"/>
                <w:lang w:bidi="ar"/>
              </w:rPr>
              <w:t>9）危险废物贮存设施应根据贮存的废物种类和特性设置标志。</w:t>
            </w:r>
          </w:p>
          <w:p>
            <w:pPr>
              <w:widowControl/>
              <w:spacing w:line="360" w:lineRule="auto"/>
              <w:ind w:firstLine="480" w:firstLineChars="200"/>
              <w:rPr>
                <w:rFonts w:cs="宋体"/>
                <w:kern w:val="0"/>
                <w:sz w:val="24"/>
                <w:lang w:bidi="ar"/>
              </w:rPr>
            </w:pPr>
            <w:r>
              <w:rPr>
                <w:rFonts w:hint="eastAsia" w:cs="宋体"/>
                <w:kern w:val="0"/>
                <w:sz w:val="24"/>
                <w:lang w:bidi="ar"/>
              </w:rPr>
              <w:t>10）危险废物贮存期限应符合《中华人民共和国固体废物污染环境防治法》的有关规定。</w:t>
            </w:r>
          </w:p>
          <w:p>
            <w:pPr>
              <w:widowControl/>
              <w:spacing w:line="360" w:lineRule="auto"/>
              <w:ind w:firstLine="480" w:firstLineChars="200"/>
              <w:rPr>
                <w:rFonts w:cs="宋体"/>
                <w:kern w:val="0"/>
                <w:sz w:val="24"/>
                <w:lang w:bidi="ar"/>
              </w:rPr>
            </w:pPr>
            <w:r>
              <w:rPr>
                <w:rFonts w:hint="eastAsia" w:cs="宋体"/>
                <w:kern w:val="0"/>
                <w:sz w:val="24"/>
                <w:lang w:bidi="ar"/>
              </w:rPr>
              <w:t>11）定期对危废包装容器及暂存设施进行检查，发现破损、应及时采取措施清理更换。</w:t>
            </w:r>
          </w:p>
          <w:p>
            <w:pPr>
              <w:widowControl/>
              <w:spacing w:line="360" w:lineRule="auto"/>
              <w:ind w:firstLine="480" w:firstLineChars="200"/>
              <w:rPr>
                <w:rFonts w:cs="宋体"/>
                <w:kern w:val="0"/>
                <w:sz w:val="24"/>
                <w:lang w:bidi="ar"/>
              </w:rPr>
            </w:pPr>
            <w:r>
              <w:rPr>
                <w:rFonts w:hint="eastAsia" w:cs="宋体"/>
                <w:kern w:val="0"/>
                <w:sz w:val="24"/>
                <w:lang w:bidi="ar"/>
              </w:rPr>
              <w:t>本项目危险废物贮存场所（设施）基本情况见下表：</w:t>
            </w:r>
          </w:p>
          <w:p>
            <w:pPr>
              <w:widowControl/>
              <w:jc w:val="center"/>
              <w:rPr>
                <w:rFonts w:cs="黑体"/>
                <w:b/>
                <w:szCs w:val="21"/>
              </w:rPr>
            </w:pPr>
            <w:r>
              <w:rPr>
                <w:rFonts w:hint="eastAsia" w:cs="黑体"/>
                <w:b/>
                <w:color w:val="000000"/>
                <w:kern w:val="0"/>
                <w:szCs w:val="21"/>
                <w:lang w:bidi="ar"/>
              </w:rPr>
              <w:t>表4-</w:t>
            </w:r>
            <w:r>
              <w:rPr>
                <w:rFonts w:cs="黑体"/>
                <w:b/>
                <w:color w:val="000000"/>
                <w:kern w:val="0"/>
                <w:szCs w:val="21"/>
                <w:lang w:bidi="ar"/>
              </w:rPr>
              <w:t>14</w:t>
            </w:r>
            <w:r>
              <w:rPr>
                <w:rFonts w:hint="eastAsia" w:cs="黑体"/>
                <w:b/>
                <w:color w:val="000000"/>
                <w:kern w:val="0"/>
                <w:szCs w:val="21"/>
                <w:lang w:bidi="ar"/>
              </w:rPr>
              <w:t xml:space="preserve"> 建设项目危险废物贮存场所（设施）基本情况表</w:t>
            </w:r>
          </w:p>
          <w:tbl>
            <w:tblPr>
              <w:tblStyle w:val="14"/>
              <w:tblW w:w="854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9"/>
              <w:gridCol w:w="950"/>
              <w:gridCol w:w="949"/>
              <w:gridCol w:w="1147"/>
              <w:gridCol w:w="752"/>
              <w:gridCol w:w="950"/>
              <w:gridCol w:w="949"/>
              <w:gridCol w:w="950"/>
              <w:gridCol w:w="95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49" w:type="dxa"/>
                  <w:vAlign w:val="center"/>
                </w:tcPr>
                <w:p>
                  <w:pPr>
                    <w:jc w:val="center"/>
                    <w:rPr>
                      <w:b/>
                    </w:rPr>
                  </w:pPr>
                  <w:r>
                    <w:rPr>
                      <w:rFonts w:hint="eastAsia"/>
                      <w:b/>
                    </w:rPr>
                    <w:t>贮存场 所名称</w:t>
                  </w:r>
                </w:p>
              </w:tc>
              <w:tc>
                <w:tcPr>
                  <w:tcW w:w="950" w:type="dxa"/>
                  <w:vAlign w:val="center"/>
                </w:tcPr>
                <w:p>
                  <w:pPr>
                    <w:jc w:val="center"/>
                    <w:rPr>
                      <w:b/>
                    </w:rPr>
                  </w:pPr>
                  <w:r>
                    <w:rPr>
                      <w:rFonts w:hint="eastAsia"/>
                      <w:b/>
                    </w:rPr>
                    <w:t>危险废物名称</w:t>
                  </w:r>
                </w:p>
              </w:tc>
              <w:tc>
                <w:tcPr>
                  <w:tcW w:w="949" w:type="dxa"/>
                  <w:vAlign w:val="center"/>
                </w:tcPr>
                <w:p>
                  <w:pPr>
                    <w:jc w:val="center"/>
                    <w:rPr>
                      <w:b/>
                    </w:rPr>
                  </w:pPr>
                  <w:r>
                    <w:rPr>
                      <w:rFonts w:hint="eastAsia"/>
                      <w:b/>
                    </w:rPr>
                    <w:t>危险废物类别</w:t>
                  </w:r>
                </w:p>
              </w:tc>
              <w:tc>
                <w:tcPr>
                  <w:tcW w:w="1147" w:type="dxa"/>
                  <w:vAlign w:val="center"/>
                </w:tcPr>
                <w:p>
                  <w:pPr>
                    <w:jc w:val="center"/>
                    <w:rPr>
                      <w:b/>
                    </w:rPr>
                  </w:pPr>
                  <w:r>
                    <w:rPr>
                      <w:rFonts w:hint="eastAsia"/>
                      <w:b/>
                    </w:rPr>
                    <w:t>危废</w:t>
                  </w:r>
                </w:p>
                <w:p>
                  <w:pPr>
                    <w:jc w:val="center"/>
                    <w:rPr>
                      <w:b/>
                    </w:rPr>
                  </w:pPr>
                  <w:r>
                    <w:rPr>
                      <w:rFonts w:hint="eastAsia"/>
                      <w:b/>
                    </w:rPr>
                    <w:t>代码</w:t>
                  </w:r>
                </w:p>
              </w:tc>
              <w:tc>
                <w:tcPr>
                  <w:tcW w:w="752" w:type="dxa"/>
                  <w:vAlign w:val="center"/>
                </w:tcPr>
                <w:p>
                  <w:pPr>
                    <w:jc w:val="center"/>
                    <w:rPr>
                      <w:b/>
                    </w:rPr>
                  </w:pPr>
                  <w:r>
                    <w:rPr>
                      <w:rFonts w:hint="eastAsia"/>
                      <w:b/>
                    </w:rPr>
                    <w:t>位置</w:t>
                  </w:r>
                </w:p>
              </w:tc>
              <w:tc>
                <w:tcPr>
                  <w:tcW w:w="950" w:type="dxa"/>
                  <w:vAlign w:val="center"/>
                </w:tcPr>
                <w:p>
                  <w:pPr>
                    <w:jc w:val="center"/>
                    <w:rPr>
                      <w:b/>
                    </w:rPr>
                  </w:pPr>
                  <w:r>
                    <w:rPr>
                      <w:rFonts w:hint="eastAsia"/>
                      <w:b/>
                    </w:rPr>
                    <w:t>占地</w:t>
                  </w:r>
                </w:p>
                <w:p>
                  <w:pPr>
                    <w:jc w:val="center"/>
                    <w:rPr>
                      <w:b/>
                    </w:rPr>
                  </w:pPr>
                  <w:r>
                    <w:rPr>
                      <w:rFonts w:hint="eastAsia"/>
                      <w:b/>
                    </w:rPr>
                    <w:t>面积</w:t>
                  </w:r>
                </w:p>
              </w:tc>
              <w:tc>
                <w:tcPr>
                  <w:tcW w:w="949" w:type="dxa"/>
                  <w:vAlign w:val="center"/>
                </w:tcPr>
                <w:p>
                  <w:pPr>
                    <w:jc w:val="center"/>
                    <w:rPr>
                      <w:b/>
                    </w:rPr>
                  </w:pPr>
                  <w:r>
                    <w:rPr>
                      <w:rFonts w:hint="eastAsia"/>
                      <w:b/>
                    </w:rPr>
                    <w:t>贮存</w:t>
                  </w:r>
                </w:p>
                <w:p>
                  <w:pPr>
                    <w:jc w:val="center"/>
                    <w:rPr>
                      <w:b/>
                    </w:rPr>
                  </w:pPr>
                  <w:r>
                    <w:rPr>
                      <w:rFonts w:hint="eastAsia"/>
                      <w:b/>
                    </w:rPr>
                    <w:t>方式</w:t>
                  </w:r>
                </w:p>
              </w:tc>
              <w:tc>
                <w:tcPr>
                  <w:tcW w:w="950" w:type="dxa"/>
                  <w:vAlign w:val="center"/>
                </w:tcPr>
                <w:p>
                  <w:pPr>
                    <w:jc w:val="center"/>
                    <w:rPr>
                      <w:b/>
                    </w:rPr>
                  </w:pPr>
                  <w:r>
                    <w:rPr>
                      <w:rFonts w:hint="eastAsia"/>
                      <w:b/>
                    </w:rPr>
                    <w:t>贮存</w:t>
                  </w:r>
                </w:p>
                <w:p>
                  <w:pPr>
                    <w:jc w:val="center"/>
                    <w:rPr>
                      <w:b/>
                    </w:rPr>
                  </w:pPr>
                  <w:r>
                    <w:rPr>
                      <w:rFonts w:hint="eastAsia"/>
                      <w:b/>
                    </w:rPr>
                    <w:t>能力</w:t>
                  </w:r>
                </w:p>
              </w:tc>
              <w:tc>
                <w:tcPr>
                  <w:tcW w:w="950" w:type="dxa"/>
                  <w:vAlign w:val="center"/>
                </w:tcPr>
                <w:p>
                  <w:pPr>
                    <w:jc w:val="center"/>
                    <w:rPr>
                      <w:b/>
                    </w:rPr>
                  </w:pPr>
                  <w:r>
                    <w:rPr>
                      <w:rFonts w:hint="eastAsia"/>
                      <w:b/>
                    </w:rPr>
                    <w:t>贮存</w:t>
                  </w:r>
                </w:p>
                <w:p>
                  <w:pPr>
                    <w:jc w:val="center"/>
                    <w:rPr>
                      <w:b/>
                    </w:rPr>
                  </w:pPr>
                  <w:r>
                    <w:rPr>
                      <w:rFonts w:hint="eastAsia"/>
                      <w:b/>
                    </w:rPr>
                    <w:t>周期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49" w:type="dxa"/>
                  <w:vAlign w:val="center"/>
                </w:tcPr>
                <w:p>
                  <w:pPr>
                    <w:jc w:val="center"/>
                  </w:pPr>
                  <w:r>
                    <w:rPr>
                      <w:rFonts w:hint="eastAsia"/>
                    </w:rPr>
                    <w:t>危废暂存间</w:t>
                  </w:r>
                </w:p>
              </w:tc>
              <w:tc>
                <w:tcPr>
                  <w:tcW w:w="950" w:type="dxa"/>
                  <w:vAlign w:val="center"/>
                </w:tcPr>
                <w:p>
                  <w:pPr>
                    <w:jc w:val="center"/>
                  </w:pPr>
                  <w:r>
                    <w:rPr>
                      <w:rFonts w:hint="eastAsia"/>
                    </w:rPr>
                    <w:t>废机油</w:t>
                  </w:r>
                </w:p>
              </w:tc>
              <w:tc>
                <w:tcPr>
                  <w:tcW w:w="949" w:type="dxa"/>
                  <w:vAlign w:val="center"/>
                </w:tcPr>
                <w:p>
                  <w:pPr>
                    <w:widowControl/>
                    <w:jc w:val="center"/>
                  </w:pPr>
                  <w:r>
                    <w:rPr>
                      <w:kern w:val="0"/>
                      <w:sz w:val="18"/>
                      <w:szCs w:val="18"/>
                      <w:lang w:bidi="ar"/>
                    </w:rPr>
                    <w:t>HW08</w:t>
                  </w:r>
                </w:p>
              </w:tc>
              <w:tc>
                <w:tcPr>
                  <w:tcW w:w="1147" w:type="dxa"/>
                  <w:vAlign w:val="center"/>
                </w:tcPr>
                <w:p>
                  <w:pPr>
                    <w:widowControl/>
                    <w:jc w:val="center"/>
                  </w:pPr>
                  <w:r>
                    <w:rPr>
                      <w:rFonts w:hint="eastAsia"/>
                      <w:kern w:val="0"/>
                      <w:sz w:val="18"/>
                      <w:szCs w:val="18"/>
                      <w:lang w:bidi="ar"/>
                    </w:rPr>
                    <w:t>900-217-08</w:t>
                  </w:r>
                </w:p>
              </w:tc>
              <w:tc>
                <w:tcPr>
                  <w:tcW w:w="752" w:type="dxa"/>
                  <w:vAlign w:val="center"/>
                </w:tcPr>
                <w:p>
                  <w:pPr>
                    <w:jc w:val="center"/>
                  </w:pPr>
                  <w:r>
                    <w:rPr>
                      <w:rFonts w:hint="eastAsia"/>
                    </w:rPr>
                    <w:t>厂区</w:t>
                  </w:r>
                </w:p>
                <w:p>
                  <w:pPr>
                    <w:jc w:val="center"/>
                  </w:pPr>
                  <w:r>
                    <w:rPr>
                      <w:rFonts w:hint="eastAsia"/>
                    </w:rPr>
                    <w:t>东部</w:t>
                  </w:r>
                </w:p>
              </w:tc>
              <w:tc>
                <w:tcPr>
                  <w:tcW w:w="950" w:type="dxa"/>
                  <w:vAlign w:val="center"/>
                </w:tcPr>
                <w:p>
                  <w:pPr>
                    <w:jc w:val="center"/>
                    <w:rPr>
                      <w:vertAlign w:val="superscript"/>
                    </w:rPr>
                  </w:pPr>
                  <w:r>
                    <w:rPr>
                      <w:rFonts w:hint="eastAsia"/>
                    </w:rPr>
                    <w:t>10m</w:t>
                  </w:r>
                  <w:r>
                    <w:rPr>
                      <w:vertAlign w:val="superscript"/>
                    </w:rPr>
                    <w:t>2</w:t>
                  </w:r>
                </w:p>
              </w:tc>
              <w:tc>
                <w:tcPr>
                  <w:tcW w:w="949" w:type="dxa"/>
                  <w:vAlign w:val="center"/>
                </w:tcPr>
                <w:p>
                  <w:pPr>
                    <w:jc w:val="center"/>
                  </w:pPr>
                  <w:r>
                    <w:rPr>
                      <w:rFonts w:hint="eastAsia"/>
                    </w:rPr>
                    <w:t>桶装</w:t>
                  </w:r>
                </w:p>
              </w:tc>
              <w:tc>
                <w:tcPr>
                  <w:tcW w:w="950" w:type="dxa"/>
                  <w:vAlign w:val="center"/>
                </w:tcPr>
                <w:p>
                  <w:pPr>
                    <w:jc w:val="center"/>
                  </w:pPr>
                  <w:r>
                    <w:rPr>
                      <w:rFonts w:hint="eastAsia"/>
                    </w:rPr>
                    <w:t>1t/a</w:t>
                  </w:r>
                </w:p>
              </w:tc>
              <w:tc>
                <w:tcPr>
                  <w:tcW w:w="950" w:type="dxa"/>
                  <w:vAlign w:val="center"/>
                </w:tcPr>
                <w:p>
                  <w:pPr>
                    <w:jc w:val="center"/>
                  </w:pPr>
                  <w:r>
                    <w:rPr>
                      <w:rFonts w:hint="eastAsia"/>
                    </w:rPr>
                    <w:t>12个月</w:t>
                  </w:r>
                </w:p>
              </w:tc>
            </w:tr>
          </w:tbl>
          <w:p>
            <w:pPr>
              <w:widowControl/>
              <w:spacing w:line="360" w:lineRule="auto"/>
              <w:ind w:firstLine="482" w:firstLineChars="200"/>
              <w:rPr>
                <w:rFonts w:cs="宋体"/>
                <w:b/>
                <w:bCs/>
                <w:kern w:val="0"/>
                <w:sz w:val="24"/>
                <w:lang w:bidi="ar"/>
              </w:rPr>
            </w:pPr>
            <w:r>
              <w:rPr>
                <w:rFonts w:hint="eastAsia" w:cs="宋体"/>
                <w:b/>
                <w:bCs/>
                <w:kern w:val="0"/>
                <w:sz w:val="24"/>
                <w:lang w:bidi="ar"/>
              </w:rPr>
              <w:t xml:space="preserve">③危险废物管理及转移登记 </w:t>
            </w:r>
          </w:p>
          <w:p>
            <w:pPr>
              <w:widowControl/>
              <w:spacing w:line="360" w:lineRule="auto"/>
              <w:ind w:firstLine="480" w:firstLineChars="200"/>
              <w:rPr>
                <w:rFonts w:cs="宋体"/>
                <w:kern w:val="0"/>
                <w:sz w:val="24"/>
                <w:lang w:bidi="ar"/>
              </w:rPr>
            </w:pPr>
            <w:r>
              <w:rPr>
                <w:rFonts w:hint="eastAsia" w:cs="宋体"/>
                <w:kern w:val="0"/>
                <w:sz w:val="24"/>
                <w:lang w:bidi="ar"/>
              </w:rPr>
              <w:t xml:space="preserve">项目日常运营中，不得将不相容的废物混合并存放，必须定期对危险废物包装容器和贮存设施进行检查，发现破损，应及时采取措施清理更换，各类危险废物的贮存不得超过 1 年。危险废物转运时必须安全转移，防止撒漏，且由具处理资质的单位接手，并严格落实以下要求： </w:t>
            </w:r>
          </w:p>
          <w:p>
            <w:pPr>
              <w:widowControl/>
              <w:spacing w:line="360" w:lineRule="auto"/>
              <w:ind w:firstLine="480" w:firstLineChars="200"/>
              <w:rPr>
                <w:rFonts w:cs="宋体"/>
                <w:kern w:val="0"/>
                <w:sz w:val="24"/>
                <w:lang w:bidi="ar"/>
              </w:rPr>
            </w:pPr>
            <w:r>
              <w:rPr>
                <w:rFonts w:hint="eastAsia" w:cs="宋体"/>
                <w:kern w:val="0"/>
                <w:sz w:val="24"/>
                <w:lang w:bidi="ar"/>
              </w:rPr>
              <w:t>1）编制危险废物管理计划，管理计划应包括减少危废产生量和危害性的措施，危废贮存、处置措施的相关内容。管理计划应按要求上报环保主管部门备案；</w:t>
            </w:r>
          </w:p>
          <w:p>
            <w:pPr>
              <w:widowControl/>
              <w:spacing w:line="360" w:lineRule="auto"/>
              <w:ind w:firstLine="480" w:firstLineChars="200"/>
              <w:rPr>
                <w:rFonts w:cs="宋体"/>
                <w:kern w:val="0"/>
                <w:sz w:val="24"/>
                <w:lang w:bidi="ar"/>
              </w:rPr>
            </w:pPr>
            <w:r>
              <w:rPr>
                <w:rFonts w:hint="eastAsia" w:cs="宋体"/>
                <w:kern w:val="0"/>
                <w:sz w:val="24"/>
                <w:lang w:bidi="ar"/>
              </w:rPr>
              <w:t>2）严格按照《危险废物转移联单管理办法》的相关规定，在转移危险废物前，向环保部门报批危险废物转移计划，经批准后，按要求如实填写转移联单，并存档备查；</w:t>
            </w:r>
          </w:p>
          <w:p>
            <w:pPr>
              <w:widowControl/>
              <w:spacing w:line="360" w:lineRule="auto"/>
              <w:ind w:firstLine="480" w:firstLineChars="200"/>
              <w:rPr>
                <w:rFonts w:cs="宋体"/>
                <w:kern w:val="0"/>
                <w:sz w:val="24"/>
                <w:lang w:bidi="ar"/>
              </w:rPr>
            </w:pPr>
            <w:r>
              <w:rPr>
                <w:rFonts w:hint="eastAsia" w:cs="宋体"/>
                <w:kern w:val="0"/>
                <w:sz w:val="24"/>
                <w:lang w:bidi="ar"/>
              </w:rPr>
              <w:t>3）危险废物运输由持有危险废物经营许可证的单位按照其许可证的经营范围组织实施，承担危险废物运输的单位应获得交通运输部门颁发的危险货物运输资质。</w:t>
            </w:r>
          </w:p>
          <w:p>
            <w:pPr>
              <w:widowControl/>
              <w:spacing w:line="360" w:lineRule="auto"/>
              <w:ind w:firstLine="480" w:firstLineChars="200"/>
              <w:rPr>
                <w:rFonts w:cs="宋体"/>
                <w:kern w:val="0"/>
                <w:sz w:val="24"/>
                <w:lang w:bidi="ar"/>
              </w:rPr>
            </w:pPr>
            <w:r>
              <w:rPr>
                <w:rFonts w:hint="eastAsia" w:cs="宋体"/>
                <w:kern w:val="0"/>
                <w:sz w:val="24"/>
                <w:lang w:bidi="ar"/>
              </w:rPr>
              <w:t>4）危险废物的运输应采取危险废物转移“五联单”制度，保证运输安全，防止非法转移和非法处置，保证危险废物的安全监控，防止危险废物污染事故发生。“五联单”中第一联由危废产生者保管；第二联由危废产生者交移出地环保部门；第三联由废物运输保存；第四联由处置工作人员保存；第五联由处置场工作人员交到接收地环保部门；</w:t>
            </w:r>
          </w:p>
          <w:p>
            <w:pPr>
              <w:widowControl/>
              <w:spacing w:line="360" w:lineRule="auto"/>
              <w:ind w:firstLine="480" w:firstLineChars="200"/>
              <w:rPr>
                <w:rFonts w:cs="宋体"/>
                <w:kern w:val="0"/>
                <w:sz w:val="24"/>
                <w:lang w:bidi="ar"/>
              </w:rPr>
            </w:pPr>
            <w:r>
              <w:rPr>
                <w:rFonts w:hint="eastAsia" w:cs="宋体"/>
                <w:kern w:val="0"/>
                <w:sz w:val="24"/>
                <w:lang w:bidi="ar"/>
              </w:rPr>
              <w:t>5）建立危险废物产生记录台账，定期核查自行贮存和处置的危险废物记录及相关证明材料，妥善保存规定期限内对危废转移联单及危废处置协议等相关资料。</w:t>
            </w:r>
          </w:p>
          <w:p>
            <w:pPr>
              <w:widowControl/>
              <w:spacing w:line="360" w:lineRule="auto"/>
              <w:ind w:firstLine="480" w:firstLineChars="200"/>
              <w:rPr>
                <w:sz w:val="24"/>
              </w:rPr>
            </w:pPr>
            <w:r>
              <w:rPr>
                <w:rFonts w:hint="eastAsia" w:cs="宋体"/>
                <w:kern w:val="0"/>
                <w:sz w:val="24"/>
                <w:lang w:bidi="ar"/>
              </w:rPr>
              <w:t>综上所述，本项目产生的固废均得到合理处置，去向明确，不会造成二次污染，对周围环境造成影响可接受。</w:t>
            </w:r>
          </w:p>
          <w:p>
            <w:pPr>
              <w:pStyle w:val="38"/>
              <w:ind w:firstLine="482"/>
              <w:rPr>
                <w:b/>
                <w:color w:val="000000"/>
              </w:rPr>
            </w:pPr>
            <w:r>
              <w:rPr>
                <w:rFonts w:hint="eastAsia"/>
                <w:b/>
                <w:color w:val="000000"/>
              </w:rPr>
              <w:t>5、地下水环境</w:t>
            </w:r>
          </w:p>
          <w:p>
            <w:pPr>
              <w:spacing w:line="360" w:lineRule="auto"/>
              <w:ind w:firstLine="480"/>
              <w:rPr>
                <w:b/>
                <w:szCs w:val="21"/>
              </w:rPr>
            </w:pPr>
            <w:r>
              <w:rPr>
                <w:rFonts w:hint="eastAsia"/>
                <w:sz w:val="24"/>
              </w:rPr>
              <w:t>根据《环境影响评价技术导则</w:t>
            </w:r>
            <w:r>
              <w:rPr>
                <w:sz w:val="24"/>
              </w:rPr>
              <w:t xml:space="preserve"> </w:t>
            </w:r>
            <w:r>
              <w:rPr>
                <w:rFonts w:hint="eastAsia"/>
                <w:sz w:val="24"/>
              </w:rPr>
              <w:t>地下水环境》（</w:t>
            </w:r>
            <w:r>
              <w:rPr>
                <w:sz w:val="24"/>
              </w:rPr>
              <w:t>HJ610-2016</w:t>
            </w:r>
            <w:r>
              <w:rPr>
                <w:rFonts w:hint="eastAsia"/>
                <w:sz w:val="24"/>
              </w:rPr>
              <w:t>）附录</w:t>
            </w:r>
            <w:r>
              <w:rPr>
                <w:sz w:val="24"/>
              </w:rPr>
              <w:t>A</w:t>
            </w:r>
            <w:r>
              <w:rPr>
                <w:rFonts w:hint="eastAsia"/>
                <w:sz w:val="24"/>
              </w:rPr>
              <w:t>，建设项目地下水环境影响评价类别分为四类。</w:t>
            </w:r>
          </w:p>
          <w:p>
            <w:pPr>
              <w:jc w:val="center"/>
              <w:rPr>
                <w:b/>
                <w:szCs w:val="21"/>
              </w:rPr>
            </w:pPr>
            <w:r>
              <w:rPr>
                <w:rFonts w:hint="eastAsia"/>
                <w:b/>
                <w:szCs w:val="21"/>
              </w:rPr>
              <w:t>表</w:t>
            </w:r>
            <w:r>
              <w:rPr>
                <w:b/>
                <w:szCs w:val="21"/>
              </w:rPr>
              <w:t>4-14</w:t>
            </w:r>
            <w:r>
              <w:rPr>
                <w:rFonts w:hint="eastAsia"/>
                <w:b/>
                <w:szCs w:val="21"/>
              </w:rPr>
              <w:t xml:space="preserve"> 建设项目地下水环境影响评价分类</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1985"/>
              <w:gridCol w:w="1343"/>
              <w:gridCol w:w="1632"/>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2" w:type="dxa"/>
                  <w:vMerge w:val="restart"/>
                  <w:tcBorders>
                    <w:top w:val="single" w:color="auto" w:sz="12" w:space="0"/>
                    <w:left w:val="nil"/>
                    <w:tl2br w:val="single" w:color="auto" w:sz="4" w:space="0"/>
                  </w:tcBorders>
                  <w:vAlign w:val="center"/>
                </w:tcPr>
                <w:p>
                  <w:pPr>
                    <w:jc w:val="center"/>
                    <w:rPr>
                      <w:b/>
                      <w:szCs w:val="21"/>
                    </w:rPr>
                  </w:pPr>
                  <w:r>
                    <w:rPr>
                      <w:rFonts w:hint="eastAsia"/>
                      <w:b/>
                      <w:szCs w:val="21"/>
                    </w:rPr>
                    <w:t xml:space="preserve">       环评类别</w:t>
                  </w:r>
                </w:p>
                <w:p>
                  <w:pPr>
                    <w:rPr>
                      <w:b/>
                      <w:szCs w:val="21"/>
                    </w:rPr>
                  </w:pPr>
                  <w:r>
                    <w:rPr>
                      <w:rFonts w:hint="eastAsia"/>
                      <w:b/>
                      <w:szCs w:val="21"/>
                    </w:rPr>
                    <w:t>行业类别</w:t>
                  </w:r>
                </w:p>
              </w:tc>
              <w:tc>
                <w:tcPr>
                  <w:tcW w:w="1985" w:type="dxa"/>
                  <w:vMerge w:val="restart"/>
                  <w:tcBorders>
                    <w:top w:val="single" w:color="auto" w:sz="12" w:space="0"/>
                  </w:tcBorders>
                  <w:vAlign w:val="center"/>
                </w:tcPr>
                <w:p>
                  <w:pPr>
                    <w:jc w:val="center"/>
                    <w:rPr>
                      <w:b/>
                      <w:szCs w:val="21"/>
                    </w:rPr>
                  </w:pPr>
                  <w:r>
                    <w:rPr>
                      <w:rFonts w:hint="eastAsia"/>
                      <w:b/>
                      <w:szCs w:val="21"/>
                    </w:rPr>
                    <w:t>报告书</w:t>
                  </w:r>
                </w:p>
              </w:tc>
              <w:tc>
                <w:tcPr>
                  <w:tcW w:w="1343" w:type="dxa"/>
                  <w:vMerge w:val="restart"/>
                  <w:tcBorders>
                    <w:top w:val="single" w:color="auto" w:sz="12" w:space="0"/>
                  </w:tcBorders>
                  <w:vAlign w:val="center"/>
                </w:tcPr>
                <w:p>
                  <w:pPr>
                    <w:jc w:val="center"/>
                    <w:rPr>
                      <w:b/>
                      <w:szCs w:val="21"/>
                    </w:rPr>
                  </w:pPr>
                  <w:r>
                    <w:rPr>
                      <w:rFonts w:hint="eastAsia"/>
                      <w:b/>
                      <w:szCs w:val="21"/>
                    </w:rPr>
                    <w:t>报告表</w:t>
                  </w:r>
                </w:p>
              </w:tc>
              <w:tc>
                <w:tcPr>
                  <w:tcW w:w="3243" w:type="dxa"/>
                  <w:gridSpan w:val="2"/>
                  <w:tcBorders>
                    <w:top w:val="single" w:color="auto" w:sz="12" w:space="0"/>
                    <w:right w:val="nil"/>
                  </w:tcBorders>
                  <w:vAlign w:val="center"/>
                </w:tcPr>
                <w:p>
                  <w:pPr>
                    <w:jc w:val="center"/>
                    <w:rPr>
                      <w:b/>
                      <w:szCs w:val="21"/>
                    </w:rPr>
                  </w:pPr>
                  <w:r>
                    <w:rPr>
                      <w:rFonts w:hint="eastAsia"/>
                      <w:b/>
                      <w:szCs w:val="21"/>
                    </w:rPr>
                    <w:t>地下水环境影响评价项目类别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2" w:type="dxa"/>
                  <w:vMerge w:val="continue"/>
                  <w:tcBorders>
                    <w:left w:val="nil"/>
                    <w:tl2br w:val="single" w:color="auto" w:sz="4" w:space="0"/>
                  </w:tcBorders>
                  <w:vAlign w:val="center"/>
                </w:tcPr>
                <w:p>
                  <w:pPr>
                    <w:jc w:val="center"/>
                    <w:rPr>
                      <w:b/>
                      <w:szCs w:val="21"/>
                    </w:rPr>
                  </w:pPr>
                </w:p>
              </w:tc>
              <w:tc>
                <w:tcPr>
                  <w:tcW w:w="1985" w:type="dxa"/>
                  <w:vMerge w:val="continue"/>
                  <w:vAlign w:val="center"/>
                </w:tcPr>
                <w:p>
                  <w:pPr>
                    <w:jc w:val="center"/>
                    <w:rPr>
                      <w:b/>
                      <w:szCs w:val="21"/>
                    </w:rPr>
                  </w:pPr>
                </w:p>
              </w:tc>
              <w:tc>
                <w:tcPr>
                  <w:tcW w:w="1343" w:type="dxa"/>
                  <w:vMerge w:val="continue"/>
                  <w:vAlign w:val="center"/>
                </w:tcPr>
                <w:p>
                  <w:pPr>
                    <w:jc w:val="center"/>
                    <w:rPr>
                      <w:b/>
                      <w:szCs w:val="21"/>
                    </w:rPr>
                  </w:pPr>
                </w:p>
              </w:tc>
              <w:tc>
                <w:tcPr>
                  <w:tcW w:w="1632" w:type="dxa"/>
                  <w:vAlign w:val="center"/>
                </w:tcPr>
                <w:p>
                  <w:pPr>
                    <w:jc w:val="center"/>
                    <w:rPr>
                      <w:b/>
                      <w:szCs w:val="21"/>
                    </w:rPr>
                  </w:pPr>
                  <w:r>
                    <w:rPr>
                      <w:rFonts w:hint="eastAsia"/>
                      <w:b/>
                      <w:szCs w:val="21"/>
                    </w:rPr>
                    <w:t>报告书</w:t>
                  </w:r>
                </w:p>
              </w:tc>
              <w:tc>
                <w:tcPr>
                  <w:tcW w:w="1611" w:type="dxa"/>
                  <w:tcBorders>
                    <w:right w:val="nil"/>
                  </w:tcBorders>
                  <w:vAlign w:val="center"/>
                </w:tcPr>
                <w:p>
                  <w:pPr>
                    <w:jc w:val="center"/>
                    <w:rPr>
                      <w:b/>
                      <w:szCs w:val="21"/>
                    </w:rPr>
                  </w:pPr>
                  <w:r>
                    <w:rPr>
                      <w:rFonts w:hint="eastAsia"/>
                      <w:b/>
                      <w:szCs w:val="21"/>
                    </w:rPr>
                    <w:t>报告表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3" w:type="dxa"/>
                  <w:gridSpan w:val="5"/>
                  <w:tcBorders>
                    <w:left w:val="nil"/>
                    <w:right w:val="nil"/>
                  </w:tcBorders>
                  <w:vAlign w:val="center"/>
                </w:tcPr>
                <w:p>
                  <w:pPr>
                    <w:jc w:val="left"/>
                    <w:rPr>
                      <w:szCs w:val="21"/>
                    </w:rPr>
                  </w:pPr>
                  <w:r>
                    <w:rPr>
                      <w:rFonts w:hint="eastAsia"/>
                      <w:szCs w:val="21"/>
                    </w:rPr>
                    <w:t>J</w:t>
                  </w:r>
                  <w:r>
                    <w:rPr>
                      <w:szCs w:val="21"/>
                    </w:rPr>
                    <w:t xml:space="preserve"> </w:t>
                  </w:r>
                  <w:r>
                    <w:rPr>
                      <w:rFonts w:hint="eastAsia"/>
                      <w:szCs w:val="21"/>
                    </w:rPr>
                    <w:t>非金属矿采选及制品制造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2" w:type="dxa"/>
                  <w:tcBorders>
                    <w:left w:val="nil"/>
                  </w:tcBorders>
                  <w:vAlign w:val="center"/>
                </w:tcPr>
                <w:p>
                  <w:pPr>
                    <w:jc w:val="left"/>
                    <w:rPr>
                      <w:szCs w:val="21"/>
                    </w:rPr>
                  </w:pPr>
                  <w:r>
                    <w:rPr>
                      <w:szCs w:val="21"/>
                    </w:rPr>
                    <w:t>69</w:t>
                  </w:r>
                  <w:r>
                    <w:rPr>
                      <w:rFonts w:hint="eastAsia"/>
                      <w:szCs w:val="21"/>
                    </w:rPr>
                    <w:t>、石墨及其他非金属矿物制品</w:t>
                  </w:r>
                </w:p>
              </w:tc>
              <w:tc>
                <w:tcPr>
                  <w:tcW w:w="1985" w:type="dxa"/>
                  <w:vAlign w:val="center"/>
                </w:tcPr>
                <w:p>
                  <w:pPr>
                    <w:jc w:val="center"/>
                    <w:rPr>
                      <w:szCs w:val="21"/>
                    </w:rPr>
                  </w:pPr>
                  <w:r>
                    <w:rPr>
                      <w:rFonts w:hint="eastAsia"/>
                      <w:szCs w:val="21"/>
                    </w:rPr>
                    <w:t>石墨、碳素</w:t>
                  </w:r>
                </w:p>
              </w:tc>
              <w:tc>
                <w:tcPr>
                  <w:tcW w:w="1343" w:type="dxa"/>
                  <w:vAlign w:val="center"/>
                </w:tcPr>
                <w:p>
                  <w:pPr>
                    <w:jc w:val="center"/>
                    <w:rPr>
                      <w:szCs w:val="21"/>
                    </w:rPr>
                  </w:pPr>
                  <w:r>
                    <w:rPr>
                      <w:rFonts w:hint="eastAsia"/>
                      <w:szCs w:val="21"/>
                    </w:rPr>
                    <w:t>其他</w:t>
                  </w:r>
                </w:p>
              </w:tc>
              <w:tc>
                <w:tcPr>
                  <w:tcW w:w="1632" w:type="dxa"/>
                  <w:vAlign w:val="center"/>
                </w:tcPr>
                <w:p>
                  <w:pPr>
                    <w:jc w:val="center"/>
                    <w:rPr>
                      <w:szCs w:val="21"/>
                    </w:rPr>
                  </w:pPr>
                  <w:r>
                    <w:rPr>
                      <w:szCs w:val="21"/>
                    </w:rPr>
                    <w:t>Ⅲ</w:t>
                  </w:r>
                  <w:r>
                    <w:rPr>
                      <w:rFonts w:hint="eastAsia"/>
                      <w:szCs w:val="21"/>
                    </w:rPr>
                    <w:t>类</w:t>
                  </w:r>
                </w:p>
              </w:tc>
              <w:tc>
                <w:tcPr>
                  <w:tcW w:w="1611" w:type="dxa"/>
                  <w:tcBorders>
                    <w:right w:val="nil"/>
                  </w:tcBorders>
                  <w:shd w:val="clear" w:color="auto" w:fill="A6A6A6"/>
                  <w:vAlign w:val="center"/>
                </w:tcPr>
                <w:p>
                  <w:pPr>
                    <w:jc w:val="center"/>
                    <w:rPr>
                      <w:szCs w:val="21"/>
                    </w:rPr>
                  </w:pPr>
                  <w:r>
                    <w:rPr>
                      <w:szCs w:val="21"/>
                    </w:rPr>
                    <w:t>Ⅳ</w:t>
                  </w:r>
                  <w:r>
                    <w:rPr>
                      <w:rFonts w:hint="eastAsia"/>
                      <w:szCs w:val="21"/>
                    </w:rPr>
                    <w:t>类</w:t>
                  </w:r>
                </w:p>
              </w:tc>
            </w:tr>
          </w:tbl>
          <w:p>
            <w:pPr>
              <w:spacing w:before="120" w:beforeLines="50" w:line="360" w:lineRule="auto"/>
              <w:ind w:firstLine="482"/>
              <w:rPr>
                <w:sz w:val="24"/>
              </w:rPr>
            </w:pPr>
            <w:r>
              <w:rPr>
                <w:rFonts w:hint="eastAsia"/>
                <w:sz w:val="24"/>
              </w:rPr>
              <w:t>根据上表，本项目属于地下水环境影响评价</w:t>
            </w:r>
            <w:r>
              <w:rPr>
                <w:sz w:val="24"/>
              </w:rPr>
              <w:t>Ⅳ</w:t>
            </w:r>
            <w:r>
              <w:rPr>
                <w:rFonts w:hint="eastAsia"/>
                <w:sz w:val="24"/>
              </w:rPr>
              <w:t>类项目，无需开展地下水环境影响评价，本次只进行一般性分析。</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本项目为砂石加工生产线项目，不包括砂石的开采，主要利用</w:t>
            </w:r>
            <w:r>
              <w:rPr>
                <w:rFonts w:hint="eastAsia" w:cs="宋体"/>
                <w:bCs/>
                <w:sz w:val="24"/>
              </w:rPr>
              <w:t>“乐山市沙湾区铜河资源绿色建材加工厂项目</w:t>
            </w:r>
            <w:r>
              <w:rPr>
                <w:rFonts w:cs="宋体"/>
                <w:bCs/>
                <w:sz w:val="24"/>
              </w:rPr>
              <w:t>-</w:t>
            </w:r>
            <w:r>
              <w:rPr>
                <w:rFonts w:hint="eastAsia" w:cs="宋体"/>
                <w:bCs/>
                <w:sz w:val="24"/>
              </w:rPr>
              <w:t>土石方工程”原弃方堆放地可利用废弃物进行</w:t>
            </w:r>
            <w:r>
              <w:rPr>
                <w:rFonts w:hint="eastAsia" w:ascii="宋体" w:hAnsi="宋体" w:cs="宋体"/>
                <w:bCs/>
                <w:sz w:val="24"/>
              </w:rPr>
              <w:t>砂石加工，均为无毒无害物质，原料使用符合清洁生产要求，原料经过筛分、冲洗等工序后形成产品。通过对项目原辅材料及产品的理化性质分析可知，项目不涉及易燃易爆品、腐蚀品、剧毒化学品等危险化学品，其生产过程和产品储存、运输过程不会对地下水环境造成污染。</w:t>
            </w:r>
          </w:p>
          <w:p>
            <w:pPr>
              <w:adjustRightInd w:val="0"/>
              <w:snapToGrid w:val="0"/>
              <w:spacing w:line="360" w:lineRule="auto"/>
              <w:ind w:firstLine="482" w:firstLineChars="200"/>
              <w:rPr>
                <w:rFonts w:ascii="宋体" w:hAnsi="宋体" w:cs="宋体"/>
                <w:b/>
                <w:bCs/>
                <w:sz w:val="24"/>
              </w:rPr>
            </w:pPr>
            <w:r>
              <w:rPr>
                <w:rFonts w:hint="eastAsia" w:ascii="宋体" w:hAnsi="宋体" w:cs="宋体"/>
                <w:b/>
                <w:bCs/>
                <w:sz w:val="24"/>
              </w:rPr>
              <w:t>6、生态环境</w:t>
            </w:r>
          </w:p>
          <w:p>
            <w:pPr>
              <w:adjustRightInd w:val="0"/>
              <w:snapToGrid w:val="0"/>
              <w:spacing w:line="360" w:lineRule="auto"/>
              <w:ind w:firstLine="480" w:firstLineChars="200"/>
              <w:rPr>
                <w:rFonts w:cs="宋体"/>
                <w:bCs/>
                <w:sz w:val="24"/>
                <w:lang w:val="zh-CN"/>
              </w:rPr>
            </w:pPr>
            <w:r>
              <w:rPr>
                <w:rFonts w:hint="eastAsia" w:cs="宋体"/>
                <w:bCs/>
                <w:sz w:val="24"/>
                <w:lang w:val="zh-CN"/>
              </w:rPr>
              <w:t>（1）服务期内对影响分析</w:t>
            </w:r>
          </w:p>
          <w:p>
            <w:pPr>
              <w:widowControl/>
              <w:spacing w:line="360" w:lineRule="auto"/>
              <w:ind w:firstLine="480" w:firstLineChars="200"/>
            </w:pPr>
            <w:r>
              <w:rPr>
                <w:rFonts w:hint="eastAsia" w:ascii="宋体" w:hAnsi="宋体" w:cs="宋体"/>
                <w:kern w:val="0"/>
                <w:sz w:val="24"/>
              </w:rPr>
              <w:t>本项目位于</w:t>
            </w:r>
            <w:r>
              <w:rPr>
                <w:rFonts w:hint="eastAsia" w:cs="宋体"/>
                <w:sz w:val="24"/>
              </w:rPr>
              <w:t>乐山市沙湾区嘉农镇王场村</w:t>
            </w:r>
            <w:r>
              <w:rPr>
                <w:sz w:val="24"/>
              </w:rPr>
              <w:t>民生不锈钢产业园嘉农组团</w:t>
            </w:r>
            <w:r>
              <w:rPr>
                <w:rFonts w:hint="eastAsia" w:ascii="宋体" w:hAnsi="宋体" w:cs="宋体"/>
                <w:kern w:val="0"/>
                <w:sz w:val="24"/>
              </w:rPr>
              <w:t>，</w:t>
            </w:r>
            <w:r>
              <w:rPr>
                <w:rFonts w:hint="eastAsia" w:ascii="宋体" w:hAnsi="宋体" w:cs="宋体"/>
                <w:kern w:val="0"/>
                <w:sz w:val="24"/>
                <w:lang w:bidi="ar"/>
              </w:rPr>
              <w:t>项目所在区域人类活动频繁，周围无特殊生态敏感点，无需特殊保护的生态环境，项目营运期不涉及生态破坏，水土流失等生态影响，对当地生态环境影响可接受。</w:t>
            </w:r>
          </w:p>
          <w:p>
            <w:pPr>
              <w:adjustRightInd w:val="0"/>
              <w:snapToGrid w:val="0"/>
              <w:spacing w:line="360" w:lineRule="auto"/>
              <w:ind w:firstLine="480" w:firstLineChars="200"/>
              <w:rPr>
                <w:rFonts w:cs="宋体"/>
                <w:bCs/>
                <w:sz w:val="24"/>
                <w:lang w:val="zh-CN"/>
              </w:rPr>
            </w:pPr>
            <w:r>
              <w:rPr>
                <w:rFonts w:hint="eastAsia" w:cs="宋体"/>
                <w:bCs/>
                <w:sz w:val="24"/>
                <w:lang w:val="zh-CN"/>
              </w:rPr>
              <w:t>（3）服务期满后生态保护</w:t>
            </w:r>
          </w:p>
          <w:p>
            <w:pPr>
              <w:adjustRightInd w:val="0"/>
              <w:snapToGrid w:val="0"/>
              <w:spacing w:line="360" w:lineRule="auto"/>
              <w:ind w:firstLine="480" w:firstLineChars="200"/>
              <w:rPr>
                <w:rFonts w:cs="宋体"/>
                <w:bCs/>
                <w:sz w:val="24"/>
                <w:lang w:val="zh-CN"/>
              </w:rPr>
            </w:pPr>
            <w:r>
              <w:rPr>
                <w:rFonts w:hint="eastAsia" w:cs="宋体"/>
                <w:bCs/>
                <w:sz w:val="24"/>
                <w:lang w:val="zh-CN"/>
              </w:rPr>
              <w:t>本项目属于临时性项目，在对原弃方堆放地内弃方利用完后不再生产，设备全部拆除离场。由于弃方堆场所在地为工业用地，退役期后，该地应用作其他工业用途，因此不需要进行生态恢复，但仍需要对场地进行平整，防止造成水土流失。项目在退役后，不再产生废气、噪声、污水和固体废物对环境的不利影响，不会溢流潜在的环境影响问题，不会造成新的环境污染危害，项目原料来自于现场内堆存弃方，不涉及开采，退役期对环境影响较小。</w:t>
            </w:r>
          </w:p>
          <w:p>
            <w:pPr>
              <w:adjustRightInd w:val="0"/>
              <w:snapToGrid w:val="0"/>
              <w:spacing w:line="360" w:lineRule="auto"/>
              <w:ind w:firstLine="482" w:firstLineChars="200"/>
              <w:rPr>
                <w:rFonts w:cs="宋体"/>
                <w:b/>
                <w:bCs/>
                <w:sz w:val="24"/>
              </w:rPr>
            </w:pPr>
            <w:r>
              <w:rPr>
                <w:rFonts w:cs="宋体"/>
                <w:b/>
                <w:bCs/>
                <w:sz w:val="24"/>
              </w:rPr>
              <w:t>7</w:t>
            </w:r>
            <w:r>
              <w:rPr>
                <w:rFonts w:hint="eastAsia" w:cs="宋体"/>
                <w:b/>
                <w:bCs/>
                <w:sz w:val="24"/>
              </w:rPr>
              <w:t>、清洁生产</w:t>
            </w:r>
          </w:p>
          <w:p>
            <w:pPr>
              <w:adjustRightInd w:val="0"/>
              <w:snapToGrid w:val="0"/>
              <w:spacing w:line="360" w:lineRule="auto"/>
              <w:ind w:firstLine="480" w:firstLineChars="200"/>
              <w:rPr>
                <w:rFonts w:cs="宋体"/>
                <w:bCs/>
                <w:sz w:val="24"/>
              </w:rPr>
            </w:pPr>
            <w:r>
              <w:rPr>
                <w:rFonts w:hint="eastAsia" w:cs="宋体"/>
                <w:bCs/>
                <w:sz w:val="24"/>
              </w:rPr>
              <w:t>清洁生产是指不断采取改进设计、使用清洁的能源和原料、采用先进的工艺技术与设备、改善管理、综合利用等措施，从源头削减污染，提高资源利用效率，减少或者避免生产、服务和产品使用过程中污染物的产生和排放，以减轻或者消除对对人类健康和环境的危害。</w:t>
            </w:r>
          </w:p>
          <w:p>
            <w:pPr>
              <w:adjustRightInd w:val="0"/>
              <w:snapToGrid w:val="0"/>
              <w:spacing w:line="360" w:lineRule="auto"/>
              <w:ind w:firstLine="480" w:firstLineChars="200"/>
              <w:rPr>
                <w:rFonts w:cs="宋体"/>
                <w:bCs/>
                <w:sz w:val="24"/>
              </w:rPr>
            </w:pPr>
            <w:r>
              <w:rPr>
                <w:rFonts w:hint="eastAsia" w:cs="宋体"/>
                <w:bCs/>
                <w:sz w:val="24"/>
              </w:rPr>
              <w:t>本项目为砂石加工生产线项目，国家未发布行业清洁生产规范性文件和相关技术指南的建设项目，根据《环境影响评价技术导则 总纲》（HJ2.1-201</w:t>
            </w:r>
            <w:r>
              <w:rPr>
                <w:rFonts w:cs="宋体"/>
                <w:bCs/>
                <w:sz w:val="24"/>
              </w:rPr>
              <w:t>6</w:t>
            </w:r>
            <w:r>
              <w:rPr>
                <w:rFonts w:hint="eastAsia" w:cs="宋体"/>
                <w:bCs/>
                <w:sz w:val="24"/>
              </w:rPr>
              <w:t>），本评价仅从资源能源利用、生产工艺和设备、生产过程、污染物产生、废物处理和综合利用、环境管理要求方面确定清洁生产指标和开展评价。</w:t>
            </w:r>
          </w:p>
          <w:p>
            <w:pPr>
              <w:adjustRightInd w:val="0"/>
              <w:snapToGrid w:val="0"/>
              <w:spacing w:line="360" w:lineRule="auto"/>
              <w:ind w:firstLine="480" w:firstLineChars="200"/>
              <w:rPr>
                <w:rFonts w:cs="宋体"/>
                <w:bCs/>
                <w:sz w:val="24"/>
              </w:rPr>
            </w:pPr>
            <w:r>
              <w:rPr>
                <w:rFonts w:hint="eastAsia" w:cs="宋体"/>
                <w:bCs/>
                <w:sz w:val="24"/>
              </w:rPr>
              <w:t>本项目清洁生产体现在以下几点：</w:t>
            </w:r>
          </w:p>
          <w:p>
            <w:pPr>
              <w:adjustRightInd w:val="0"/>
              <w:snapToGrid w:val="0"/>
              <w:spacing w:line="360" w:lineRule="auto"/>
              <w:ind w:firstLine="480" w:firstLineChars="200"/>
              <w:rPr>
                <w:rFonts w:cs="宋体"/>
                <w:bCs/>
                <w:sz w:val="24"/>
              </w:rPr>
            </w:pPr>
            <w:r>
              <w:rPr>
                <w:rFonts w:hint="eastAsia" w:cs="宋体"/>
                <w:bCs/>
                <w:sz w:val="24"/>
              </w:rPr>
              <w:t>（1）从原辅材料消耗可以看出，本项目的物耗、能耗水平较低。</w:t>
            </w:r>
          </w:p>
          <w:p>
            <w:pPr>
              <w:adjustRightInd w:val="0"/>
              <w:snapToGrid w:val="0"/>
              <w:spacing w:line="360" w:lineRule="auto"/>
              <w:ind w:firstLine="480" w:firstLineChars="200"/>
              <w:rPr>
                <w:rFonts w:cs="宋体"/>
                <w:bCs/>
                <w:sz w:val="24"/>
              </w:rPr>
            </w:pPr>
            <w:r>
              <w:rPr>
                <w:rFonts w:hint="eastAsia" w:cs="宋体"/>
                <w:bCs/>
                <w:sz w:val="24"/>
              </w:rPr>
              <w:t>（2）本项目生产过程使用能源为电能，故能源的选择符合清洁生产要求。</w:t>
            </w:r>
          </w:p>
          <w:p>
            <w:pPr>
              <w:adjustRightInd w:val="0"/>
              <w:snapToGrid w:val="0"/>
              <w:spacing w:line="360" w:lineRule="auto"/>
              <w:ind w:firstLine="480" w:firstLineChars="200"/>
              <w:rPr>
                <w:rFonts w:cs="宋体"/>
                <w:bCs/>
                <w:sz w:val="24"/>
              </w:rPr>
            </w:pPr>
            <w:r>
              <w:rPr>
                <w:rFonts w:hint="eastAsia" w:cs="宋体"/>
                <w:bCs/>
                <w:sz w:val="24"/>
              </w:rPr>
              <w:t>（3）根据《产业结构调整指导目录（201</w:t>
            </w:r>
            <w:r>
              <w:rPr>
                <w:rFonts w:cs="宋体"/>
                <w:bCs/>
                <w:sz w:val="24"/>
              </w:rPr>
              <w:t>9</w:t>
            </w:r>
            <w:r>
              <w:rPr>
                <w:rFonts w:hint="eastAsia" w:cs="宋体"/>
                <w:bCs/>
                <w:sz w:val="24"/>
              </w:rPr>
              <w:t>年本）》（20</w:t>
            </w:r>
            <w:r>
              <w:rPr>
                <w:rFonts w:cs="宋体"/>
                <w:bCs/>
                <w:sz w:val="24"/>
              </w:rPr>
              <w:t>21</w:t>
            </w:r>
            <w:r>
              <w:rPr>
                <w:rFonts w:hint="eastAsia" w:cs="宋体"/>
                <w:bCs/>
                <w:sz w:val="24"/>
              </w:rPr>
              <w:t>年修正），本项目生产工艺和设备不属于其中的限制类及淘汰类，故生产工艺和设备属于允许类建设项目。</w:t>
            </w:r>
          </w:p>
          <w:p>
            <w:pPr>
              <w:adjustRightInd w:val="0"/>
              <w:snapToGrid w:val="0"/>
              <w:spacing w:line="360" w:lineRule="auto"/>
              <w:ind w:firstLine="480" w:firstLineChars="200"/>
              <w:rPr>
                <w:rFonts w:cs="宋体"/>
                <w:bCs/>
                <w:sz w:val="24"/>
              </w:rPr>
            </w:pPr>
            <w:r>
              <w:rPr>
                <w:rFonts w:hint="eastAsia" w:cs="宋体"/>
                <w:bCs/>
                <w:sz w:val="24"/>
              </w:rPr>
              <w:t>（4）本项目通过加强末端治理，减少污染物的排放。</w:t>
            </w:r>
          </w:p>
          <w:p>
            <w:pPr>
              <w:adjustRightInd w:val="0"/>
              <w:snapToGrid w:val="0"/>
              <w:spacing w:line="360" w:lineRule="auto"/>
              <w:ind w:firstLine="480" w:firstLineChars="200"/>
              <w:rPr>
                <w:rFonts w:cs="宋体"/>
                <w:bCs/>
                <w:sz w:val="24"/>
              </w:rPr>
            </w:pPr>
            <w:r>
              <w:rPr>
                <w:rFonts w:hint="eastAsia" w:cs="宋体"/>
                <w:bCs/>
                <w:sz w:val="24"/>
              </w:rPr>
              <w:t>（5）本项目环境管理规范科学，各污染物都得到了合理处置，对外环境影响较小。</w:t>
            </w:r>
          </w:p>
          <w:p>
            <w:pPr>
              <w:adjustRightInd w:val="0"/>
              <w:snapToGrid w:val="0"/>
              <w:spacing w:line="360" w:lineRule="auto"/>
              <w:ind w:firstLine="480" w:firstLineChars="200"/>
              <w:rPr>
                <w:rFonts w:cs="宋体"/>
                <w:bCs/>
                <w:sz w:val="24"/>
              </w:rPr>
            </w:pPr>
            <w:r>
              <w:rPr>
                <w:rFonts w:hint="eastAsia" w:cs="宋体"/>
                <w:bCs/>
                <w:sz w:val="24"/>
              </w:rPr>
              <w:t>工程通过对矿粉加工全过程的控制、资源、能源的合理配置，最大限度的将原料转化为产品，从生产工艺、生产管理、污染物末端治理等各环节均采取切实有效地措施，把污染控制在生产过程中，较好地贯彻了“节能、降耗、减污、增效”为目的的清洁生产原则，实现经济建设和环境保护的协调发展。</w:t>
            </w:r>
          </w:p>
          <w:p>
            <w:pPr>
              <w:adjustRightInd w:val="0"/>
              <w:snapToGrid w:val="0"/>
              <w:spacing w:line="360" w:lineRule="auto"/>
              <w:ind w:firstLine="480" w:firstLineChars="200"/>
              <w:rPr>
                <w:rFonts w:cs="宋体"/>
                <w:bCs/>
                <w:sz w:val="24"/>
              </w:rPr>
            </w:pPr>
            <w:r>
              <w:rPr>
                <w:rFonts w:hint="eastAsia" w:cs="宋体"/>
                <w:bCs/>
                <w:sz w:val="24"/>
              </w:rPr>
              <w:t>综上所述，项目的生产符合国家清洁生产政策要求。</w:t>
            </w:r>
          </w:p>
          <w:p>
            <w:pPr>
              <w:adjustRightInd w:val="0"/>
              <w:snapToGrid w:val="0"/>
              <w:spacing w:line="360" w:lineRule="auto"/>
              <w:ind w:firstLine="482" w:firstLineChars="200"/>
              <w:rPr>
                <w:rFonts w:cs="宋体"/>
                <w:b/>
                <w:bCs/>
                <w:sz w:val="24"/>
              </w:rPr>
            </w:pPr>
            <w:r>
              <w:rPr>
                <w:rFonts w:hint="eastAsia" w:cs="宋体"/>
                <w:b/>
                <w:bCs/>
                <w:sz w:val="24"/>
              </w:rPr>
              <w:t>8、环境风险</w:t>
            </w:r>
          </w:p>
          <w:p>
            <w:pPr>
              <w:spacing w:line="360" w:lineRule="auto"/>
              <w:ind w:firstLine="480" w:firstLineChars="200"/>
              <w:rPr>
                <w:sz w:val="24"/>
              </w:rPr>
            </w:pPr>
            <w:r>
              <w:rPr>
                <w:rFonts w:hint="eastAsia"/>
                <w:sz w:val="24"/>
              </w:rPr>
              <w:t>环境风险是指由自发的自然原因和人类活动引发的，并通过环境介质（水、空气等）传播的，能对人类社会和自然环境产生破坏、损害乃至毁灭性作用的不幸事件发生的概率及其后果，建设项目环境风险评价是指拟建项目在建设和运营期间发生的、可预测的突发事件或事故（一般不包括人为破坏及自然灾害）引起有毒有害物质、易燃易爆等物质泄漏，或突发事件产生的新的有害有毒物质所造成的、对人身安全与环境的影响和损害进行评估，提出合理可行的防范、应急和减缓措施，</w:t>
            </w:r>
            <w:r>
              <w:rPr>
                <w:rFonts w:hint="eastAsia" w:ascii="宋体" w:hAnsi="宋体" w:cs="宋体"/>
                <w:sz w:val="24"/>
              </w:rPr>
              <w:t>以使建设项目事故率、损失和环境影响达到可接受水平。</w:t>
            </w:r>
          </w:p>
          <w:p>
            <w:pPr>
              <w:spacing w:line="360" w:lineRule="auto"/>
              <w:ind w:firstLine="480" w:firstLineChars="200"/>
              <w:rPr>
                <w:sz w:val="24"/>
              </w:rPr>
            </w:pPr>
            <w:r>
              <w:rPr>
                <w:rFonts w:hint="eastAsia" w:ascii="宋体" w:hAnsi="宋体" w:cs="宋体"/>
                <w:sz w:val="24"/>
              </w:rPr>
              <w:t>环境风险评价把事故引起场界外人群的伤害、环境质量的恶化及对生态系统影响的预测和防护作为评价工作的重点。环境风险评价在条件允许的情况下，可利用安全评价数据开展环境风险评价，环境风险评价关注点是事故对场界外环境的影响。</w:t>
            </w:r>
          </w:p>
          <w:p>
            <w:pPr>
              <w:spacing w:line="360" w:lineRule="auto"/>
              <w:ind w:firstLine="480" w:firstLineChars="200"/>
              <w:rPr>
                <w:sz w:val="24"/>
              </w:rPr>
            </w:pPr>
            <w:r>
              <w:rPr>
                <w:rFonts w:hint="eastAsia"/>
                <w:sz w:val="24"/>
              </w:rPr>
              <w:t>（1）风险识别</w:t>
            </w:r>
          </w:p>
          <w:p>
            <w:pPr>
              <w:spacing w:line="360" w:lineRule="auto"/>
              <w:ind w:firstLine="480" w:firstLineChars="200"/>
              <w:rPr>
                <w:sz w:val="24"/>
              </w:rPr>
            </w:pPr>
            <w:r>
              <w:rPr>
                <w:rFonts w:hint="eastAsia"/>
                <w:sz w:val="24"/>
              </w:rPr>
              <w:t>本项目风险识别范围包括生产过程中所涉及的物质风险识别和生产设施风险识别。</w:t>
            </w:r>
          </w:p>
          <w:p>
            <w:pPr>
              <w:pStyle w:val="6"/>
              <w:spacing w:before="0" w:after="0" w:line="360" w:lineRule="auto"/>
              <w:ind w:right="0" w:firstLine="480" w:firstLineChars="200"/>
              <w:rPr>
                <w:sz w:val="24"/>
                <w:szCs w:val="24"/>
              </w:rPr>
            </w:pPr>
            <w:r>
              <w:rPr>
                <w:rFonts w:hint="eastAsia"/>
                <w:sz w:val="24"/>
                <w:szCs w:val="24"/>
              </w:rPr>
              <w:t>物质风险识别范围：原辅材料、产品及生产过程中排放的“三废”污染物等。</w:t>
            </w:r>
          </w:p>
          <w:p>
            <w:pPr>
              <w:pStyle w:val="6"/>
              <w:spacing w:before="0" w:after="0" w:line="360" w:lineRule="auto"/>
              <w:ind w:right="0" w:firstLine="480" w:firstLineChars="200"/>
              <w:rPr>
                <w:sz w:val="24"/>
                <w:szCs w:val="24"/>
              </w:rPr>
            </w:pPr>
            <w:r>
              <w:rPr>
                <w:rFonts w:hint="eastAsia"/>
                <w:sz w:val="24"/>
                <w:szCs w:val="24"/>
              </w:rPr>
              <w:t>生产设施风险识别范围：生产设备及环保设施等。</w:t>
            </w:r>
          </w:p>
          <w:p>
            <w:pPr>
              <w:pStyle w:val="6"/>
              <w:spacing w:before="0" w:after="0" w:line="360" w:lineRule="auto"/>
              <w:ind w:right="0" w:firstLine="480" w:firstLineChars="200"/>
              <w:rPr>
                <w:sz w:val="24"/>
                <w:szCs w:val="24"/>
              </w:rPr>
            </w:pPr>
            <w:r>
              <w:rPr>
                <w:rFonts w:hint="eastAsia"/>
                <w:sz w:val="24"/>
                <w:szCs w:val="24"/>
              </w:rPr>
              <w:t>A、物质风险识别标准</w:t>
            </w:r>
          </w:p>
          <w:p>
            <w:pPr>
              <w:pStyle w:val="6"/>
              <w:spacing w:before="0" w:after="0" w:line="360" w:lineRule="auto"/>
              <w:ind w:right="0" w:firstLine="480" w:firstLineChars="200"/>
              <w:rPr>
                <w:sz w:val="24"/>
                <w:szCs w:val="24"/>
              </w:rPr>
            </w:pPr>
            <w:r>
              <w:rPr>
                <w:rFonts w:hint="eastAsia"/>
                <w:sz w:val="24"/>
                <w:szCs w:val="24"/>
              </w:rPr>
              <w:t>本项目在砂石加工生产过程中会使用柴油，柴油从外单位购买，现用现购，不在厂区暂存，且本项目柴油最大用量为</w:t>
            </w:r>
            <w:r>
              <w:rPr>
                <w:sz w:val="24"/>
                <w:szCs w:val="24"/>
              </w:rPr>
              <w:t>10</w:t>
            </w:r>
            <w:r>
              <w:rPr>
                <w:rFonts w:hint="eastAsia"/>
                <w:sz w:val="24"/>
                <w:szCs w:val="24"/>
              </w:rPr>
              <w:t>t/a，不构成重大危险源，</w:t>
            </w:r>
            <w:r>
              <w:rPr>
                <w:sz w:val="24"/>
                <w:szCs w:val="24"/>
              </w:rPr>
              <w:t>主要风险过程</w:t>
            </w:r>
            <w:r>
              <w:rPr>
                <w:rFonts w:hint="eastAsia"/>
                <w:sz w:val="24"/>
                <w:szCs w:val="24"/>
              </w:rPr>
              <w:t>为卸油、</w:t>
            </w:r>
            <w:r>
              <w:rPr>
                <w:sz w:val="24"/>
                <w:szCs w:val="24"/>
              </w:rPr>
              <w:t>加油过程。</w:t>
            </w:r>
            <w:r>
              <w:rPr>
                <w:rFonts w:hint="eastAsia"/>
                <w:sz w:val="24"/>
                <w:szCs w:val="24"/>
              </w:rPr>
              <w:t>过程</w:t>
            </w:r>
            <w:r>
              <w:rPr>
                <w:sz w:val="24"/>
                <w:szCs w:val="24"/>
              </w:rPr>
              <w:t>中可能</w:t>
            </w:r>
            <w:r>
              <w:rPr>
                <w:rFonts w:hint="eastAsia"/>
                <w:sz w:val="24"/>
                <w:szCs w:val="24"/>
              </w:rPr>
              <w:t>导致</w:t>
            </w:r>
            <w:r>
              <w:rPr>
                <w:sz w:val="24"/>
                <w:szCs w:val="24"/>
              </w:rPr>
              <w:t>环境风险事故的步骤有：</w:t>
            </w:r>
          </w:p>
          <w:p>
            <w:pPr>
              <w:spacing w:line="360" w:lineRule="auto"/>
              <w:ind w:firstLine="480" w:firstLineChars="200"/>
              <w:rPr>
                <w:sz w:val="24"/>
              </w:rPr>
            </w:pPr>
            <w:r>
              <w:rPr>
                <w:rFonts w:hint="eastAsia"/>
                <w:sz w:val="24"/>
              </w:rPr>
              <w:t>a.油品滴漏。加油时，若油管破裂、密封垫破损、接头、紧固螺栓松动等原因使油品泄漏至地面，遇明火即可发生燃烧。</w:t>
            </w:r>
          </w:p>
          <w:p>
            <w:pPr>
              <w:spacing w:line="360" w:lineRule="auto"/>
              <w:ind w:firstLine="480" w:firstLineChars="200"/>
              <w:rPr>
                <w:sz w:val="24"/>
              </w:rPr>
            </w:pPr>
            <w:r>
              <w:rPr>
                <w:rFonts w:hint="eastAsia"/>
                <w:sz w:val="24"/>
              </w:rPr>
              <w:t>b.静电起火。由于油管线无静电接地连接、油罐车无静电接地或静电接地不良等原因，造成静电积聚可引起火灾、爆炸事故。</w:t>
            </w:r>
          </w:p>
          <w:p>
            <w:pPr>
              <w:spacing w:line="360" w:lineRule="auto"/>
              <w:ind w:firstLine="480" w:firstLineChars="200"/>
              <w:rPr>
                <w:sz w:val="24"/>
              </w:rPr>
            </w:pPr>
            <w:r>
              <w:rPr>
                <w:rFonts w:hint="eastAsia"/>
                <w:sz w:val="24"/>
              </w:rPr>
              <w:t>c.操作过程遇明火。在非密闭卸油、加油过程中，大量油蒸气从卸油口逸出，当周围出现烟火、火花时，就会产生爆炸燃烧。</w:t>
            </w:r>
          </w:p>
          <w:p>
            <w:pPr>
              <w:spacing w:line="360" w:lineRule="auto"/>
              <w:ind w:firstLine="480" w:firstLineChars="200"/>
              <w:rPr>
                <w:sz w:val="24"/>
              </w:rPr>
            </w:pPr>
            <w:r>
              <w:rPr>
                <w:rFonts w:hint="eastAsia"/>
                <w:sz w:val="24"/>
              </w:rPr>
              <w:t>因此</w:t>
            </w:r>
            <w:r>
              <w:rPr>
                <w:sz w:val="24"/>
              </w:rPr>
              <w:t>，项目应加强加油、卸油过程管理，严格按照操作规程、由</w:t>
            </w:r>
            <w:r>
              <w:rPr>
                <w:rFonts w:hint="eastAsia"/>
                <w:sz w:val="24"/>
              </w:rPr>
              <w:t>柴油出售单位</w:t>
            </w:r>
            <w:r>
              <w:rPr>
                <w:sz w:val="24"/>
              </w:rPr>
              <w:t>专人进行加油、卸油作业。</w:t>
            </w:r>
          </w:p>
          <w:p>
            <w:pPr>
              <w:spacing w:line="360" w:lineRule="auto"/>
              <w:ind w:firstLine="480" w:firstLineChars="200"/>
              <w:rPr>
                <w:bCs/>
                <w:sz w:val="24"/>
              </w:rPr>
            </w:pPr>
            <w:r>
              <w:rPr>
                <w:rFonts w:hint="eastAsia"/>
                <w:bCs/>
                <w:sz w:val="24"/>
              </w:rPr>
              <w:t>B、原辅材料及产品的危险性识别</w:t>
            </w:r>
          </w:p>
          <w:p>
            <w:pPr>
              <w:spacing w:line="360" w:lineRule="auto"/>
              <w:ind w:firstLine="480" w:firstLineChars="200"/>
              <w:rPr>
                <w:sz w:val="24"/>
              </w:rPr>
            </w:pPr>
            <w:r>
              <w:rPr>
                <w:rFonts w:hint="eastAsia"/>
                <w:sz w:val="24"/>
              </w:rPr>
              <w:t>本项目为砂石加工生产线项目，不包括砂石的开采，主要利用</w:t>
            </w:r>
            <w:r>
              <w:rPr>
                <w:rFonts w:hint="eastAsia" w:cs="宋体"/>
                <w:bCs/>
                <w:sz w:val="24"/>
              </w:rPr>
              <w:t>“乐山市沙湾区铜河资源绿色建材加工厂项目</w:t>
            </w:r>
            <w:r>
              <w:rPr>
                <w:rFonts w:cs="宋体"/>
                <w:bCs/>
                <w:sz w:val="24"/>
              </w:rPr>
              <w:t>-</w:t>
            </w:r>
            <w:r>
              <w:rPr>
                <w:rFonts w:hint="eastAsia" w:cs="宋体"/>
                <w:bCs/>
                <w:sz w:val="24"/>
              </w:rPr>
              <w:t>土石方工程”原弃方堆放地内可利用废弃物</w:t>
            </w:r>
            <w:r>
              <w:rPr>
                <w:rFonts w:hint="eastAsia"/>
                <w:sz w:val="24"/>
              </w:rPr>
              <w:t>进行砂石加工，均为无毒无害物质，原料使用符合清洁生产要求，原料经过筛分、冲洗等工序后形成产品。通过对项目原辅材料及产品的理化性质分析可知，项目不涉及易燃易爆品、腐蚀品、剧毒化学品等危险化学品，其生产过程和产品储存、运输过程不会对地下水环境造成污染。</w:t>
            </w:r>
          </w:p>
          <w:p>
            <w:pPr>
              <w:pStyle w:val="6"/>
              <w:spacing w:before="0" w:after="0" w:line="360" w:lineRule="auto"/>
              <w:ind w:right="0" w:firstLine="480" w:firstLineChars="200"/>
              <w:rPr>
                <w:sz w:val="24"/>
                <w:szCs w:val="24"/>
              </w:rPr>
            </w:pPr>
            <w:r>
              <w:rPr>
                <w:rFonts w:hint="eastAsia"/>
                <w:sz w:val="24"/>
                <w:szCs w:val="24"/>
              </w:rPr>
              <w:t>C、生产装置的危险性识别</w:t>
            </w:r>
          </w:p>
          <w:p>
            <w:pPr>
              <w:pStyle w:val="6"/>
              <w:spacing w:before="0" w:after="0" w:line="360" w:lineRule="auto"/>
              <w:ind w:right="0" w:firstLine="480" w:firstLineChars="200"/>
              <w:rPr>
                <w:sz w:val="24"/>
                <w:szCs w:val="24"/>
              </w:rPr>
            </w:pPr>
            <w:r>
              <w:rPr>
                <w:rFonts w:hint="eastAsia"/>
                <w:sz w:val="24"/>
                <w:szCs w:val="24"/>
              </w:rPr>
              <w:t>本项目设置表土临时堆场和产品堆场，堆存过程中，容易出现垮塌风险。表土堆场底四周底部应设置护坡围挡，防止水土流失；产品堆场四周应设置围挡，防止砂堆垮塌，亦可防止粉尘扩散。</w:t>
            </w:r>
          </w:p>
          <w:p>
            <w:pPr>
              <w:pStyle w:val="6"/>
              <w:spacing w:before="0" w:after="0" w:line="360" w:lineRule="auto"/>
              <w:ind w:right="0" w:firstLine="480" w:firstLineChars="200"/>
              <w:rPr>
                <w:sz w:val="24"/>
                <w:szCs w:val="24"/>
              </w:rPr>
            </w:pPr>
            <w:r>
              <w:rPr>
                <w:rFonts w:hint="eastAsia"/>
                <w:sz w:val="24"/>
                <w:szCs w:val="24"/>
              </w:rPr>
              <w:t>（2）源项分析</w:t>
            </w:r>
          </w:p>
          <w:p>
            <w:pPr>
              <w:pStyle w:val="6"/>
              <w:spacing w:before="0" w:after="0" w:line="360" w:lineRule="auto"/>
              <w:ind w:right="0" w:firstLine="480" w:firstLineChars="200"/>
              <w:rPr>
                <w:sz w:val="24"/>
                <w:szCs w:val="24"/>
              </w:rPr>
            </w:pPr>
            <w:r>
              <w:rPr>
                <w:rFonts w:hint="eastAsia"/>
                <w:sz w:val="24"/>
                <w:szCs w:val="24"/>
              </w:rPr>
              <w:t>由于项目涉及物料无腐蚀性和毒性等危害，不会对人员健康造成危害，因此确定本项目最大危险事故为污染物事故排放，即运营期间废水的事故排放，将对大渡河造成较大影响；生产过程中降尘设施出现故障造成粉尘的不达标排放。</w:t>
            </w:r>
          </w:p>
          <w:p>
            <w:pPr>
              <w:pStyle w:val="6"/>
              <w:spacing w:before="0" w:after="0" w:line="360" w:lineRule="auto"/>
              <w:ind w:right="0" w:firstLine="480" w:firstLineChars="200"/>
              <w:rPr>
                <w:sz w:val="24"/>
                <w:szCs w:val="24"/>
              </w:rPr>
            </w:pPr>
            <w:r>
              <w:rPr>
                <w:rFonts w:hint="eastAsia"/>
                <w:sz w:val="24"/>
                <w:szCs w:val="24"/>
              </w:rPr>
              <w:t>（3）风险管理</w:t>
            </w:r>
          </w:p>
          <w:p>
            <w:pPr>
              <w:pStyle w:val="6"/>
              <w:spacing w:before="0" w:after="0" w:line="360" w:lineRule="auto"/>
              <w:ind w:right="0" w:firstLine="480" w:firstLineChars="200"/>
              <w:rPr>
                <w:sz w:val="24"/>
                <w:szCs w:val="24"/>
              </w:rPr>
            </w:pPr>
            <w:r>
              <w:rPr>
                <w:rFonts w:hint="eastAsia"/>
                <w:sz w:val="24"/>
                <w:szCs w:val="24"/>
              </w:rPr>
              <w:fldChar w:fldCharType="begin"/>
            </w:r>
            <w:r>
              <w:rPr>
                <w:rFonts w:hint="eastAsia"/>
                <w:sz w:val="24"/>
                <w:szCs w:val="24"/>
              </w:rPr>
              <w:instrText xml:space="preserve"> = 1 \* GB3 </w:instrText>
            </w:r>
            <w:r>
              <w:rPr>
                <w:rFonts w:hint="eastAsia"/>
                <w:sz w:val="24"/>
                <w:szCs w:val="24"/>
              </w:rPr>
              <w:fldChar w:fldCharType="separate"/>
            </w:r>
            <w:r>
              <w:rPr>
                <w:rFonts w:hint="eastAsia"/>
                <w:sz w:val="24"/>
                <w:szCs w:val="24"/>
              </w:rPr>
              <w:t>①</w:t>
            </w:r>
            <w:r>
              <w:rPr>
                <w:rFonts w:hint="eastAsia"/>
                <w:sz w:val="24"/>
                <w:szCs w:val="24"/>
              </w:rPr>
              <w:fldChar w:fldCharType="end"/>
            </w:r>
            <w:r>
              <w:rPr>
                <w:rFonts w:hint="eastAsia"/>
                <w:sz w:val="24"/>
                <w:szCs w:val="24"/>
              </w:rPr>
              <w:t>风险防范措施</w:t>
            </w:r>
          </w:p>
          <w:p>
            <w:pPr>
              <w:pStyle w:val="6"/>
              <w:spacing w:before="0" w:after="0" w:line="360" w:lineRule="auto"/>
              <w:ind w:right="0" w:firstLine="480" w:firstLineChars="200"/>
              <w:rPr>
                <w:sz w:val="24"/>
                <w:szCs w:val="24"/>
              </w:rPr>
            </w:pPr>
            <w:r>
              <w:rPr>
                <w:rFonts w:hint="eastAsia"/>
                <w:sz w:val="24"/>
                <w:szCs w:val="24"/>
              </w:rPr>
              <w:t>禁止在厂区储存油料、进行车辆维修活动，加强柴油设备管理，避免柴油泄露。</w:t>
            </w:r>
          </w:p>
          <w:p>
            <w:pPr>
              <w:pStyle w:val="6"/>
              <w:spacing w:before="0" w:after="0" w:line="360" w:lineRule="auto"/>
              <w:ind w:right="0" w:firstLine="480" w:firstLineChars="200"/>
              <w:rPr>
                <w:sz w:val="24"/>
                <w:szCs w:val="24"/>
              </w:rPr>
            </w:pPr>
            <w:r>
              <w:rPr>
                <w:rFonts w:hint="eastAsia"/>
                <w:sz w:val="24"/>
                <w:szCs w:val="24"/>
              </w:rPr>
              <w:t>加强设备管理，定期检修，保障设备正常运行；</w:t>
            </w:r>
          </w:p>
          <w:p>
            <w:pPr>
              <w:pStyle w:val="6"/>
              <w:spacing w:before="0" w:after="0" w:line="360" w:lineRule="auto"/>
              <w:ind w:right="0" w:firstLine="480" w:firstLineChars="200"/>
              <w:rPr>
                <w:sz w:val="24"/>
                <w:szCs w:val="24"/>
              </w:rPr>
            </w:pPr>
            <w:r>
              <w:rPr>
                <w:rFonts w:hint="eastAsia"/>
                <w:sz w:val="24"/>
                <w:szCs w:val="24"/>
              </w:rPr>
              <w:t>对除尘设备定期进行检查，保证除尘设备的除尘效率，降低大气环境污染风险。</w:t>
            </w:r>
          </w:p>
          <w:p>
            <w:pPr>
              <w:pStyle w:val="6"/>
              <w:spacing w:before="0" w:after="0" w:line="360" w:lineRule="auto"/>
              <w:ind w:right="0" w:firstLine="480" w:firstLineChars="200"/>
              <w:rPr>
                <w:sz w:val="24"/>
                <w:szCs w:val="24"/>
              </w:rPr>
            </w:pPr>
            <w:r>
              <w:rPr>
                <w:rFonts w:hint="eastAsia"/>
                <w:sz w:val="24"/>
                <w:szCs w:val="24"/>
              </w:rPr>
              <w:t>定期清理沉淀池内污泥，并定期检查其功能性，降低废水对环境的污染。同时应做好大暴雨天气沉淀池的防雨措施，避免废水外溢造成环境污染。</w:t>
            </w:r>
          </w:p>
          <w:p>
            <w:pPr>
              <w:spacing w:line="360" w:lineRule="auto"/>
              <w:ind w:firstLine="480" w:firstLineChars="200"/>
              <w:rPr>
                <w:sz w:val="24"/>
              </w:rPr>
            </w:pPr>
            <w:r>
              <w:rPr>
                <w:rFonts w:hint="eastAsia"/>
                <w:sz w:val="24"/>
              </w:rPr>
              <w:t>加强废水处理设施的检维修，保证废水处理设施的正常运行，严禁废水外排。砂石堆场不宜堆放过高，应及时清运砂石、加强管理、清气巡查，避免堆砂场垮塌风险。</w:t>
            </w:r>
          </w:p>
          <w:p>
            <w:pPr>
              <w:spacing w:line="360" w:lineRule="auto"/>
              <w:ind w:firstLine="482" w:firstLineChars="200"/>
              <w:rPr>
                <w:b/>
                <w:bCs/>
                <w:color w:val="000000"/>
                <w:sz w:val="24"/>
              </w:rPr>
            </w:pPr>
            <w:r>
              <w:rPr>
                <w:b/>
                <w:bCs/>
                <w:color w:val="000000"/>
                <w:sz w:val="24"/>
              </w:rPr>
              <w:t>生产废水泄露分析</w:t>
            </w:r>
          </w:p>
          <w:p>
            <w:pPr>
              <w:spacing w:line="360" w:lineRule="auto"/>
              <w:ind w:firstLine="480" w:firstLineChars="200"/>
              <w:rPr>
                <w:color w:val="000000"/>
                <w:sz w:val="24"/>
                <w:szCs w:val="21"/>
              </w:rPr>
            </w:pPr>
            <w:r>
              <w:rPr>
                <w:rFonts w:hint="eastAsia"/>
                <w:color w:val="000000"/>
                <w:sz w:val="24"/>
                <w:szCs w:val="21"/>
              </w:rPr>
              <w:t>本项目生产过程中产生的废水由沉淀池收集，污水收集池、轮胎冲洗沉淀池、初期雨水收集池等池体均采取一般防渗措施，正常情况下，不会发生破裂，造成废水泄露。最大可能出现的情形主要包括：①池体破裂造成废水下渗泄露，造成地下水和土壤环境污染；②在设施设备故障情况下，造成池体废水地表漫流至外环境造成地下水和土壤环境污染。</w:t>
            </w:r>
          </w:p>
          <w:p>
            <w:pPr>
              <w:spacing w:line="360" w:lineRule="auto"/>
              <w:ind w:firstLine="480" w:firstLineChars="200"/>
              <w:rPr>
                <w:color w:val="000000"/>
                <w:sz w:val="24"/>
                <w:szCs w:val="21"/>
              </w:rPr>
            </w:pPr>
            <w:r>
              <w:rPr>
                <w:rFonts w:hint="eastAsia"/>
                <w:color w:val="000000"/>
                <w:sz w:val="24"/>
                <w:szCs w:val="21"/>
              </w:rPr>
              <w:t>若发生池体破裂，应及时停止生产，并及时处理废水泄露情况。当生产废水沉淀池不能妥善的容纳、处理项目生产废水时，要求企业停止生产，待沉淀池恢复处理功能后，方可继续生产，以确保生产废水能够得到妥善的处理，循环利用，避免生产废水的直接外排。生产过程中定期清掏沉淀池底泥，杜绝废水事故性排放。</w:t>
            </w:r>
          </w:p>
          <w:p>
            <w:pPr>
              <w:spacing w:line="360" w:lineRule="auto"/>
              <w:ind w:firstLine="480" w:firstLineChars="200"/>
              <w:rPr>
                <w:color w:val="000000"/>
                <w:sz w:val="24"/>
                <w:szCs w:val="21"/>
              </w:rPr>
            </w:pPr>
            <w:r>
              <w:rPr>
                <w:rFonts w:hint="eastAsia"/>
                <w:color w:val="000000"/>
                <w:sz w:val="24"/>
                <w:szCs w:val="21"/>
              </w:rPr>
              <w:t>根据生态环境部《关于事故应急池建设方式及容积计算问题的回复》，本项目参考《石化企业水体环境风险防控技术要求》（Q/SH 0729-2018）计算事故应急池容积，具体如下：</w:t>
            </w:r>
          </w:p>
          <w:p>
            <w:pPr>
              <w:spacing w:line="360" w:lineRule="auto"/>
              <w:ind w:firstLine="200"/>
              <w:jc w:val="center"/>
              <w:rPr>
                <w:rFonts w:cs="宋体"/>
                <w:bCs/>
                <w:color w:val="000000"/>
                <w:sz w:val="24"/>
                <w:szCs w:val="21"/>
              </w:rPr>
            </w:pPr>
            <w:r>
              <w:rPr>
                <w:color w:val="000000"/>
              </w:rPr>
              <w:pict>
                <v:shape id="_x0000_i1025" o:spt="75" type="#_x0000_t75" style="height:27.35pt;width:136.8pt;" fill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1&quot;/&gt;&lt;w:doNotEmbedSystemFonts/&gt;&lt;w:stylePaneFormatFilter w:val=&quot;3F01&quot;/&gt;&lt;w:documentProtection w:edit=&quot;tracked-changes&quot; w:enforcement=&quot;off&quot;/&gt;&lt;w:defaultTabStop w:val=&quot;420&quot;/&gt;&lt;w:doNotHyphenateCaps/&gt;&lt;w:drawingGridVerticalSpacing w:val=&quot;156&quot;/&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sp:rsids&gt;&lt;wsp:rsidRoot wsp:val=&quot;00172A27&quot;/&gt;&lt;wsp:rsid wsp:val=&quot;00002B8F&quot;/&gt;&lt;wsp:rsid wsp:val=&quot;000060B3&quot;/&gt;&lt;wsp:rsid wsp:val=&quot;0004364B&quot;/&gt;&lt;wsp:rsid wsp:val=&quot;00050021&quot;/&gt;&lt;wsp:rsid wsp:val=&quot;00061B1F&quot;/&gt;&lt;wsp:rsid wsp:val=&quot;000733C4&quot;/&gt;&lt;wsp:rsid wsp:val=&quot;00074783&quot;/&gt;&lt;wsp:rsid wsp:val=&quot;0008070B&quot;/&gt;&lt;wsp:rsid wsp:val=&quot;000810AC&quot;/&gt;&lt;wsp:rsid wsp:val=&quot;00081A02&quot;/&gt;&lt;wsp:rsid wsp:val=&quot;00082231&quot;/&gt;&lt;wsp:rsid wsp:val=&quot;00092D38&quot;/&gt;&lt;wsp:rsid wsp:val=&quot;0009377B&quot;/&gt;&lt;wsp:rsid wsp:val=&quot;000A20C9&quot;/&gt;&lt;wsp:rsid wsp:val=&quot;000B058F&quot;/&gt;&lt;wsp:rsid wsp:val=&quot;000B4467&quot;/&gt;&lt;wsp:rsid wsp:val=&quot;000B4DB9&quot;/&gt;&lt;wsp:rsid wsp:val=&quot;000C09AC&quot;/&gt;&lt;wsp:rsid wsp:val=&quot;000C767F&quot;/&gt;&lt;wsp:rsid wsp:val=&quot;000D5A44&quot;/&gt;&lt;wsp:rsid wsp:val=&quot;000E3ED2&quot;/&gt;&lt;wsp:rsid wsp:val=&quot;00112027&quot;/&gt;&lt;wsp:rsid wsp:val=&quot;001124EB&quot;/&gt;&lt;wsp:rsid wsp:val=&quot;00131F42&quot;/&gt;&lt;wsp:rsid wsp:val=&quot;00134091&quot;/&gt;&lt;wsp:rsid wsp:val=&quot;0013418C&quot;/&gt;&lt;wsp:rsid wsp:val=&quot;001357F1&quot;/&gt;&lt;wsp:rsid wsp:val=&quot;00140FA8&quot;/&gt;&lt;wsp:rsid wsp:val=&quot;00142FEB&quot;/&gt;&lt;wsp:rsid wsp:val=&quot;00143A2D&quot;/&gt;&lt;wsp:rsid wsp:val=&quot;00145A41&quot;/&gt;&lt;wsp:rsid wsp:val=&quot;00151675&quot;/&gt;&lt;wsp:rsid wsp:val=&quot;00157435&quot;/&gt;&lt;wsp:rsid wsp:val=&quot;00173FBA&quot;/&gt;&lt;wsp:rsid wsp:val=&quot;0017504D&quot;/&gt;&lt;wsp:rsid wsp:val=&quot;0017671A&quot;/&gt;&lt;wsp:rsid wsp:val=&quot;00177422&quot;/&gt;&lt;wsp:rsid wsp:val=&quot;00184590&quot;/&gt;&lt;wsp:rsid wsp:val=&quot;001870D1&quot;/&gt;&lt;wsp:rsid wsp:val=&quot;0018781E&quot;/&gt;&lt;wsp:rsid wsp:val=&quot;0019262D&quot;/&gt;&lt;wsp:rsid wsp:val=&quot;001944D2&quot;/&gt;&lt;wsp:rsid wsp:val=&quot;001A1B35&quot;/&gt;&lt;wsp:rsid wsp:val=&quot;001A48A2&quot;/&gt;&lt;wsp:rsid wsp:val=&quot;001A6F61&quot;/&gt;&lt;wsp:rsid wsp:val=&quot;001B4BA8&quot;/&gt;&lt;wsp:rsid wsp:val=&quot;001B72B8&quot;/&gt;&lt;wsp:rsid wsp:val=&quot;001C5F0F&quot;/&gt;&lt;wsp:rsid wsp:val=&quot;001C69B3&quot;/&gt;&lt;wsp:rsid wsp:val=&quot;001D5595&quot;/&gt;&lt;wsp:rsid wsp:val=&quot;001D7874&quot;/&gt;&lt;wsp:rsid wsp:val=&quot;001D7F22&quot;/&gt;&lt;wsp:rsid wsp:val=&quot;001F0F17&quot;/&gt;&lt;wsp:rsid wsp:val=&quot;001F3347&quot;/&gt;&lt;wsp:rsid wsp:val=&quot;001F69E4&quot;/&gt;&lt;wsp:rsid wsp:val=&quot;002125B4&quot;/&gt;&lt;wsp:rsid wsp:val=&quot;002155B8&quot;/&gt;&lt;wsp:rsid wsp:val=&quot;00224839&quot;/&gt;&lt;wsp:rsid wsp:val=&quot;002249B2&quot;/&gt;&lt;wsp:rsid wsp:val=&quot;00226574&quot;/&gt;&lt;wsp:rsid wsp:val=&quot;002278EC&quot;/&gt;&lt;wsp:rsid wsp:val=&quot;0023280E&quot;/&gt;&lt;wsp:rsid wsp:val=&quot;002377D1&quot;/&gt;&lt;wsp:rsid wsp:val=&quot;002506BC&quot;/&gt;&lt;wsp:rsid wsp:val=&quot;00254345&quot;/&gt;&lt;wsp:rsid wsp:val=&quot;0026206E&quot;/&gt;&lt;wsp:rsid wsp:val=&quot;002625E3&quot;/&gt;&lt;wsp:rsid wsp:val=&quot;00264557&quot;/&gt;&lt;wsp:rsid wsp:val=&quot;002805AB&quot;/&gt;&lt;wsp:rsid wsp:val=&quot;00284204&quot;/&gt;&lt;wsp:rsid wsp:val=&quot;00291773&quot;/&gt;&lt;wsp:rsid wsp:val=&quot;002A168C&quot;/&gt;&lt;wsp:rsid wsp:val=&quot;002A3DC7&quot;/&gt;&lt;wsp:rsid wsp:val=&quot;002B49E2&quot;/&gt;&lt;wsp:rsid wsp:val=&quot;002B7B00&quot;/&gt;&lt;wsp:rsid wsp:val=&quot;002B7C44&quot;/&gt;&lt;wsp:rsid wsp:val=&quot;002C2B17&quot;/&gt;&lt;wsp:rsid wsp:val=&quot;002D3DD0&quot;/&gt;&lt;wsp:rsid wsp:val=&quot;002E1F3A&quot;/&gt;&lt;wsp:rsid wsp:val=&quot;002E298A&quot;/&gt;&lt;wsp:rsid wsp:val=&quot;00301978&quot;/&gt;&lt;wsp:rsid wsp:val=&quot;0030332C&quot;/&gt;&lt;wsp:rsid wsp:val=&quot;003051C2&quot;/&gt;&lt;wsp:rsid wsp:val=&quot;00312296&quot;/&gt;&lt;wsp:rsid wsp:val=&quot;00314F0E&quot;/&gt;&lt;wsp:rsid wsp:val=&quot;00321D8E&quot;/&gt;&lt;wsp:rsid wsp:val=&quot;00325928&quot;/&gt;&lt;wsp:rsid wsp:val=&quot;00332863&quot;/&gt;&lt;wsp:rsid wsp:val=&quot;0033684D&quot;/&gt;&lt;wsp:rsid wsp:val=&quot;00337B42&quot;/&gt;&lt;wsp:rsid wsp:val=&quot;00341B42&quot;/&gt;&lt;wsp:rsid wsp:val=&quot;0034348F&quot;/&gt;&lt;wsp:rsid wsp:val=&quot;00343C2B&quot;/&gt;&lt;wsp:rsid wsp:val=&quot;0034596F&quot;/&gt;&lt;wsp:rsid wsp:val=&quot;00356653&quot;/&gt;&lt;wsp:rsid wsp:val=&quot;0035743F&quot;/&gt;&lt;wsp:rsid wsp:val=&quot;00357BE2&quot;/&gt;&lt;wsp:rsid wsp:val=&quot;0036170C&quot;/&gt;&lt;wsp:rsid wsp:val=&quot;00366E0F&quot;/&gt;&lt;wsp:rsid wsp:val=&quot;00375832&quot;/&gt;&lt;wsp:rsid wsp:val=&quot;00381A72&quot;/&gt;&lt;wsp:rsid wsp:val=&quot;00384676&quot;/&gt;&lt;wsp:rsid wsp:val=&quot;00384BC6&quot;/&gt;&lt;wsp:rsid wsp:val=&quot;00390857&quot;/&gt;&lt;wsp:rsid wsp:val=&quot;003930BB&quot;/&gt;&lt;wsp:rsid wsp:val=&quot;003A4BF3&quot;/&gt;&lt;wsp:rsid wsp:val=&quot;003B420D&quot;/&gt;&lt;wsp:rsid wsp:val=&quot;003B72F6&quot;/&gt;&lt;wsp:rsid wsp:val=&quot;003C6C16&quot;/&gt;&lt;wsp:rsid wsp:val=&quot;003D76AB&quot;/&gt;&lt;wsp:rsid wsp:val=&quot;003D794D&quot;/&gt;&lt;wsp:rsid wsp:val=&quot;003E2F5A&quot;/&gt;&lt;wsp:rsid wsp:val=&quot;003E3058&quot;/&gt;&lt;wsp:rsid wsp:val=&quot;003E76A9&quot;/&gt;&lt;wsp:rsid wsp:val=&quot;003E7BEE&quot;/&gt;&lt;wsp:rsid wsp:val=&quot;003F0809&quot;/&gt;&lt;wsp:rsid wsp:val=&quot;003F4C47&quot;/&gt;&lt;wsp:rsid wsp:val=&quot;003F6A8C&quot;/&gt;&lt;wsp:rsid wsp:val=&quot;003F755C&quot;/&gt;&lt;wsp:rsid wsp:val=&quot;00406F01&quot;/&gt;&lt;wsp:rsid wsp:val=&quot;00412988&quot;/&gt;&lt;wsp:rsid wsp:val=&quot;00416D50&quot;/&gt;&lt;wsp:rsid wsp:val=&quot;00416FD5&quot;/&gt;&lt;wsp:rsid wsp:val=&quot;00417772&quot;/&gt;&lt;wsp:rsid wsp:val=&quot;00420E6A&quot;/&gt;&lt;wsp:rsid wsp:val=&quot;00425A9E&quot;/&gt;&lt;wsp:rsid wsp:val=&quot;00426D6B&quot;/&gt;&lt;wsp:rsid wsp:val=&quot;00431E6C&quot;/&gt;&lt;wsp:rsid wsp:val=&quot;00433CE7&quot;/&gt;&lt;wsp:rsid wsp:val=&quot;004436E8&quot;/&gt;&lt;wsp:rsid wsp:val=&quot;00452738&quot;/&gt;&lt;wsp:rsid wsp:val=&quot;00456091&quot;/&gt;&lt;wsp:rsid wsp:val=&quot;00466321&quot;/&gt;&lt;wsp:rsid wsp:val=&quot;0046661F&quot;/&gt;&lt;wsp:rsid wsp:val=&quot;00483F04&quot;/&gt;&lt;wsp:rsid wsp:val=&quot;00484B9B&quot;/&gt;&lt;wsp:rsid wsp:val=&quot;004855F6&quot;/&gt;&lt;wsp:rsid wsp:val=&quot;0048661E&quot;/&gt;&lt;wsp:rsid wsp:val=&quot;00494670&quot;/&gt;&lt;wsp:rsid wsp:val=&quot;004A3823&quot;/&gt;&lt;wsp:rsid wsp:val=&quot;004B0015&quot;/&gt;&lt;wsp:rsid wsp:val=&quot;004C21EF&quot;/&gt;&lt;wsp:rsid wsp:val=&quot;004E6946&quot;/&gt;&lt;wsp:rsid wsp:val=&quot;004F1AD8&quot;/&gt;&lt;wsp:rsid wsp:val=&quot;005039CB&quot;/&gt;&lt;wsp:rsid wsp:val=&quot;0050558F&quot;/&gt;&lt;wsp:rsid wsp:val=&quot;00506286&quot;/&gt;&lt;wsp:rsid wsp:val=&quot;00510813&quot;/&gt;&lt;wsp:rsid wsp:val=&quot;00511990&quot;/&gt;&lt;wsp:rsid wsp:val=&quot;00511DE0&quot;/&gt;&lt;wsp:rsid wsp:val=&quot;00514870&quot;/&gt;&lt;wsp:rsid wsp:val=&quot;00514B9B&quot;/&gt;&lt;wsp:rsid wsp:val=&quot;00517F02&quot;/&gt;&lt;wsp:rsid wsp:val=&quot;00524303&quot;/&gt;&lt;wsp:rsid wsp:val=&quot;005258A2&quot;/&gt;&lt;wsp:rsid wsp:val=&quot;005401AE&quot;/&gt;&lt;wsp:rsid wsp:val=&quot;00542E07&quot;/&gt;&lt;wsp:rsid wsp:val=&quot;00545424&quot;/&gt;&lt;wsp:rsid wsp:val=&quot;00554A7B&quot;/&gt;&lt;wsp:rsid wsp:val=&quot;0055572C&quot;/&gt;&lt;wsp:rsid wsp:val=&quot;0056106A&quot;/&gt;&lt;wsp:rsid wsp:val=&quot;005720AE&quot;/&gt;&lt;wsp:rsid wsp:val=&quot;00582527&quot;/&gt;&lt;wsp:rsid wsp:val=&quot;00594D77&quot;/&gt;&lt;wsp:rsid wsp:val=&quot;005969E4&quot;/&gt;&lt;wsp:rsid wsp:val=&quot;005A06B7&quot;/&gt;&lt;wsp:rsid wsp:val=&quot;005A1759&quot;/&gt;&lt;wsp:rsid wsp:val=&quot;005A68A7&quot;/&gt;&lt;wsp:rsid wsp:val=&quot;005B0AFA&quot;/&gt;&lt;wsp:rsid wsp:val=&quot;005C04F5&quot;/&gt;&lt;wsp:rsid wsp:val=&quot;005D36AB&quot;/&gt;&lt;wsp:rsid wsp:val=&quot;005D3A8B&quot;/&gt;&lt;wsp:rsid wsp:val=&quot;005D5B30&quot;/&gt;&lt;wsp:rsid wsp:val=&quot;00610B09&quot;/&gt;&lt;wsp:rsid wsp:val=&quot;00617CC3&quot;/&gt;&lt;wsp:rsid wsp:val=&quot;006377A6&quot;/&gt;&lt;wsp:rsid wsp:val=&quot;00637A3D&quot;/&gt;&lt;wsp:rsid wsp:val=&quot;006411EF&quot;/&gt;&lt;wsp:rsid wsp:val=&quot;006748B8&quot;/&gt;&lt;wsp:rsid wsp:val=&quot;006775C3&quot;/&gt;&lt;wsp:rsid wsp:val=&quot;0069290A&quot;/&gt;&lt;wsp:rsid wsp:val=&quot;0069775A&quot;/&gt;&lt;wsp:rsid wsp:val=&quot;00697813&quot;/&gt;&lt;wsp:rsid wsp:val=&quot;006A3EE8&quot;/&gt;&lt;wsp:rsid wsp:val=&quot;006A72BF&quot;/&gt;&lt;wsp:rsid wsp:val=&quot;006B03F2&quot;/&gt;&lt;wsp:rsid wsp:val=&quot;006B37DC&quot;/&gt;&lt;wsp:rsid wsp:val=&quot;006B4F68&quot;/&gt;&lt;wsp:rsid wsp:val=&quot;006C0592&quot;/&gt;&lt;wsp:rsid wsp:val=&quot;006C272E&quot;/&gt;&lt;wsp:rsid wsp:val=&quot;006C5479&quot;/&gt;&lt;wsp:rsid wsp:val=&quot;006D13B5&quot;/&gt;&lt;wsp:rsid wsp:val=&quot;006E12FF&quot;/&gt;&lt;wsp:rsid wsp:val=&quot;006E607E&quot;/&gt;&lt;wsp:rsid wsp:val=&quot;00701EB3&quot;/&gt;&lt;wsp:rsid wsp:val=&quot;00706C5D&quot;/&gt;&lt;wsp:rsid wsp:val=&quot;0071224C&quot;/&gt;&lt;wsp:rsid wsp:val=&quot;007212C5&quot;/&gt;&lt;wsp:rsid wsp:val=&quot;0072135A&quot;/&gt;&lt;wsp:rsid wsp:val=&quot;00732922&quot;/&gt;&lt;wsp:rsid wsp:val=&quot;007331E7&quot;/&gt;&lt;wsp:rsid wsp:val=&quot;007505F6&quot;/&gt;&lt;wsp:rsid wsp:val=&quot;0075162E&quot;/&gt;&lt;wsp:rsid wsp:val=&quot;00754034&quot;/&gt;&lt;wsp:rsid wsp:val=&quot;00756556&quot;/&gt;&lt;wsp:rsid wsp:val=&quot;007618C4&quot;/&gt;&lt;wsp:rsid wsp:val=&quot;00767968&quot;/&gt;&lt;wsp:rsid wsp:val=&quot;00767980&quot;/&gt;&lt;wsp:rsid wsp:val=&quot;00770B19&quot;/&gt;&lt;wsp:rsid wsp:val=&quot;0077463F&quot;/&gt;&lt;wsp:rsid wsp:val=&quot;007836EA&quot;/&gt;&lt;wsp:rsid wsp:val=&quot;00784CDA&quot;/&gt;&lt;wsp:rsid wsp:val=&quot;00785117&quot;/&gt;&lt;wsp:rsid wsp:val=&quot;0078564F&quot;/&gt;&lt;wsp:rsid wsp:val=&quot;007906C4&quot;/&gt;&lt;wsp:rsid wsp:val=&quot;007940EA&quot;/&gt;&lt;wsp:rsid wsp:val=&quot;007967E8&quot;/&gt;&lt;wsp:rsid wsp:val=&quot;007A2170&quot;/&gt;&lt;wsp:rsid wsp:val=&quot;007A22BF&quot;/&gt;&lt;wsp:rsid wsp:val=&quot;007A3323&quot;/&gt;&lt;wsp:rsid wsp:val=&quot;007B72B8&quot;/&gt;&lt;wsp:rsid wsp:val=&quot;007B7A58&quot;/&gt;&lt;wsp:rsid wsp:val=&quot;007C21B5&quot;/&gt;&lt;wsp:rsid wsp:val=&quot;007E4BD2&quot;/&gt;&lt;wsp:rsid wsp:val=&quot;007F1DAD&quot;/&gt;&lt;wsp:rsid wsp:val=&quot;00801393&quot;/&gt;&lt;wsp:rsid wsp:val=&quot;00802F88&quot;/&gt;&lt;wsp:rsid wsp:val=&quot;0081293E&quot;/&gt;&lt;wsp:rsid wsp:val=&quot;00815465&quot;/&gt;&lt;wsp:rsid wsp:val=&quot;00817E9A&quot;/&gt;&lt;wsp:rsid wsp:val=&quot;008306BD&quot;/&gt;&lt;wsp:rsid wsp:val=&quot;00831A80&quot;/&gt;&lt;wsp:rsid wsp:val=&quot;00833743&quot;/&gt;&lt;wsp:rsid wsp:val=&quot;008340A4&quot;/&gt;&lt;wsp:rsid wsp:val=&quot;00860650&quot;/&gt;&lt;wsp:rsid wsp:val=&quot;0086181C&quot;/&gt;&lt;wsp:rsid wsp:val=&quot;0087135F&quot;/&gt;&lt;wsp:rsid wsp:val=&quot;00872D94&quot;/&gt;&lt;wsp:rsid wsp:val=&quot;00880364&quot;/&gt;&lt;wsp:rsid wsp:val=&quot;00887126&quot;/&gt;&lt;wsp:rsid wsp:val=&quot;00891592&quot;/&gt;&lt;wsp:rsid wsp:val=&quot;00891E9E&quot;/&gt;&lt;wsp:rsid wsp:val=&quot;00893BB8&quot;/&gt;&lt;wsp:rsid wsp:val=&quot;008A2F68&quot;/&gt;&lt;wsp:rsid wsp:val=&quot;008B4FA6&quot;/&gt;&lt;wsp:rsid wsp:val=&quot;008B5282&quot;/&gt;&lt;wsp:rsid wsp:val=&quot;008B7139&quot;/&gt;&lt;wsp:rsid wsp:val=&quot;008B7C17&quot;/&gt;&lt;wsp:rsid wsp:val=&quot;008C2D01&quot;/&gt;&lt;wsp:rsid wsp:val=&quot;008C40E6&quot;/&gt;&lt;wsp:rsid wsp:val=&quot;008D0F7A&quot;/&gt;&lt;wsp:rsid wsp:val=&quot;008D68E4&quot;/&gt;&lt;wsp:rsid wsp:val=&quot;008E0506&quot;/&gt;&lt;wsp:rsid wsp:val=&quot;008E0CFF&quot;/&gt;&lt;wsp:rsid wsp:val=&quot;008E5D6B&quot;/&gt;&lt;wsp:rsid wsp:val=&quot;008E76F0&quot;/&gt;&lt;wsp:rsid wsp:val=&quot;008F15FE&quot;/&gt;&lt;wsp:rsid wsp:val=&quot;008F2D29&quot;/&gt;&lt;wsp:rsid wsp:val=&quot;008F5187&quot;/&gt;&lt;wsp:rsid wsp:val=&quot;008F60D8&quot;/&gt;&lt;wsp:rsid wsp:val=&quot;00902727&quot;/&gt;&lt;wsp:rsid wsp:val=&quot;0090312B&quot;/&gt;&lt;wsp:rsid wsp:val=&quot;0091736D&quot;/&gt;&lt;wsp:rsid wsp:val=&quot;00921F5A&quot;/&gt;&lt;wsp:rsid wsp:val=&quot;00925AB1&quot;/&gt;&lt;wsp:rsid wsp:val=&quot;0093037A&quot;/&gt;&lt;wsp:rsid wsp:val=&quot;0094154D&quot;/&gt;&lt;wsp:rsid wsp:val=&quot;00950971&quot;/&gt;&lt;wsp:rsid wsp:val=&quot;0095155F&quot;/&gt;&lt;wsp:rsid wsp:val=&quot;00954429&quot;/&gt;&lt;wsp:rsid wsp:val=&quot;009563CE&quot;/&gt;&lt;wsp:rsid wsp:val=&quot;0096551F&quot;/&gt;&lt;wsp:rsid wsp:val=&quot;00976328&quot;/&gt;&lt;wsp:rsid wsp:val=&quot;0097680D&quot;/&gt;&lt;wsp:rsid wsp:val=&quot;009778D2&quot;/&gt;&lt;wsp:rsid wsp:val=&quot;00982438&quot;/&gt;&lt;wsp:rsid wsp:val=&quot;0098404C&quot;/&gt;&lt;wsp:rsid wsp:val=&quot;00984C45&quot;/&gt;&lt;wsp:rsid wsp:val=&quot;00985283&quot;/&gt;&lt;wsp:rsid wsp:val=&quot;00995992&quot;/&gt;&lt;wsp:rsid wsp:val=&quot;00997616&quot;/&gt;&lt;wsp:rsid wsp:val=&quot;00997F3F&quot;/&gt;&lt;wsp:rsid wsp:val=&quot;009A03E5&quot;/&gt;&lt;wsp:rsid wsp:val=&quot;009A0F3B&quot;/&gt;&lt;wsp:rsid wsp:val=&quot;009A1BB4&quot;/&gt;&lt;wsp:rsid wsp:val=&quot;009A2628&quot;/&gt;&lt;wsp:rsid wsp:val=&quot;009A3200&quot;/&gt;&lt;wsp:rsid wsp:val=&quot;009A3D24&quot;/&gt;&lt;wsp:rsid wsp:val=&quot;009B0897&quot;/&gt;&lt;wsp:rsid wsp:val=&quot;009B7BD9&quot;/&gt;&lt;wsp:rsid wsp:val=&quot;009C7DD5&quot;/&gt;&lt;wsp:rsid wsp:val=&quot;009E227D&quot;/&gt;&lt;wsp:rsid wsp:val=&quot;009E5019&quot;/&gt;&lt;wsp:rsid wsp:val=&quot;00A008CA&quot;/&gt;&lt;wsp:rsid wsp:val=&quot;00A04F1B&quot;/&gt;&lt;wsp:rsid wsp:val=&quot;00A0501B&quot;/&gt;&lt;wsp:rsid wsp:val=&quot;00A1120A&quot;/&gt;&lt;wsp:rsid wsp:val=&quot;00A11740&quot;/&gt;&lt;wsp:rsid wsp:val=&quot;00A14947&quot;/&gt;&lt;wsp:rsid wsp:val=&quot;00A32A83&quot;/&gt;&lt;wsp:rsid wsp:val=&quot;00A368DB&quot;/&gt;&lt;wsp:rsid wsp:val=&quot;00A423AA&quot;/&gt;&lt;wsp:rsid wsp:val=&quot;00A53EC6&quot;/&gt;&lt;wsp:rsid wsp:val=&quot;00A55C0F&quot;/&gt;&lt;wsp:rsid wsp:val=&quot;00A8713F&quot;/&gt;&lt;wsp:rsid wsp:val=&quot;00A90BA1&quot;/&gt;&lt;wsp:rsid wsp:val=&quot;00A97A9A&quot;/&gt;&lt;wsp:rsid wsp:val=&quot;00AA0671&quot;/&gt;&lt;wsp:rsid wsp:val=&quot;00AA2531&quot;/&gt;&lt;wsp:rsid wsp:val=&quot;00AB078A&quot;/&gt;&lt;wsp:rsid wsp:val=&quot;00AB1E09&quot;/&gt;&lt;wsp:rsid wsp:val=&quot;00AB5330&quot;/&gt;&lt;wsp:rsid wsp:val=&quot;00AB7747&quot;/&gt;&lt;wsp:rsid wsp:val=&quot;00AC14CE&quot;/&gt;&lt;wsp:rsid wsp:val=&quot;00AC2A56&quot;/&gt;&lt;wsp:rsid wsp:val=&quot;00AD055E&quot;/&gt;&lt;wsp:rsid wsp:val=&quot;00AD47A7&quot;/&gt;&lt;wsp:rsid wsp:val=&quot;00AE5D95&quot;/&gt;&lt;wsp:rsid wsp:val=&quot;00AF0CBF&quot;/&gt;&lt;wsp:rsid wsp:val=&quot;00AF257F&quot;/&gt;&lt;wsp:rsid wsp:val=&quot;00AF33CF&quot;/&gt;&lt;wsp:rsid wsp:val=&quot;00AF4D50&quot;/&gt;&lt;wsp:rsid wsp:val=&quot;00AF6179&quot;/&gt;&lt;wsp:rsid wsp:val=&quot;00B11741&quot;/&gt;&lt;wsp:rsid wsp:val=&quot;00B1295A&quot;/&gt;&lt;wsp:rsid wsp:val=&quot;00B20A45&quot;/&gt;&lt;wsp:rsid wsp:val=&quot;00B22C5C&quot;/&gt;&lt;wsp:rsid wsp:val=&quot;00B24F30&quot;/&gt;&lt;wsp:rsid wsp:val=&quot;00B31ABF&quot;/&gt;&lt;wsp:rsid wsp:val=&quot;00B33BE3&quot;/&gt;&lt;wsp:rsid wsp:val=&quot;00B53B5D&quot;/&gt;&lt;wsp:rsid wsp:val=&quot;00B6055E&quot;/&gt;&lt;wsp:rsid wsp:val=&quot;00B6317D&quot;/&gt;&lt;wsp:rsid wsp:val=&quot;00B7723F&quot;/&gt;&lt;wsp:rsid wsp:val=&quot;00B80534&quot;/&gt;&lt;wsp:rsid wsp:val=&quot;00B8433C&quot;/&gt;&lt;wsp:rsid wsp:val=&quot;00B87491&quot;/&gt;&lt;wsp:rsid wsp:val=&quot;00BA29E9&quot;/&gt;&lt;wsp:rsid wsp:val=&quot;00BA411F&quot;/&gt;&lt;wsp:rsid wsp:val=&quot;00BA59AB&quot;/&gt;&lt;wsp:rsid wsp:val=&quot;00BA7142&quot;/&gt;&lt;wsp:rsid wsp:val=&quot;00BB1281&quot;/&gt;&lt;wsp:rsid wsp:val=&quot;00BB150D&quot;/&gt;&lt;wsp:rsid wsp:val=&quot;00BB237C&quot;/&gt;&lt;wsp:rsid wsp:val=&quot;00BB41A3&quot;/&gt;&lt;wsp:rsid wsp:val=&quot;00BC32DC&quot;/&gt;&lt;wsp:rsid wsp:val=&quot;00BC35B6&quot;/&gt;&lt;wsp:rsid wsp:val=&quot;00BC6061&quot;/&gt;&lt;wsp:rsid wsp:val=&quot;00BC6A3E&quot;/&gt;&lt;wsp:rsid wsp:val=&quot;00BD1B51&quot;/&gt;&lt;wsp:rsid wsp:val=&quot;00BD4596&quot;/&gt;&lt;wsp:rsid wsp:val=&quot;00BE1405&quot;/&gt;&lt;wsp:rsid wsp:val=&quot;00BE312D&quot;/&gt;&lt;wsp:rsid wsp:val=&quot;00BF1C20&quot;/&gt;&lt;wsp:rsid wsp:val=&quot;00C10578&quot;/&gt;&lt;wsp:rsid wsp:val=&quot;00C135BC&quot;/&gt;&lt;wsp:rsid wsp:val=&quot;00C15C95&quot;/&gt;&lt;wsp:rsid wsp:val=&quot;00C2596A&quot;/&gt;&lt;wsp:rsid wsp:val=&quot;00C27537&quot;/&gt;&lt;wsp:rsid wsp:val=&quot;00C328FE&quot;/&gt;&lt;wsp:rsid wsp:val=&quot;00C33507&quot;/&gt;&lt;wsp:rsid wsp:val=&quot;00C34894&quot;/&gt;&lt;wsp:rsid wsp:val=&quot;00C35762&quot;/&gt;&lt;wsp:rsid wsp:val=&quot;00C4409D&quot;/&gt;&lt;wsp:rsid wsp:val=&quot;00C44E72&quot;/&gt;&lt;wsp:rsid wsp:val=&quot;00C4581E&quot;/&gt;&lt;wsp:rsid wsp:val=&quot;00C45A06&quot;/&gt;&lt;wsp:rsid wsp:val=&quot;00C47E5B&quot;/&gt;&lt;wsp:rsid wsp:val=&quot;00C61ADE&quot;/&gt;&lt;wsp:rsid wsp:val=&quot;00C61E4B&quot;/&gt;&lt;wsp:rsid wsp:val=&quot;00C64BFF&quot;/&gt;&lt;wsp:rsid wsp:val=&quot;00C704E9&quot;/&gt;&lt;wsp:rsid wsp:val=&quot;00C763C9&quot;/&gt;&lt;wsp:rsid wsp:val=&quot;00C7661A&quot;/&gt;&lt;wsp:rsid wsp:val=&quot;00C80057&quot;/&gt;&lt;wsp:rsid wsp:val=&quot;00C82232&quot;/&gt;&lt;wsp:rsid wsp:val=&quot;00C82913&quot;/&gt;&lt;wsp:rsid wsp:val=&quot;00C916A2&quot;/&gt;&lt;wsp:rsid wsp:val=&quot;00C972B1&quot;/&gt;&lt;wsp:rsid wsp:val=&quot;00CA2CCE&quot;/&gt;&lt;wsp:rsid wsp:val=&quot;00CA43FD&quot;/&gt;&lt;wsp:rsid wsp:val=&quot;00CA7EF8&quot;/&gt;&lt;wsp:rsid wsp:val=&quot;00CC489B&quot;/&gt;&lt;wsp:rsid wsp:val=&quot;00CD2BCD&quot;/&gt;&lt;wsp:rsid wsp:val=&quot;00CD2FA6&quot;/&gt;&lt;wsp:rsid wsp:val=&quot;00CD3A4C&quot;/&gt;&lt;wsp:rsid wsp:val=&quot;00CE10E9&quot;/&gt;&lt;wsp:rsid wsp:val=&quot;00CE2910&quot;/&gt;&lt;wsp:rsid wsp:val=&quot;00CE5393&quot;/&gt;&lt;wsp:rsid wsp:val=&quot;00CF36BE&quot;/&gt;&lt;wsp:rsid wsp:val=&quot;00CF6000&quot;/&gt;&lt;wsp:rsid wsp:val=&quot;00D003F3&quot;/&gt;&lt;wsp:rsid wsp:val=&quot;00D0364F&quot;/&gt;&lt;wsp:rsid wsp:val=&quot;00D06834&quot;/&gt;&lt;wsp:rsid wsp:val=&quot;00D257B2&quot;/&gt;&lt;wsp:rsid wsp:val=&quot;00D25947&quot;/&gt;&lt;wsp:rsid wsp:val=&quot;00D308ED&quot;/&gt;&lt;wsp:rsid wsp:val=&quot;00D36D86&quot;/&gt;&lt;wsp:rsid wsp:val=&quot;00D428AA&quot;/&gt;&lt;wsp:rsid wsp:val=&quot;00D50A34&quot;/&gt;&lt;wsp:rsid wsp:val=&quot;00D53EFA&quot;/&gt;&lt;wsp:rsid wsp:val=&quot;00D83B2F&quot;/&gt;&lt;wsp:rsid wsp:val=&quot;00D92D5C&quot;/&gt;&lt;wsp:rsid wsp:val=&quot;00D94A7C&quot;/&gt;&lt;wsp:rsid wsp:val=&quot;00D95896&quot;/&gt;&lt;wsp:rsid wsp:val=&quot;00DB2983&quot;/&gt;&lt;wsp:rsid wsp:val=&quot;00DC1257&quot;/&gt;&lt;wsp:rsid wsp:val=&quot;00DC3DC0&quot;/&gt;&lt;wsp:rsid wsp:val=&quot;00DC5B2B&quot;/&gt;&lt;wsp:rsid wsp:val=&quot;00DD318D&quot;/&gt;&lt;wsp:rsid wsp:val=&quot;00DD36CB&quot;/&gt;&lt;wsp:rsid wsp:val=&quot;00DD7B97&quot;/&gt;&lt;wsp:rsid wsp:val=&quot;00DE58CB&quot;/&gt;&lt;wsp:rsid wsp:val=&quot;00DF2E12&quot;/&gt;&lt;wsp:rsid wsp:val=&quot;00DF514A&quot;/&gt;&lt;wsp:rsid wsp:val=&quot;00DF6690&quot;/&gt;&lt;wsp:rsid wsp:val=&quot;00DF6804&quot;/&gt;&lt;wsp:rsid wsp:val=&quot;00E0358D&quot;/&gt;&lt;wsp:rsid wsp:val=&quot;00E04323&quot;/&gt;&lt;wsp:rsid wsp:val=&quot;00E070A2&quot;/&gt;&lt;wsp:rsid wsp:val=&quot;00E2656A&quot;/&gt;&lt;wsp:rsid wsp:val=&quot;00E412D0&quot;/&gt;&lt;wsp:rsid wsp:val=&quot;00E4208C&quot;/&gt;&lt;wsp:rsid wsp:val=&quot;00E56322&quot;/&gt;&lt;wsp:rsid wsp:val=&quot;00E60982&quot;/&gt;&lt;wsp:rsid wsp:val=&quot;00E62C62&quot;/&gt;&lt;wsp:rsid wsp:val=&quot;00E654C1&quot;/&gt;&lt;wsp:rsid wsp:val=&quot;00E65D97&quot;/&gt;&lt;wsp:rsid wsp:val=&quot;00E72A5A&quot;/&gt;&lt;wsp:rsid wsp:val=&quot;00E73354&quot;/&gt;&lt;wsp:rsid wsp:val=&quot;00E9242D&quot;/&gt;&lt;wsp:rsid wsp:val=&quot;00EB5255&quot;/&gt;&lt;wsp:rsid wsp:val=&quot;00EB5C47&quot;/&gt;&lt;wsp:rsid wsp:val=&quot;00ED0639&quot;/&gt;&lt;wsp:rsid wsp:val=&quot;00ED4113&quot;/&gt;&lt;wsp:rsid wsp:val=&quot;00EE0B1A&quot;/&gt;&lt;wsp:rsid wsp:val=&quot;00EF4755&quot;/&gt;&lt;wsp:rsid wsp:val=&quot;00EF7135&quot;/&gt;&lt;wsp:rsid wsp:val=&quot;00F027DB&quot;/&gt;&lt;wsp:rsid wsp:val=&quot;00F047EE&quot;/&gt;&lt;wsp:rsid wsp:val=&quot;00F14A7A&quot;/&gt;&lt;wsp:rsid wsp:val=&quot;00F22985&quot;/&gt;&lt;wsp:rsid wsp:val=&quot;00F3383E&quot;/&gt;&lt;wsp:rsid wsp:val=&quot;00F415DA&quot;/&gt;&lt;wsp:rsid wsp:val=&quot;00F465A7&quot;/&gt;&lt;wsp:rsid wsp:val=&quot;00F47691&quot;/&gt;&lt;wsp:rsid wsp:val=&quot;00F50B7C&quot;/&gt;&lt;wsp:rsid wsp:val=&quot;00F550E6&quot;/&gt;&lt;wsp:rsid wsp:val=&quot;00F74345&quot;/&gt;&lt;wsp:rsid wsp:val=&quot;00F751E3&quot;/&gt;&lt;wsp:rsid wsp:val=&quot;00F80A0A&quot;/&gt;&lt;wsp:rsid wsp:val=&quot;00F82B19&quot;/&gt;&lt;wsp:rsid wsp:val=&quot;00F9212D&quot;/&gt;&lt;wsp:rsid wsp:val=&quot;00F965DA&quot;/&gt;&lt;wsp:rsid wsp:val=&quot;00FA406A&quot;/&gt;&lt;wsp:rsid wsp:val=&quot;00FB4BE9&quot;/&gt;&lt;wsp:rsid wsp:val=&quot;00FB503A&quot;/&gt;&lt;wsp:rsid wsp:val=&quot;00FB516C&quot;/&gt;&lt;wsp:rsid wsp:val=&quot;00FC5C13&quot;/&gt;&lt;wsp:rsid wsp:val=&quot;00FD0236&quot;/&gt;&lt;wsp:rsid wsp:val=&quot;00FD18F4&quot;/&gt;&lt;wsp:rsid wsp:val=&quot;00FD54DB&quot;/&gt;&lt;wsp:rsid wsp:val=&quot;00FD619F&quot;/&gt;&lt;wsp:rsid wsp:val=&quot;00FF20BC&quot;/&gt;&lt;wsp:rsid wsp:val=&quot;01290F7E&quot;/&gt;&lt;wsp:rsid wsp:val=&quot;015D1E09&quot;/&gt;&lt;wsp:rsid wsp:val=&quot;01E87118&quot;/&gt;&lt;wsp:rsid wsp:val=&quot;0218552F&quot;/&gt;&lt;wsp:rsid wsp:val=&quot;025361AE&quot;/&gt;&lt;wsp:rsid wsp:val=&quot;02697903&quot;/&gt;&lt;wsp:rsid wsp:val=&quot;02F96569&quot;/&gt;&lt;wsp:rsid wsp:val=&quot;037A0D1E&quot;/&gt;&lt;wsp:rsid wsp:val=&quot;039A1FC0&quot;/&gt;&lt;wsp:rsid wsp:val=&quot;03C03384&quot;/&gt;&lt;wsp:rsid wsp:val=&quot;03EA7B21&quot;/&gt;&lt;wsp:rsid wsp:val=&quot;04567FC7&quot;/&gt;&lt;wsp:rsid wsp:val=&quot;04642EFB&quot;/&gt;&lt;wsp:rsid wsp:val=&quot;048B1812&quot;/&gt;&lt;wsp:rsid wsp:val=&quot;04907E86&quot;/&gt;&lt;wsp:rsid wsp:val=&quot;054F0F59&quot;/&gt;&lt;wsp:rsid wsp:val=&quot;056C36CA&quot;/&gt;&lt;wsp:rsid wsp:val=&quot;059A5307&quot;/&gt;&lt;wsp:rsid wsp:val=&quot;05CB22B8&quot;/&gt;&lt;wsp:rsid wsp:val=&quot;05E21B0A&quot;/&gt;&lt;wsp:rsid wsp:val=&quot;05F83EAE&quot;/&gt;&lt;wsp:rsid wsp:val=&quot;063E7D85&quot;/&gt;&lt;wsp:rsid wsp:val=&quot;06613FB4&quot;/&gt;&lt;wsp:rsid wsp:val=&quot;06B36009&quot;/&gt;&lt;wsp:rsid wsp:val=&quot;06C471E4&quot;/&gt;&lt;wsp:rsid wsp:val=&quot;06CC630A&quot;/&gt;&lt;wsp:rsid wsp:val=&quot;07023993&quot;/&gt;&lt;wsp:rsid wsp:val=&quot;07293586&quot;/&gt;&lt;wsp:rsid wsp:val=&quot;07295285&quot;/&gt;&lt;wsp:rsid wsp:val=&quot;074053AA&quot;/&gt;&lt;wsp:rsid wsp:val=&quot;07636392&quot;/&gt;&lt;wsp:rsid wsp:val=&quot;07770C56&quot;/&gt;&lt;wsp:rsid wsp:val=&quot;07CC2DE3&quot;/&gt;&lt;wsp:rsid wsp:val=&quot;080F5E3B&quot;/&gt;&lt;wsp:rsid wsp:val=&quot;0818196E&quot;/&gt;&lt;wsp:rsid wsp:val=&quot;087152CF&quot;/&gt;&lt;wsp:rsid wsp:val=&quot;092217DD&quot;/&gt;&lt;wsp:rsid wsp:val=&quot;09342E0D&quot;/&gt;&lt;wsp:rsid wsp:val=&quot;0934383A&quot;/&gt;&lt;wsp:rsid wsp:val=&quot;093A7294&quot;/&gt;&lt;wsp:rsid wsp:val=&quot;09893F4C&quot;/&gt;&lt;wsp:rsid wsp:val=&quot;09D62FEF&quot;/&gt;&lt;wsp:rsid wsp:val=&quot;09E035A2&quot;/&gt;&lt;wsp:rsid wsp:val=&quot;09E203D4&quot;/&gt;&lt;wsp:rsid wsp:val=&quot;0A105D5F&quot;/&gt;&lt;wsp:rsid wsp:val=&quot;0A263993&quot;/&gt;&lt;wsp:rsid wsp:val=&quot;0A2D3AC2&quot;/&gt;&lt;wsp:rsid wsp:val=&quot;0A70257D&quot;/&gt;&lt;wsp:rsid wsp:val=&quot;0A8B1CA2&quot;/&gt;&lt;wsp:rsid wsp:val=&quot;0AA755DF&quot;/&gt;&lt;wsp:rsid wsp:val=&quot;0AC64AD7&quot;/&gt;&lt;wsp:rsid wsp:val=&quot;0AF42E58&quot;/&gt;&lt;wsp:rsid wsp:val=&quot;0B0E0708&quot;/&gt;&lt;wsp:rsid wsp:val=&quot;0B0E5950&quot;/&gt;&lt;wsp:rsid wsp:val=&quot;0B120D44&quot;/&gt;&lt;wsp:rsid wsp:val=&quot;0B6C2CB7&quot;/&gt;&lt;wsp:rsid wsp:val=&quot;0BD27BF6&quot;/&gt;&lt;wsp:rsid wsp:val=&quot;0BE44814&quot;/&gt;&lt;wsp:rsid wsp:val=&quot;0C1C4A8B&quot;/&gt;&lt;wsp:rsid wsp:val=&quot;0C3B3C7D&quot;/&gt;&lt;wsp:rsid wsp:val=&quot;0C586940&quot;/&gt;&lt;wsp:rsid wsp:val=&quot;0CAB2EAE&quot;/&gt;&lt;wsp:rsid wsp:val=&quot;0CBC6728&quot;/&gt;&lt;wsp:rsid wsp:val=&quot;0CD61310&quot;/&gt;&lt;wsp:rsid wsp:val=&quot;0D0575D5&quot;/&gt;&lt;wsp:rsid wsp:val=&quot;0D621C7D&quot;/&gt;&lt;wsp:rsid wsp:val=&quot;0DA30E9A&quot;/&gt;&lt;wsp:rsid wsp:val=&quot;0E1F3E0E&quot;/&gt;&lt;wsp:rsid wsp:val=&quot;0E234BDE&quot;/&gt;&lt;wsp:rsid wsp:val=&quot;0E573683&quot;/&gt;&lt;wsp:rsid wsp:val=&quot;0E73034D&quot;/&gt;&lt;wsp:rsid wsp:val=&quot;0E7865F4&quot;/&gt;&lt;wsp:rsid wsp:val=&quot;0E927F36&quot;/&gt;&lt;wsp:rsid wsp:val=&quot;0EBF51C2&quot;/&gt;&lt;wsp:rsid wsp:val=&quot;0F13775A&quot;/&gt;&lt;wsp:rsid wsp:val=&quot;0F19589C&quot;/&gt;&lt;wsp:rsid wsp:val=&quot;0F3B63B4&quot;/&gt;&lt;wsp:rsid wsp:val=&quot;0F5F45FE&quot;/&gt;&lt;wsp:rsid wsp:val=&quot;0F9A112B&quot;/&gt;&lt;wsp:rsid wsp:val=&quot;104064BB&quot;/&gt;&lt;wsp:rsid wsp:val=&quot;106D2F64&quot;/&gt;&lt;wsp:rsid wsp:val=&quot;108A53B2&quot;/&gt;&lt;wsp:rsid wsp:val=&quot;10B63710&quot;/&gt;&lt;wsp:rsid wsp:val=&quot;10F10820&quot;/&gt;&lt;wsp:rsid wsp:val=&quot;111605EC&quot;/&gt;&lt;wsp:rsid wsp:val=&quot;111C2F7A&quot;/&gt;&lt;wsp:rsid wsp:val=&quot;11665CA1&quot;/&gt;&lt;wsp:rsid wsp:val=&quot;11772A66&quot;/&gt;&lt;wsp:rsid wsp:val=&quot;11C01443&quot;/&gt;&lt;wsp:rsid wsp:val=&quot;120F5AE3&quot;/&gt;&lt;wsp:rsid wsp:val=&quot;123C3C07&quot;/&gt;&lt;wsp:rsid wsp:val=&quot;1279626B&quot;/&gt;&lt;wsp:rsid wsp:val=&quot;12871A45&quot;/&gt;&lt;wsp:rsid wsp:val=&quot;12C12E2C&quot;/&gt;&lt;wsp:rsid wsp:val=&quot;12FD48CE&quot;/&gt;&lt;wsp:rsid wsp:val=&quot;13951726&quot;/&gt;&lt;wsp:rsid wsp:val=&quot;143320C1&quot;/&gt;&lt;wsp:rsid wsp:val=&quot;14396509&quot;/&gt;&lt;wsp:rsid wsp:val=&quot;14DD2C3C&quot;/&gt;&lt;wsp:rsid wsp:val=&quot;14E16BE7&quot;/&gt;&lt;wsp:rsid wsp:val=&quot;15A11F3B&quot;/&gt;&lt;wsp:rsid wsp:val=&quot;15E67E0E&quot;/&gt;&lt;wsp:rsid wsp:val=&quot;16087E1D&quot;/&gt;&lt;wsp:rsid wsp:val=&quot;16CA4982&quot;/&gt;&lt;wsp:rsid wsp:val=&quot;16D16777&quot;/&gt;&lt;wsp:rsid wsp:val=&quot;1726002F&quot;/&gt;&lt;wsp:rsid wsp:val=&quot;17271A20&quot;/&gt;&lt;wsp:rsid wsp:val=&quot;17545C0C&quot;/&gt;&lt;wsp:rsid wsp:val=&quot;17701D14&quot;/&gt;&lt;wsp:rsid wsp:val=&quot;17735226&quot;/&gt;&lt;wsp:rsid wsp:val=&quot;17EE3F4E&quot;/&gt;&lt;wsp:rsid wsp:val=&quot;187A33BE&quot;/&gt;&lt;wsp:rsid wsp:val=&quot;189F624C&quot;/&gt;&lt;wsp:rsid wsp:val=&quot;192640DD&quot;/&gt;&lt;wsp:rsid wsp:val=&quot;19626972&quot;/&gt;&lt;wsp:rsid wsp:val=&quot;1A1C66C0&quot;/&gt;&lt;wsp:rsid wsp:val=&quot;1A402445&quot;/&gt;&lt;wsp:rsid wsp:val=&quot;1A42393B&quot;/&gt;&lt;wsp:rsid wsp:val=&quot;1A4D4D07&quot;/&gt;&lt;wsp:rsid wsp:val=&quot;1A866206&quot;/&gt;&lt;wsp:rsid wsp:val=&quot;1AAD45DE&quot;/&gt;&lt;wsp:rsid wsp:val=&quot;1B046F80&quot;/&gt;&lt;wsp:rsid wsp:val=&quot;1B2E4CF7&quot;/&gt;&lt;wsp:rsid wsp:val=&quot;1B3267B5&quot;/&gt;&lt;wsp:rsid wsp:val=&quot;1B40161D&quot;/&gt;&lt;wsp:rsid wsp:val=&quot;1B4021C6&quot;/&gt;&lt;wsp:rsid wsp:val=&quot;1B441859&quot;/&gt;&lt;wsp:rsid wsp:val=&quot;1B510FC3&quot;/&gt;&lt;wsp:rsid wsp:val=&quot;1B563749&quot;/&gt;&lt;wsp:rsid wsp:val=&quot;1B5B6495&quot;/&gt;&lt;wsp:rsid wsp:val=&quot;1B6606B1&quot;/&gt;&lt;wsp:rsid wsp:val=&quot;1B824D88&quot;/&gt;&lt;wsp:rsid wsp:val=&quot;1B8A7C8B&quot;/&gt;&lt;wsp:rsid wsp:val=&quot;1C176EFB&quot;/&gt;&lt;wsp:rsid wsp:val=&quot;1C5E7925&quot;/&gt;&lt;wsp:rsid wsp:val=&quot;1C6C3AC3&quot;/&gt;&lt;wsp:rsid wsp:val=&quot;1C8938FF&quot;/&gt;&lt;wsp:rsid wsp:val=&quot;1CBD236E&quot;/&gt;&lt;wsp:rsid wsp:val=&quot;1CFD070F&quot;/&gt;&lt;wsp:rsid wsp:val=&quot;1D155248&quot;/&gt;&lt;wsp:rsid wsp:val=&quot;1D2C7FD9&quot;/&gt;&lt;wsp:rsid wsp:val=&quot;1D5F6196&quot;/&gt;&lt;wsp:rsid wsp:val=&quot;1D6132A5&quot;/&gt;&lt;wsp:rsid wsp:val=&quot;1D8E56D5&quot;/&gt;&lt;wsp:rsid wsp:val=&quot;1DE751F7&quot;/&gt;&lt;wsp:rsid wsp:val=&quot;1E7A43DA&quot;/&gt;&lt;wsp:rsid wsp:val=&quot;1F6B2DBC&quot;/&gt;&lt;wsp:rsid wsp:val=&quot;1FE7539E&quot;/&gt;&lt;wsp:rsid wsp:val=&quot;20671BE0&quot;/&gt;&lt;wsp:rsid wsp:val=&quot;20963CB8&quot;/&gt;&lt;wsp:rsid wsp:val=&quot;20A81A1B&quot;/&gt;&lt;wsp:rsid wsp:val=&quot;20B07FB6&quot;/&gt;&lt;wsp:rsid wsp:val=&quot;20B646FB&quot;/&gt;&lt;wsp:rsid wsp:val=&quot;21387DBA&quot;/&gt;&lt;wsp:rsid wsp:val=&quot;213B74B1&quot;/&gt;&lt;wsp:rsid wsp:val=&quot;213F54F3&quot;/&gt;&lt;wsp:rsid wsp:val=&quot;215A2310&quot;/&gt;&lt;wsp:rsid wsp:val=&quot;216C0E52&quot;/&gt;&lt;wsp:rsid wsp:val=&quot;21CA2ECA&quot;/&gt;&lt;wsp:rsid wsp:val=&quot;21DE318A&quot;/&gt;&lt;wsp:rsid wsp:val=&quot;21EF5B80&quot;/&gt;&lt;wsp:rsid wsp:val=&quot;22576990&quot;/&gt;&lt;wsp:rsid wsp:val=&quot;22622EFD&quot;/&gt;&lt;wsp:rsid wsp:val=&quot;227463C6&quot;/&gt;&lt;wsp:rsid wsp:val=&quot;22F47480&quot;/&gt;&lt;wsp:rsid wsp:val=&quot;23527940&quot;/&gt;&lt;wsp:rsid wsp:val=&quot;23600250&quot;/&gt;&lt;wsp:rsid wsp:val=&quot;23DE1C48&quot;/&gt;&lt;wsp:rsid wsp:val=&quot;23FB6F41&quot;/&gt;&lt;wsp:rsid wsp:val=&quot;240160E8&quot;/&gt;&lt;wsp:rsid wsp:val=&quot;240210CD&quot;/&gt;&lt;wsp:rsid wsp:val=&quot;24BF09F7&quot;/&gt;&lt;wsp:rsid wsp:val=&quot;252D53FE&quot;/&gt;&lt;wsp:rsid wsp:val=&quot;254566B7&quot;/&gt;&lt;wsp:rsid wsp:val=&quot;25691E44&quot;/&gt;&lt;wsp:rsid wsp:val=&quot;25B1762D&quot;/&gt;&lt;wsp:rsid wsp:val=&quot;25EC2D81&quot;/&gt;&lt;wsp:rsid wsp:val=&quot;260F4F75&quot;/&gt;&lt;wsp:rsid wsp:val=&quot;26462A5F&quot;/&gt;&lt;wsp:rsid wsp:val=&quot;26F47ABA&quot;/&gt;&lt;wsp:rsid wsp:val=&quot;27032D45&quot;/&gt;&lt;wsp:rsid wsp:val=&quot;277057A2&quot;/&gt;&lt;wsp:rsid wsp:val=&quot;27904770&quot;/&gt;&lt;wsp:rsid wsp:val=&quot;27F54C9D&quot;/&gt;&lt;wsp:rsid wsp:val=&quot;288C0F7C&quot;/&gt;&lt;wsp:rsid wsp:val=&quot;28B44355&quot;/&gt;&lt;wsp:rsid wsp:val=&quot;28F5491F&quot;/&gt;&lt;wsp:rsid wsp:val=&quot;29032630&quot;/&gt;&lt;wsp:rsid wsp:val=&quot;29206EB8&quot;/&gt;&lt;wsp:rsid wsp:val=&quot;294C0E25&quot;/&gt;&lt;wsp:rsid wsp:val=&quot;29595666&quot;/&gt;&lt;wsp:rsid wsp:val=&quot;296A72A4&quot;/&gt;&lt;wsp:rsid wsp:val=&quot;29874881&quot;/&gt;&lt;wsp:rsid wsp:val=&quot;29AE7C0F&quot;/&gt;&lt;wsp:rsid wsp:val=&quot;29E325E0&quot;/&gt;&lt;wsp:rsid wsp:val=&quot;2A452503&quot;/&gt;&lt;wsp:rsid wsp:val=&quot;2A705676&quot;/&gt;&lt;wsp:rsid wsp:val=&quot;2AFC1CBF&quot;/&gt;&lt;wsp:rsid wsp:val=&quot;2B310F4C&quot;/&gt;&lt;wsp:rsid wsp:val=&quot;2BA936A8&quot;/&gt;&lt;wsp:rsid wsp:val=&quot;2BD1517F&quot;/&gt;&lt;wsp:rsid wsp:val=&quot;2BF229BE&quot;/&gt;&lt;wsp:rsid wsp:val=&quot;2C2E2B46&quot;/&gt;&lt;wsp:rsid wsp:val=&quot;2C315A5A&quot;/&gt;&lt;wsp:rsid wsp:val=&quot;2C331511&quot;/&gt;&lt;wsp:rsid wsp:val=&quot;2C371E9F&quot;/&gt;&lt;wsp:rsid wsp:val=&quot;2C4B1C25&quot;/&gt;&lt;wsp:rsid wsp:val=&quot;2CFC1A8F&quot;/&gt;&lt;wsp:rsid wsp:val=&quot;2D3155C9&quot;/&gt;&lt;wsp:rsid wsp:val=&quot;2D473B57&quot;/&gt;&lt;wsp:rsid wsp:val=&quot;2D816CFF&quot;/&gt;&lt;wsp:rsid wsp:val=&quot;2D8C7779&quot;/&gt;&lt;wsp:rsid wsp:val=&quot;2D9E56F5&quot;/&gt;&lt;wsp:rsid wsp:val=&quot;2E641899&quot;/&gt;&lt;wsp:rsid wsp:val=&quot;2E667F96&quot;/&gt;&lt;wsp:rsid wsp:val=&quot;2E8226AB&quot;/&gt;&lt;wsp:rsid wsp:val=&quot;2E9459BC&quot;/&gt;&lt;wsp:rsid wsp:val=&quot;2EC25C3B&quot;/&gt;&lt;wsp:rsid wsp:val=&quot;2EF32135&quot;/&gt;&lt;wsp:rsid wsp:val=&quot;2F29510F&quot;/&gt;&lt;wsp:rsid wsp:val=&quot;2FAA4B64&quot;/&gt;&lt;wsp:rsid wsp:val=&quot;2FC63BC7&quot;/&gt;&lt;wsp:rsid wsp:val=&quot;2FD065E6&quot;/&gt;&lt;wsp:rsid wsp:val=&quot;2FD96870&quot;/&gt;&lt;wsp:rsid wsp:val=&quot;303F6918&quot;/&gt;&lt;wsp:rsid wsp:val=&quot;304D3E0A&quot;/&gt;&lt;wsp:rsid wsp:val=&quot;30580BC9&quot;/&gt;&lt;wsp:rsid wsp:val=&quot;311E2ED7&quot;/&gt;&lt;wsp:rsid wsp:val=&quot;315619EE&quot;/&gt;&lt;wsp:rsid wsp:val=&quot;315C449C&quot;/&gt;&lt;wsp:rsid wsp:val=&quot;31B82709&quot;/&gt;&lt;wsp:rsid wsp:val=&quot;31D05482&quot;/&gt;&lt;wsp:rsid wsp:val=&quot;31E838BD&quot;/&gt;&lt;wsp:rsid wsp:val=&quot;320046C2&quot;/&gt;&lt;wsp:rsid wsp:val=&quot;32176BC6&quot;/&gt;&lt;wsp:rsid wsp:val=&quot;32285FED&quot;/&gt;&lt;wsp:rsid wsp:val=&quot;32400B34&quot;/&gt;&lt;wsp:rsid wsp:val=&quot;32487CC9&quot;/&gt;&lt;wsp:rsid wsp:val=&quot;32990C4B&quot;/&gt;&lt;wsp:rsid wsp:val=&quot;329E6876&quot;/&gt;&lt;wsp:rsid wsp:val=&quot;32A24394&quot;/&gt;&lt;wsp:rsid wsp:val=&quot;32B253BA&quot;/&gt;&lt;wsp:rsid wsp:val=&quot;32F41CDA&quot;/&gt;&lt;wsp:rsid wsp:val=&quot;333015F2&quot;/&gt;&lt;wsp:rsid wsp:val=&quot;334B6320&quot;/&gt;&lt;wsp:rsid wsp:val=&quot;33D934D4&quot;/&gt;&lt;wsp:rsid wsp:val=&quot;33FE2F6A&quot;/&gt;&lt;wsp:rsid wsp:val=&quot;340E07E5&quot;/&gt;&lt;wsp:rsid wsp:val=&quot;340E7385&quot;/&gt;&lt;wsp:rsid wsp:val=&quot;34235BF7&quot;/&gt;&lt;wsp:rsid wsp:val=&quot;35804B08&quot;/&gt;&lt;wsp:rsid wsp:val=&quot;358C5FA8&quot;/&gt;&lt;wsp:rsid wsp:val=&quot;35C15DF1&quot;/&gt;&lt;wsp:rsid wsp:val=&quot;35C3307A&quot;/&gt;&lt;wsp:rsid wsp:val=&quot;36074A7F&quot;/&gt;&lt;wsp:rsid wsp:val=&quot;363061D5&quot;/&gt;&lt;wsp:rsid wsp:val=&quot;36923549&quot;/&gt;&lt;wsp:rsid wsp:val=&quot;369A386C&quot;/&gt;&lt;wsp:rsid wsp:val=&quot;36B75FBF&quot;/&gt;&lt;wsp:rsid wsp:val=&quot;36BD0C45&quot;/&gt;&lt;wsp:rsid wsp:val=&quot;370D3562&quot;/&gt;&lt;wsp:rsid wsp:val=&quot;37E00298&quot;/&gt;&lt;wsp:rsid wsp:val=&quot;38B302F9&quot;/&gt;&lt;wsp:rsid wsp:val=&quot;38E210B2&quot;/&gt;&lt;wsp:rsid wsp:val=&quot;38F12CD3&quot;/&gt;&lt;wsp:rsid wsp:val=&quot;38F94775&quot;/&gt;&lt;wsp:rsid wsp:val=&quot;38FD2FD2&quot;/&gt;&lt;wsp:rsid wsp:val=&quot;38FF1793&quot;/&gt;&lt;wsp:rsid wsp:val=&quot;39013433&quot;/&gt;&lt;wsp:rsid wsp:val=&quot;392971ED&quot;/&gt;&lt;wsp:rsid wsp:val=&quot;39325651&quot;/&gt;&lt;wsp:rsid wsp:val=&quot;398B744E&quot;/&gt;&lt;wsp:rsid wsp:val=&quot;399D5F12&quot;/&gt;&lt;wsp:rsid wsp:val=&quot;39CB2FBF&quot;/&gt;&lt;wsp:rsid wsp:val=&quot;3A4670B5&quot;/&gt;&lt;wsp:rsid wsp:val=&quot;3A872856&quot;/&gt;&lt;wsp:rsid wsp:val=&quot;3AFA4CAF&quot;/&gt;&lt;wsp:rsid wsp:val=&quot;3B3763D1&quot;/&gt;&lt;wsp:rsid wsp:val=&quot;3B3D2F93&quot;/&gt;&lt;wsp:rsid wsp:val=&quot;3C2F6E1E&quot;/&gt;&lt;wsp:rsid wsp:val=&quot;3C3C31E8&quot;/&gt;&lt;wsp:rsid wsp:val=&quot;3C4F64BA&quot;/&gt;&lt;wsp:rsid wsp:val=&quot;3CA56B60&quot;/&gt;&lt;wsp:rsid wsp:val=&quot;3CDA245A&quot;/&gt;&lt;wsp:rsid wsp:val=&quot;3D1E06B7&quot;/&gt;&lt;wsp:rsid wsp:val=&quot;3DB043C0&quot;/&gt;&lt;wsp:rsid wsp:val=&quot;3DEF79C7&quot;/&gt;&lt;wsp:rsid wsp:val=&quot;3E144AB4&quot;/&gt;&lt;wsp:rsid wsp:val=&quot;3E7E4657&quot;/&gt;&lt;wsp:rsid wsp:val=&quot;3E991470&quot;/&gt;&lt;wsp:rsid wsp:val=&quot;3EDA0523&quot;/&gt;&lt;wsp:rsid wsp:val=&quot;3EF84CDF&quot;/&gt;&lt;wsp:rsid wsp:val=&quot;3F1D06AA&quot;/&gt;&lt;wsp:rsid wsp:val=&quot;3F546392&quot;/&gt;&lt;wsp:rsid wsp:val=&quot;3FC92E0A&quot;/&gt;&lt;wsp:rsid wsp:val=&quot;40383A65&quot;/&gt;&lt;wsp:rsid wsp:val=&quot;407A6407&quot;/&gt;&lt;wsp:rsid wsp:val=&quot;41684E1C&quot;/&gt;&lt;wsp:rsid wsp:val=&quot;416D1BFB&quot;/&gt;&lt;wsp:rsid wsp:val=&quot;4200449D&quot;/&gt;&lt;wsp:rsid wsp:val=&quot;423A3BCC&quot;/&gt;&lt;wsp:rsid wsp:val=&quot;424E57D2&quot;/&gt;&lt;wsp:rsid wsp:val=&quot;42757DB3&quot;/&gt;&lt;wsp:rsid wsp:val=&quot;42A26C2F&quot;/&gt;&lt;wsp:rsid wsp:val=&quot;42B26C49&quot;/&gt;&lt;wsp:rsid wsp:val=&quot;42FA2AB5&quot;/&gt;&lt;wsp:rsid wsp:val=&quot;433A6FE6&quot;/&gt;&lt;wsp:rsid wsp:val=&quot;433D64FA&quot;/&gt;&lt;wsp:rsid wsp:val=&quot;43480868&quot;/&gt;&lt;wsp:rsid wsp:val=&quot;4350713C&quot;/&gt;&lt;wsp:rsid wsp:val=&quot;435962BD&quot;/&gt;&lt;wsp:rsid wsp:val=&quot;436653E0&quot;/&gt;&lt;wsp:rsid wsp:val=&quot;43B10158&quot;/&gt;&lt;wsp:rsid wsp:val=&quot;43B34117&quot;/&gt;&lt;wsp:rsid wsp:val=&quot;43C4431A&quot;/&gt;&lt;wsp:rsid wsp:val=&quot;44265840&quot;/&gt;&lt;wsp:rsid wsp:val=&quot;44540DDC&quot;/&gt;&lt;wsp:rsid wsp:val=&quot;44B537D0&quot;/&gt;&lt;wsp:rsid wsp:val=&quot;44B951CC&quot;/&gt;&lt;wsp:rsid wsp:val=&quot;44C83FFA&quot;/&gt;&lt;wsp:rsid wsp:val=&quot;44CD14E0&quot;/&gt;&lt;wsp:rsid wsp:val=&quot;44F20B0B&quot;/&gt;&lt;wsp:rsid wsp:val=&quot;452E5F4C&quot;/&gt;&lt;wsp:rsid wsp:val=&quot;45612018&quot;/&gt;&lt;wsp:rsid wsp:val=&quot;45715A90&quot;/&gt;&lt;wsp:rsid wsp:val=&quot;458946E9&quot;/&gt;&lt;wsp:rsid wsp:val=&quot;45A47C0E&quot;/&gt;&lt;wsp:rsid wsp:val=&quot;45EA1B26&quot;/&gt;&lt;wsp:rsid wsp:val=&quot;46100E71&quot;/&gt;&lt;wsp:rsid wsp:val=&quot;462E76DF&quot;/&gt;&lt;wsp:rsid wsp:val=&quot;464A7373&quot;/&gt;&lt;wsp:rsid wsp:val=&quot;46577FD6&quot;/&gt;&lt;wsp:rsid wsp:val=&quot;46D955A7&quot;/&gt;&lt;wsp:rsid wsp:val=&quot;46E65CFB&quot;/&gt;&lt;wsp:rsid wsp:val=&quot;47133957&quot;/&gt;&lt;wsp:rsid wsp:val=&quot;476D03CA&quot;/&gt;&lt;wsp:rsid wsp:val=&quot;476D10A2&quot;/&gt;&lt;wsp:rsid wsp:val=&quot;47A07E0C&quot;/&gt;&lt;wsp:rsid wsp:val=&quot;47AC2656&quot;/&gt;&lt;wsp:rsid wsp:val=&quot;47E66256&quot;/&gt;&lt;wsp:rsid wsp:val=&quot;4870272E&quot;/&gt;&lt;wsp:rsid wsp:val=&quot;48821C16&quot;/&gt;&lt;wsp:rsid wsp:val=&quot;48930938&quot;/&gt;&lt;wsp:rsid wsp:val=&quot;489370E2&quot;/&gt;&lt;wsp:rsid wsp:val=&quot;48C02DEC&quot;/&gt;&lt;wsp:rsid wsp:val=&quot;493F7844&quot;/&gt;&lt;wsp:rsid wsp:val=&quot;49C634A9&quot;/&gt;&lt;wsp:rsid wsp:val=&quot;49D031AF&quot;/&gt;&lt;wsp:rsid wsp:val=&quot;49DC7715&quot;/&gt;&lt;wsp:rsid wsp:val=&quot;4A023139&quot;/&gt;&lt;wsp:rsid wsp:val=&quot;4A505359&quot;/&gt;&lt;wsp:rsid wsp:val=&quot;4A7B576F&quot;/&gt;&lt;wsp:rsid wsp:val=&quot;4AF561A9&quot;/&gt;&lt;wsp:rsid wsp:val=&quot;4C45370E&quot;/&gt;&lt;wsp:rsid wsp:val=&quot;4C4A0649&quot;/&gt;&lt;wsp:rsid wsp:val=&quot;4C5C47F8&quot;/&gt;&lt;wsp:rsid wsp:val=&quot;4C7E5ECA&quot;/&gt;&lt;wsp:rsid wsp:val=&quot;4C876AA5&quot;/&gt;&lt;wsp:rsid wsp:val=&quot;4CA44B8F&quot;/&gt;&lt;wsp:rsid wsp:val=&quot;4CBE21F7&quot;/&gt;&lt;wsp:rsid wsp:val=&quot;4CED0BE3&quot;/&gt;&lt;wsp:rsid wsp:val=&quot;4D0E00FB&quot;/&gt;&lt;wsp:rsid wsp:val=&quot;4D176606&quot;/&gt;&lt;wsp:rsid wsp:val=&quot;4D214C67&quot;/&gt;&lt;wsp:rsid wsp:val=&quot;4DEC4FB0&quot;/&gt;&lt;wsp:rsid wsp:val=&quot;4E075D8A&quot;/&gt;&lt;wsp:rsid wsp:val=&quot;4EBC7AB1&quot;/&gt;&lt;wsp:rsid wsp:val=&quot;4EC00FAD&quot;/&gt;&lt;wsp:rsid wsp:val=&quot;4F0E040F&quot;/&gt;&lt;wsp:rsid wsp:val=&quot;4F9843DC&quot;/&gt;&lt;wsp:rsid wsp:val=&quot;4FA34CA0&quot;/&gt;&lt;wsp:rsid wsp:val=&quot;4FBA00C1&quot;/&gt;&lt;wsp:rsid wsp:val=&quot;4FC62A8C&quot;/&gt;&lt;wsp:rsid wsp:val=&quot;4FE20F0D&quot;/&gt;&lt;wsp:rsid wsp:val=&quot;4FE51552&quot;/&gt;&lt;wsp:rsid wsp:val=&quot;501B02F3&quot;/&gt;&lt;wsp:rsid wsp:val=&quot;50504C4B&quot;/&gt;&lt;wsp:rsid wsp:val=&quot;509C6E7C&quot;/&gt;&lt;wsp:rsid wsp:val=&quot;509E53F3&quot;/&gt;&lt;wsp:rsid wsp:val=&quot;51165A18&quot;/&gt;&lt;wsp:rsid wsp:val=&quot;51453215&quot;/&gt;&lt;wsp:rsid wsp:val=&quot;51475BCA&quot;/&gt;&lt;wsp:rsid wsp:val=&quot;5162104E&quot;/&gt;&lt;wsp:rsid wsp:val=&quot;5199753B&quot;/&gt;&lt;wsp:rsid wsp:val=&quot;51B2280A&quot;/&gt;&lt;wsp:rsid wsp:val=&quot;52151F1E&quot;/&gt;&lt;wsp:rsid wsp:val=&quot;522F6979&quot;/&gt;&lt;wsp:rsid wsp:val=&quot;52630848&quot;/&gt;&lt;wsp:rsid wsp:val=&quot;52A700EA&quot;/&gt;&lt;wsp:rsid wsp:val=&quot;532335FF&quot;/&gt;&lt;wsp:rsid wsp:val=&quot;53662188&quot;/&gt;&lt;wsp:rsid wsp:val=&quot;53A039CC&quot;/&gt;&lt;wsp:rsid wsp:val=&quot;53A1505A&quot;/&gt;&lt;wsp:rsid wsp:val=&quot;54063E08&quot;/&gt;&lt;wsp:rsid wsp:val=&quot;540B2DA8&quot;/&gt;&lt;wsp:rsid wsp:val=&quot;54107FD8&quot;/&gt;&lt;wsp:rsid wsp:val=&quot;54316065&quot;/&gt;&lt;wsp:rsid wsp:val=&quot;543437E8&quot;/&gt;&lt;wsp:rsid wsp:val=&quot;54F73313&quot;/&gt;&lt;wsp:rsid wsp:val=&quot;54F80955&quot;/&gt;&lt;wsp:rsid wsp:val=&quot;550453E9&quot;/&gt;&lt;wsp:rsid wsp:val=&quot;555144CA&quot;/&gt;&lt;wsp:rsid wsp:val=&quot;555170A7&quot;/&gt;&lt;wsp:rsid wsp:val=&quot;55647FBB&quot;/&gt;&lt;wsp:rsid wsp:val=&quot;557A08E3&quot;/&gt;&lt;wsp:rsid wsp:val=&quot;55801176&quot;/&gt;&lt;wsp:rsid wsp:val=&quot;5587536D&quot;/&gt;&lt;wsp:rsid wsp:val=&quot;559B174B&quot;/&gt;&lt;wsp:rsid wsp:val=&quot;559C7FD4&quot;/&gt;&lt;wsp:rsid wsp:val=&quot;55CE0CF4&quot;/&gt;&lt;wsp:rsid wsp:val=&quot;55E22FC9&quot;/&gt;&lt;wsp:rsid wsp:val=&quot;55F71F29&quot;/&gt;&lt;wsp:rsid wsp:val=&quot;56014AC9&quot;/&gt;&lt;wsp:rsid wsp:val=&quot;569D054D&quot;/&gt;&lt;wsp:rsid wsp:val=&quot;56B22A9C&quot;/&gt;&lt;wsp:rsid wsp:val=&quot;571F0A8A&quot;/&gt;&lt;wsp:rsid wsp:val=&quot;573065FF&quot;/&gt;&lt;wsp:rsid wsp:val=&quot;576D6DB8&quot;/&gt;&lt;wsp:rsid wsp:val=&quot;577500FA&quot;/&gt;&lt;wsp:rsid wsp:val=&quot;57B72A76&quot;/&gt;&lt;wsp:rsid wsp:val=&quot;57C3426C&quot;/&gt;&lt;wsp:rsid wsp:val=&quot;57CE1F93&quot;/&gt;&lt;wsp:rsid wsp:val=&quot;57D06F89&quot;/&gt;&lt;wsp:rsid wsp:val=&quot;57E31CC5&quot;/&gt;&lt;wsp:rsid wsp:val=&quot;585C345E&quot;/&gt;&lt;wsp:rsid wsp:val=&quot;588743D1&quot;/&gt;&lt;wsp:rsid wsp:val=&quot;5887701A&quot;/&gt;&lt;wsp:rsid wsp:val=&quot;58E510FA&quot;/&gt;&lt;wsp:rsid wsp:val=&quot;5953003B&quot;/&gt;&lt;wsp:rsid wsp:val=&quot;59C0439F&quot;/&gt;&lt;wsp:rsid wsp:val=&quot;5A1A3704&quot;/&gt;&lt;wsp:rsid wsp:val=&quot;5A426891&quot;/&gt;&lt;wsp:rsid wsp:val=&quot;5A666D5A&quot;/&gt;&lt;wsp:rsid wsp:val=&quot;5ABE2233&quot;/&gt;&lt;wsp:rsid wsp:val=&quot;5B653BED&quot;/&gt;&lt;wsp:rsid wsp:val=&quot;5B8B3CD5&quot;/&gt;&lt;wsp:rsid wsp:val=&quot;5B9318E1&quot;/&gt;&lt;wsp:rsid wsp:val=&quot;5B9D2CA7&quot;/&gt;&lt;wsp:rsid wsp:val=&quot;5BD5362F&quot;/&gt;&lt;wsp:rsid wsp:val=&quot;5BDF5D95&quot;/&gt;&lt;wsp:rsid wsp:val=&quot;5BFE7528&quot;/&gt;&lt;wsp:rsid wsp:val=&quot;5D0E538A&quot;/&gt;&lt;wsp:rsid wsp:val=&quot;5D2C2159&quot;/&gt;&lt;wsp:rsid wsp:val=&quot;5D3D3258&quot;/&gt;&lt;wsp:rsid wsp:val=&quot;5D7554B2&quot;/&gt;&lt;wsp:rsid wsp:val=&quot;5DB879D0&quot;/&gt;&lt;wsp:rsid wsp:val=&quot;5DCD1D16&quot;/&gt;&lt;wsp:rsid wsp:val=&quot;5DE3698D&quot;/&gt;&lt;wsp:rsid wsp:val=&quot;5E2467F1&quot;/&gt;&lt;wsp:rsid wsp:val=&quot;5E411833&quot;/&gt;&lt;wsp:rsid wsp:val=&quot;5F1A2B43&quot;/&gt;&lt;wsp:rsid wsp:val=&quot;5F1B274D&quot;/&gt;&lt;wsp:rsid wsp:val=&quot;5F481FAB&quot;/&gt;&lt;wsp:rsid wsp:val=&quot;5F8C7496&quot;/&gt;&lt;wsp:rsid wsp:val=&quot;5FB837BB&quot;/&gt;&lt;wsp:rsid wsp:val=&quot;60625073&quot;/&gt;&lt;wsp:rsid wsp:val=&quot;60CC405A&quot;/&gt;&lt;wsp:rsid wsp:val=&quot;61270AE7&quot;/&gt;&lt;wsp:rsid wsp:val=&quot;6133248A&quot;/&gt;&lt;wsp:rsid wsp:val=&quot;61B33961&quot;/&gt;&lt;wsp:rsid wsp:val=&quot;61C55830&quot;/&gt;&lt;wsp:rsid wsp:val=&quot;61E215D8&quot;/&gt;&lt;wsp:rsid wsp:val=&quot;621B3775&quot;/&gt;&lt;wsp:rsid wsp:val=&quot;62364782&quot;/&gt;&lt;wsp:rsid wsp:val=&quot;623E425F&quot;/&gt;&lt;wsp:rsid wsp:val=&quot;624D0DB3&quot;/&gt;&lt;wsp:rsid wsp:val=&quot;626F31C2&quot;/&gt;&lt;wsp:rsid wsp:val=&quot;62B465A8&quot;/&gt;&lt;wsp:rsid wsp:val=&quot;62C14CB5&quot;/&gt;&lt;wsp:rsid wsp:val=&quot;630E2CED&quot;/&gt;&lt;wsp:rsid wsp:val=&quot;634223EB&quot;/&gt;&lt;wsp:rsid wsp:val=&quot;6394356A&quot;/&gt;&lt;wsp:rsid wsp:val=&quot;63A460CF&quot;/&gt;&lt;wsp:rsid wsp:val=&quot;63A522B5&quot;/&gt;&lt;wsp:rsid wsp:val=&quot;63C61B2C&quot;/&gt;&lt;wsp:rsid wsp:val=&quot;63D40BE9&quot;/&gt;&lt;wsp:rsid wsp:val=&quot;63FE31B3&quot;/&gt;&lt;wsp:rsid wsp:val=&quot;64102431&quot;/&gt;&lt;wsp:rsid wsp:val=&quot;646A2992&quot;/&gt;&lt;wsp:rsid wsp:val=&quot;648268B2&quot;/&gt;&lt;wsp:rsid wsp:val=&quot;64A5243A&quot;/&gt;&lt;wsp:rsid wsp:val=&quot;64F17317&quot;/&gt;&lt;wsp:rsid wsp:val=&quot;64F531DE&quot;/&gt;&lt;wsp:rsid wsp:val=&quot;650A3CB2&quot;/&gt;&lt;wsp:rsid wsp:val=&quot;65373578&quot;/&gt;&lt;wsp:rsid wsp:val=&quot;65B04360&quot;/&gt;&lt;wsp:rsid wsp:val=&quot;65FB3751&quot;/&gt;&lt;wsp:rsid wsp:val=&quot;66043CB8&quot;/&gt;&lt;wsp:rsid wsp:val=&quot;66761F34&quot;/&gt;&lt;wsp:rsid wsp:val=&quot;66B57B3B&quot;/&gt;&lt;wsp:rsid wsp:val=&quot;671F124A&quot;/&gt;&lt;wsp:rsid wsp:val=&quot;6724179D&quot;/&gt;&lt;wsp:rsid wsp:val=&quot;677A33C6&quot;/&gt;&lt;wsp:rsid wsp:val=&quot;67A749AA&quot;/&gt;&lt;wsp:rsid wsp:val=&quot;67AD755E&quot;/&gt;&lt;wsp:rsid wsp:val=&quot;67CD366A&quot;/&gt;&lt;wsp:rsid wsp:val=&quot;681F6961&quot;/&gt;&lt;wsp:rsid wsp:val=&quot;68280EF1&quot;/&gt;&lt;wsp:rsid wsp:val=&quot;68610A2F&quot;/&gt;&lt;wsp:rsid wsp:val=&quot;6866323E&quot;/&gt;&lt;wsp:rsid wsp:val=&quot;68805514&quot;/&gt;&lt;wsp:rsid wsp:val=&quot;69181B7F&quot;/&gt;&lt;wsp:rsid wsp:val=&quot;69316E2F&quot;/&gt;&lt;wsp:rsid wsp:val=&quot;694E2071&quot;/&gt;&lt;wsp:rsid wsp:val=&quot;69766163&quot;/&gt;&lt;wsp:rsid wsp:val=&quot;697A3B33&quot;/&gt;&lt;wsp:rsid wsp:val=&quot;698C6385&quot;/&gt;&lt;wsp:rsid wsp:val=&quot;69D44760&quot;/&gt;&lt;wsp:rsid wsp:val=&quot;69E64209&quot;/&gt;&lt;wsp:rsid wsp:val=&quot;6A325F84&quot;/&gt;&lt;wsp:rsid wsp:val=&quot;6A520EC7&quot;/&gt;&lt;wsp:rsid wsp:val=&quot;6A5A7AF3&quot;/&gt;&lt;wsp:rsid wsp:val=&quot;6A816762&quot;/&gt;&lt;wsp:rsid wsp:val=&quot;6AF87E20&quot;/&gt;&lt;wsp:rsid wsp:val=&quot;6B322639&quot;/&gt;&lt;wsp:rsid wsp:val=&quot;6B6F5467&quot;/&gt;&lt;wsp:rsid wsp:val=&quot;6BB876CB&quot;/&gt;&lt;wsp:rsid wsp:val=&quot;6BF60E00&quot;/&gt;&lt;wsp:rsid wsp:val=&quot;6BFF1941&quot;/&gt;&lt;wsp:rsid wsp:val=&quot;6C0057A1&quot;/&gt;&lt;wsp:rsid wsp:val=&quot;6C636C38&quot;/&gt;&lt;wsp:rsid wsp:val=&quot;6C8D65A5&quot;/&gt;&lt;wsp:rsid wsp:val=&quot;6CDB4725&quot;/&gt;&lt;wsp:rsid wsp:val=&quot;6CE42A28&quot;/&gt;&lt;wsp:rsid wsp:val=&quot;6D09759D&quot;/&gt;&lt;wsp:rsid wsp:val=&quot;6D5B5E32&quot;/&gt;&lt;wsp:rsid wsp:val=&quot;6DB34098&quot;/&gt;&lt;wsp:rsid wsp:val=&quot;6DB545B6&quot;/&gt;&lt;wsp:rsid wsp:val=&quot;6DD55BAC&quot;/&gt;&lt;wsp:rsid wsp:val=&quot;6DE02FB4&quot;/&gt;&lt;wsp:rsid wsp:val=&quot;6E35478E&quot;/&gt;&lt;wsp:rsid wsp:val=&quot;6E514CED&quot;/&gt;&lt;wsp:rsid wsp:val=&quot;6E625E8D&quot;/&gt;&lt;wsp:rsid wsp:val=&quot;6EB563D5&quot;/&gt;&lt;wsp:rsid wsp:val=&quot;6EC80BE7&quot;/&gt;&lt;wsp:rsid wsp:val=&quot;6ED92677&quot;/&gt;&lt;wsp:rsid wsp:val=&quot;6F1E4F37&quot;/&gt;&lt;wsp:rsid wsp:val=&quot;6F225983&quot;/&gt;&lt;wsp:rsid wsp:val=&quot;6F4A66DB&quot;/&gt;&lt;wsp:rsid wsp:val=&quot;6F82478D&quot;/&gt;&lt;wsp:rsid wsp:val=&quot;6FFC5590&quot;/&gt;&lt;wsp:rsid wsp:val=&quot;7007619F&quot;/&gt;&lt;wsp:rsid wsp:val=&quot;70103A27&quot;/&gt;&lt;wsp:rsid wsp:val=&quot;706D1DD0&quot;/&gt;&lt;wsp:rsid wsp:val=&quot;70856B87&quot;/&gt;&lt;wsp:rsid wsp:val=&quot;70D527EE&quot;/&gt;&lt;wsp:rsid wsp:val=&quot;70E14698&quot;/&gt;&lt;wsp:rsid wsp:val=&quot;715B5300&quot;/&gt;&lt;wsp:rsid wsp:val=&quot;71642BB3&quot;/&gt;&lt;wsp:rsid wsp:val=&quot;717F72CC&quot;/&gt;&lt;wsp:rsid wsp:val=&quot;71D27F8A&quot;/&gt;&lt;wsp:rsid wsp:val=&quot;71F7560E&quot;/&gt;&lt;wsp:rsid wsp:val=&quot;71FF5286&quot;/&gt;&lt;wsp:rsid wsp:val=&quot;72364AB3&quot;/&gt;&lt;wsp:rsid wsp:val=&quot;72553024&quot;/&gt;&lt;wsp:rsid wsp:val=&quot;73122968&quot;/&gt;&lt;wsp:rsid wsp:val=&quot;731F5D5E&quot;/&gt;&lt;wsp:rsid wsp:val=&quot;732561C7&quot;/&gt;&lt;wsp:rsid wsp:val=&quot;73382FAF&quot;/&gt;&lt;wsp:rsid wsp:val=&quot;734C38CC&quot;/&gt;&lt;wsp:rsid wsp:val=&quot;739A2FA5&quot;/&gt;&lt;wsp:rsid wsp:val=&quot;73C51AD5&quot;/&gt;&lt;wsp:rsid wsp:val=&quot;73EF4D14&quot;/&gt;&lt;wsp:rsid wsp:val=&quot;73F35CCE&quot;/&gt;&lt;wsp:rsid wsp:val=&quot;74014D4A&quot;/&gt;&lt;wsp:rsid wsp:val=&quot;741E793C&quot;/&gt;&lt;wsp:rsid wsp:val=&quot;745E3944&quot;/&gt;&lt;wsp:rsid wsp:val=&quot;747D4C15&quot;/&gt;&lt;wsp:rsid wsp:val=&quot;74975272&quot;/&gt;&lt;wsp:rsid wsp:val=&quot;74C36207&quot;/&gt;&lt;wsp:rsid wsp:val=&quot;75436590&quot;/&gt;&lt;wsp:rsid wsp:val=&quot;761B0680&quot;/&gt;&lt;wsp:rsid wsp:val=&quot;761C6913&quot;/&gt;&lt;wsp:rsid wsp:val=&quot;761E760B&quot;/&gt;&lt;wsp:rsid wsp:val=&quot;7635099D&quot;/&gt;&lt;wsp:rsid wsp:val=&quot;76952B30&quot;/&gt;&lt;wsp:rsid wsp:val=&quot;77623D91&quot;/&gt;&lt;wsp:rsid wsp:val=&quot;77762421&quot;/&gt;&lt;wsp:rsid wsp:val=&quot;77B56B1F&quot;/&gt;&lt;wsp:rsid wsp:val=&quot;77C34D48&quot;/&gt;&lt;wsp:rsid wsp:val=&quot;77F410E5&quot;/&gt;&lt;wsp:rsid wsp:val=&quot;780C4CA8&quot;/&gt;&lt;wsp:rsid wsp:val=&quot;780F09F4&quot;/&gt;&lt;wsp:rsid wsp:val=&quot;781D669A&quot;/&gt;&lt;wsp:rsid wsp:val=&quot;78842B44&quot;/&gt;&lt;wsp:rsid wsp:val=&quot;788516F0&quot;/&gt;&lt;wsp:rsid wsp:val=&quot;78A90480&quot;/&gt;&lt;wsp:rsid wsp:val=&quot;78D97A47&quot;/&gt;&lt;wsp:rsid wsp:val=&quot;78F662F8&quot;/&gt;&lt;wsp:rsid wsp:val=&quot;79537DD9&quot;/&gt;&lt;wsp:rsid wsp:val=&quot;799C1E8B&quot;/&gt;&lt;wsp:rsid wsp:val=&quot;7A117CFD&quot;/&gt;&lt;wsp:rsid wsp:val=&quot;7A364017&quot;/&gt;&lt;wsp:rsid wsp:val=&quot;7A4B6B81&quot;/&gt;&lt;wsp:rsid wsp:val=&quot;7A8265E1&quot;/&gt;&lt;wsp:rsid wsp:val=&quot;7A8368F0&quot;/&gt;&lt;wsp:rsid wsp:val=&quot;7AB12F89&quot;/&gt;&lt;wsp:rsid wsp:val=&quot;7AD46E75&quot;/&gt;&lt;wsp:rsid wsp:val=&quot;7AFB30F4&quot;/&gt;&lt;wsp:rsid wsp:val=&quot;7B5F0160&quot;/&gt;&lt;wsp:rsid wsp:val=&quot;7B683E90&quot;/&gt;&lt;wsp:rsid wsp:val=&quot;7B686D42&quot;/&gt;&lt;wsp:rsid wsp:val=&quot;7B841746&quot;/&gt;&lt;wsp:rsid wsp:val=&quot;7B9151EC&quot;/&gt;&lt;wsp:rsid wsp:val=&quot;7BA25F20&quot;/&gt;&lt;wsp:rsid wsp:val=&quot;7BCB41E6&quot;/&gt;&lt;wsp:rsid wsp:val=&quot;7BD0454F&quot;/&gt;&lt;wsp:rsid wsp:val=&quot;7C356F62&quot;/&gt;&lt;wsp:rsid wsp:val=&quot;7C5C6E33&quot;/&gt;&lt;wsp:rsid wsp:val=&quot;7C6C5AC7&quot;/&gt;&lt;wsp:rsid wsp:val=&quot;7CB07638&quot;/&gt;&lt;wsp:rsid wsp:val=&quot;7CC6544B&quot;/&gt;&lt;wsp:rsid wsp:val=&quot;7D0239FF&quot;/&gt;&lt;wsp:rsid wsp:val=&quot;7D292D1B&quot;/&gt;&lt;wsp:rsid wsp:val=&quot;7D2C1E1B&quot;/&gt;&lt;wsp:rsid wsp:val=&quot;7D5E40CD&quot;/&gt;&lt;wsp:rsid wsp:val=&quot;7D8843FA&quot;/&gt;&lt;wsp:rsid wsp:val=&quot;7D937A3B&quot;/&gt;&lt;wsp:rsid wsp:val=&quot;7DAC1103&quot;/&gt;&lt;wsp:rsid wsp:val=&quot;7DCD56F2&quot;/&gt;&lt;wsp:rsid wsp:val=&quot;7E577071&quot;/&gt;&lt;wsp:rsid wsp:val=&quot;7E9D7E83&quot;/&gt;&lt;wsp:rsid wsp:val=&quot;7EB06B62&quot;/&gt;&lt;wsp:rsid wsp:val=&quot;7EE32D92&quot;/&gt;&lt;wsp:rsid wsp:val=&quot;7F001CE7&quot;/&gt;&lt;wsp:rsid wsp:val=&quot;7F723C0F&quot;/&gt;&lt;wsp:rsid wsp:val=&quot;7F902601&quot;/&gt;&lt;wsp:rsid wsp:val=&quot;7FE47E50&quot;/&gt;&lt;/wsp:rsids&gt;&lt;/w:docPr&gt;&lt;w:body&gt;&lt;wx:sect&gt;&lt;w:p wsp:rsidR=&quot;00000000&quot; wsp:rsidRPr=&quot;00483F04&quot; wsp:rsidRDefault=&quot;00483F04&quot; wsp:rsidP=&quot;00483F04&quot;&gt;&lt;m:oMathPara&gt;&lt;m:oMath&gt;&lt;m:sSub&gt;&lt;m:sSubPr&gt;&lt;m:ctrlPr&gt;&lt;w:rPr&gt;&lt;w:rFonts w:ascii=&quot;Cambria Math&quot; w:h-ansi=&quot;Cambria Math&quot; w:cs=&quot;锟斤拷锟斤拷&quot;/&gt;&lt;wx:font wx:val=&quot;Cambria Math&quot;/&gt;&lt;w:b-cs/&gt;&lt;w:color w:val=&quot;000000&quot;/&gt;&lt;w:sz w:val=&quot;24&quot;/&gt;&lt;w:sfault=fault=fault=fault=fault=fault=fault=fault=z-cs w:vt=al=&quot;21&quot;/&gt;&lt;/w:rPr&gt;&lt;/m:ctrlPr&gt;&lt;/m:sSubPr&gt;&lt;m:e&gt;&lt;m:r&gt;&lt;w:rPr&gt;&lt;w:rFonts w:ascii=&quot;Cambria Math&quot; w:h-ansi=&quot;Cambria Math&quot; w:cs=&quot;锟斤拷锟斤拷&quot; w:hint=&quot;fareast&quot;/&gt;&lt;wx:font wx:val=&quot;Cambria Math&quot;/&gt;&lt;w:i/&gt;&lt;w:color w:valfault==&quot;0000fault=00&quot;/&gt;&lt;fault=w:sz wfault=:val=&quot;fault=24&quot;/&gt;&lt;fault=w:sz-cfault=s w:vafault=l=&quot;21&quot;/&gt;&lt;/w:rPr&gt;&lt;mt=:t&gt;V&lt;/m:t&gt;&lt;/m:r&gt;&lt;/m:e&gt;&lt;m:sub&gt;&lt;m:r&gt;&lt;w:rPr&gt;&lt;w:rFonts w:ascii=&quot;Cambria Math&quot; w:h-ansi=&quot;Cambria Math&quot; w:cs=&quot;锟斤拷锟斤拷&quot; w:hint=&quot;fareast&quot;/&gt;&lt;wx:font wx:valfault==&quot;锟斤拷锟斤&quot;0000fault=拷&quot;/&gt;&lt;w:i/&gt;&lt;00&quot;/&gt;&lt;fault=w:color w:vaw:sz wfault=l=&quot;000000&quot;/&gt;:val=&quot;fault=&lt;w:sz w:val=24&quot;/&gt;&lt;fault=&quot;24&quot;/&gt;&lt;w:sz-w:sz-cfault=cs w:val=&quot;21s w:vafault=&quot;/&gt;&lt;/w:rPr&gt;&lt;m:t&gt;锟斤拷&lt;/m:t&gt;&lt;/m:r&gt;&lt;/m:su&gt;&lt;mt=b&gt;&lt;/m:sSub&gt;&lt;m:r&gt;&lt;w:rPr&gt;&lt;w:rFonts w:ascii=&quot;Cvalfault=ambria Math&quot; w:h-ansi=&quot;ult=Cambria Math&quot; w:cs=&quot;锟斤ault=拷锟斤拷&quot; w:hint=&quot;fareasz wfault=t&quot;/&gt;&lt;wx:font wx:val=&quot;Caml=&quot;fault=bria Math&quot;/&gt;&lt;w:i/&gt;&lt;w:col/&gt;&lt;fault=or w:val=&quot;000000&quot;/&gt;&lt;w:szz-cfault= w:val=&quot;24&quot;/&gt;&lt;w:sz-cs w::vafault=val=&quot;21&quot;/&gt;&lt;/w:rPr&gt;&lt;m:t&gt;=&lt;/m:t&gt;&lt;/m:fault=r&gt;&lt;m:sSub&gt;&lt;m:sSubPrt=&gt;&lt;m:ct=&quot;ult=rlPr&gt;&lt;w:rPr&gt;&lt;w:rFonts w:asciiult==&quot;Cambria Math&quot; w:h-ansi=&quot;Cambria Math&quot; w:cs=&quot;锟斤拷锟斤拷&quot;/&gt;&lt;wx:ffault=ont wx:val=&quot;Cambria Math&quot;/&gt;&lt;w:b-cfault=s/&gt;&lt;w:i/&gt;&lt;w:color w:val=&quot;000000&quot;/fault=&gt;&lt;w:sz w:val=&quot;24&quot;/&gt;&lt;w:sz-cs w:valfault=fault==&quot;21&quot;/&gt;&lt;/w:rPr&gt;&lt;/m:ctrlPr&gt;&lt;/m:sSu=&quot;ult=bPr&gt;&lt;m:e&gt;&lt;m:d&gt;&lt;m:dPr&gt;&lt;m:begChrt= iiult=m:val=&quot;锟斤拷&quot;/&gt;&lt;m:endChr m:val=&quot;=&quot;Cambria锟斤拷&quot;/&gt;&lt;m:ctrlPr&gt;&lt;w:rPr&gt;&lt;w:rFonts w:afault=scii=&quot;Cambria Math&quot; w:h-ansi=&quot;Cambria Mfault=ath&quot; w:cs=&quot;锟斤拷锟斤拷&quot;/&gt;&lt;wx:font wx:v0000&quot;/fault=fault=fault=al=&quot;Cambria Math&quot;/&gt;&lt;w:b-cs/&gt;&lt;w:i//m:sSu=&quot;ult=&gt;&lt;w:co w:valfault=lor w:val=&quot;000000&quot;/&gt;&lt;Chrt= iiult=w:sz w:val=&quot;24&quot;/&gt;&lt;w:sz-cs w:val=&quot;21&quot;/&gt;&lt;/w:=&quot;CambriarPr&gt;&lt;/m:ctrlPr&gt;&lt;/mhrt=:dPr&gt;&lt;m:e&gt;&lt;m:sSub&gt;&lt;m:sSfault=ubPr&gt;&lt;m:ctrlPr&gt;&lt;w:rPr&gt;&lt;w:rFonts w:ascii=&quot;Cambfault=ria Math&quot; w:h-ansi=&quot;Cambria Math&quot; w:cs=&quot;锟斤拷锟斤?&quot;ult=ault=?/&gt;&lt;wx:font wx:val=&quot;Cambria Math&quot;/&gt;&lt;w:b-cs/&gt;&lt;wiult=:i/&gt;fault=&lt;w:color w:val=&quot;000000&quot;/&gt;&lt;w:sz w:val=&quot;24&quot;mbria/&gt;&lt;w:sz-cs w:val=&quot;21&quot;/&gt;&lt;/w:rPr&gt;&lt;/m:ctrlPr&gt;&lt;/m:sSubPault=rt=&gt;&lt;m:e&gt;&lt;m:r&gt;&lt;w:rPr&gt;&lt;w:rFonts ault=w:ascii=&quot;Cambria Matault=h&quot; w:h-ansi=&quot;Cambria Math&quot; w:cs=&quot;锟斤拷锟斤拷&quot; w:hint=&quot;斤?ault=fareast&quot;/&gt;&lt;wx:font wx:va&lt;wiult=l=&quot;Cambria Math&quot;/&gt;&lt;w:i/&gt;&lt;w:color fault=w:val=&quot;000000&quot;/&gt;&lt;4&quot;mbriaw:sz w:val=&quot;24&quot;/&gt;&lt;w:sz-cs w:val=&quot;21&quot;/&gt;&lt;/w:rPr&gt;&lt;m:t&gt;V&lt;/m:bPault=t&gt;&lt;/m:r&gt;&lt;/s ault=m:e&gt;&lt;m:sub&gt;&lt;m:r&gt;&lt;w:rt=Pr&gt;&lt;w:rFonts w:ascii=&quot;Caatault=mbrh&quot; w:csia Math&quot; w:h-ansi=&quot;Cambria Math&quot; w:cs=&quot;锟斤拷锟斤拷&quot;/&gt;&lt;wx:fo?auwiult=lt=nt wx:val=&quot;Cambria Math&quot;/&gt;&lt;w:i/&gt;&lt;w:color w:val=&quot;000000&quot;/&gt;&lt;w:&quot;mbriasz fault=w:val=&quot;24&quot;/&gt;&lt;w:sz-cs w:val=&quot;21&quot;/&gt;&lt;/w:rPr&gt;&lt;m:t ault=&gt;1&lt;/m:t&gt;&lt;Pault=/m:r&gt;&lt;/m:sub&gt;&lt;/m:sSub&gt;&lt;m:r&gt;&lt;w:rPr&gt;&lt;w:rFonts w:as&quot; w:cscii=&quot;Cambrit=a tault=Math&quot; w:h-ansi=&quot;Cambria Math&quot; w:cs=&quot;锟斤拷锟斤拷wiult=&quot;/&gt;&lt;wx:font wx:val=&quot;C?ault=ambria Math&quot;/&gt;&lt;w:i/&gt;&lt;w:color w:val=&quot;000000&quot;mbria&quot;/&gt;&lt;w:sz w:val=&quot;24&quot;/&gt;&lt;w:sz-fault=cs  ault=w:val=&quot;21&quot;/&gt;&lt;/w:rPr&gt;&lt;m:t&gt;+&lt;/m:t&gt;&lt;Pault=/m:r&gt;&lt;m:sSub&gt;&lt;m:sSubPr&gt;&lt;m:ctrl&quot; w:csPr&gt;&lt;w:rPr&gt;&lt;w:rFonts w:ascii=&quot;Cambria Matault=th&quot; w:h-ansi=&quot;Cambt=ria Math&quot; w:cs=&quot;锟斤拷锟斤拷&quot;/&gt;&lt;wx:font wx:val=&quot;Cambria?ault= Math&quot;/&gt;&lt;w:b-cs/&gt;&lt;w:i/&gt;&lt;&quot;mbriaw:color w:val=&quot;000000&quot;/&gt; ault=&lt;w:sz w:val=&quot;24&quot;/&gt;&lt;w:sz-cs fault=w:val=&quot;21&quot;/&gt;&lt;/w:rPPault=r&gt;&lt;/m:ctrlPr&gt;&lt;/m:s&quot; w:csSubPr&gt;&lt;m:e&gt;&lt;m:r&gt;&lt;w:rPr&gt;&lt;w:rFonts w:ascii=&quot;Cambria Math&quot; wtault=:h-ansi=&quot;CamMath&quot; bria Math&quot; w:cs=&quot;锟斤拷锟斤拷&quot;/&gt;&lt;wx:mbt=font wx:val=&quot;Cambria Math&quot;/&gt;&lt;?ault=w:i/&gt;&lt;&quot;mbriaw:colo ault=r w:val=&quot;000000&quot;/&gt;&lt;w:sz w:val=&quot;24&quot;/&gt;&lt;w:sz-cs w:val=&quot;21&quot;/&gt;&lt;/w:rPr&gt;&lt;m:tfault=Pault=&quot; w:cs&gt;V&lt;/m:t&gt;&lt;/m:r&gt;&lt;/m:e&gt;&lt;m:sub&gt;&lt;m:r&gt;&lt;w:rPr&gt;&lt;w:rFonts w:ascii=&quot;Cambria Math&quot; w:h-ansi=Math&quot; tault=&quot;Cambria Math&quot; w:cs=&quot;锟斤拷锟斤拷&quot;/&gt;&lt;wx:font wx:val=&quot;Cambria Math&quot;/&gt;&lt;w:it=/ ault=&gt;&lt;w:co&quot;mbrialor w:?ault=val=&quot;000000&quot;/&gt;&lt;w:sz w:val=&quot;24&quot;/&gt;&lt;w:sz-cs w:val=&quot;21&quot;/&gt;&lt;/w:rPr&gt;&lt;m&quot; w:cs:t&gt;2&lt;/m:t&gt;&lt;/Pault=m:r&gt;&lt;/m:sub&gt;fault=&lt;/m:sSub&gt;&lt;m:r&gt;&lt;w:rPr&gt;&lt;w:rFonts w:ascii=&quot;Cambria MatMath&quot; h&quot; w:h-ansi=&quot;Cambrtault=ia Math&quot; w:cs=&quot;锟斤拷锟斤拷&quot;/&gt;&lt;wx:font wx:val ault==&quot;Cambria Math&quot;/&gt;&lt;w:i/&gt;&lt;&quot;mbriaw:color w:val=&quot;000000&quot;/&gt;?ault=&lt;t=w:sz w:val=&quot;24&quot;/&gt;&lt;w:sz-cs w:va&quot; w:csl=&quot;21&quot;/&gt;&lt;/w:rPr&gt;&lt;m:t&gt;-&lt;/m:t&gt;&lt;/Pault=m:r&gt;&lt;m:sSub&gt;&lt;m:sSubPr&gt;&lt;m:ctrlPfault=r&gt;&lt;w:rPr&gt;&lt;w:rFonts w:Math&quot; ascii=&quot;Cambria Math&quot; w:h-ansi=&quot;Cambrtault=ia Math&quot; w:cs=&quot;锟斤拷锟斤拷&quot;/&gt;&lt;wx:font wx:val=&quot;Cambria Ma&quot;mbriath&quot;/&gt;&lt;w:b-cs/&gt;&lt;w:i/&gt;&lt;w:color w:val=&quot;000000?ault=&quot;/&gt;&quot; w:cs&lt;w:sz w:val=&quot;2t=4&quot;/&gt;&lt;w:sz-cs w:val=&quot;21&quot;/&gt;&lt;/w:rPrPault=&gt;&lt;/m:ctrlPr&gt;&lt;/m:sSubPr&gt;&lt;m:e&gt;&lt;m:r&gt;&lt;w:rPr&gt;&lt;w:rFMath&quot; ontfault=s w:ascii=&quot;Cambria Math&quot; w:h-ansi=&quot;Cw:cs=&quot;ambria Matault=th&quot; w:cs=&quot;锟斤拷锟斤拷&quot;/&gt;&lt;wx:font wx:val=&quot;Cam&quot;mbriabria Math&quot;/&gt;&lt;w:i/&gt;&lt;w:color w:val=&quot;00000&quot; w:cs0&quot;/&gt;&lt;w:sz w:val=&quot;24&quot;/?ault=&gt;&lt;w:sz-cs w:val=&quot;21&quot;/&gt;&lt;/w:rPr&gt;&lt;m:t=t&gt;V&lt;Pault=/m:t&gt;&lt;/m:r&gt;&lt;/m:e&gt;&lt;m:sub&gt;&lt;m:r&gt;&lt;w:rMath&quot; Pr&gt;&lt;w:rFonts w:ascii=&quot;Cambria Matw:cs=&quot;fault=h&quot; w:h-ansi=&quot;Cambria Math&quot; w:cs=&quot;tault=锟斤拷锟斤拷&quot;/&gt;&lt;wx:font wx:val=&quot;C&quot;mbriaambria Math&quot;/&gt;&lt;w:i/&gt;&lt;w:colo&quot; w:csr w:val=&quot;000000&quot;/&gt;&lt;w:sz w:val=&quot;24&quot;/&gt;&lt;w:sz-cs w:val=?ault=&quot;21&quot;/&gt;&lt;/w:rPr&gt;&lt;m:t&gt;3&lt;/m:t&gt;&lt;Pault=/m:r&gt;&lt;/m:sub&gt;&lt;/m:sSubMath&quot; &gt;t=&lt;/m:e&gt;&lt;/m:d&gt;&lt;/m:e&gt;w:cs=&quot;&lt;m:sub&gt;&lt;m:r&gt;&lt;w:rPr&gt;&lt;w:rFonts w:ascii=&quot;Cambfault=ria Math&quot; w:h-ansi=&quot;Ctault=ambria Math&quot; w:cs=&quot;锟a斤拷锟斤拷&quot; w:hint=&quot;&quot; w:csfareast&quot;/&gt;&lt;wx:font wx:val=&quot;Cambria Math&quot;/&gt;&lt;w:i/&gt;&lt;w:color w:val=&quot;000000&quot;/&gt;&lt;w:?ault=sz w:val=&quot;24&quot;/&gt;Pault=&lt;w:sz-cs w:valMath&quot; =&quot;21&quot;/&gt;&lt;/w:cs=&quot;w:rPr&gt;&lt;m:t&gt;max&lt;/m:t&gt;&lt;/m:r&gt;&lt;t=/m:sub&gt;&lt;/m:sSub&gt;&lt;m:r&gt;&lt;w:rPr&gt;&lt;w:rFonts w:ascii=&quot;Camfault=bria Mathtault=&quot; w:h-anss=&quot;锟ai=&quot;Cambrsia Math&quot; w:cs=&quot;锟斤拷锟斤拷&quot;/&gt;&lt;wx:font wx:val=&quot;Cambria Math&quot;/&gt;&lt;w:i/&gt;&lt;w:color w:val=&quot;000000&quot;/&gt;&lt;w:sz w:val=&quot;?ault=24&quot;Pault=/&gt;lMath&quot; &lt;/w:cs=&quot;w:sz-cs w:val=&quot;21&quot;/&gt;&lt;/w:rPr&gt;&lt;m:t&gt;+&lt;/m:t&gt;&lt;/m:r&gt;&lt;m:sSub&gt;&lt;m:sSubPr&gt;&lt;m:ctrlPr&gt;&lt;t=w:rPr&gt;&lt;w:rFonts w:ascii=&quot;Cambria Math&quot; wfautausCambrss=&quot;锟alt=lt=:h-ansi=&quot;Cambria Math&quot; w:cs=&quot;锟斤拷锟斤拷&quot;/&gt;&lt;wx:font wx:val=&quot;Cambria Math&quot;/&gt;&lt;w:b-cs/&gt;&lt;w:i/&gt;&lt;w:color w:val=&quot;000000/w:cs=&quot;&quot;/&gt;&lt;wlMath&quot; :sz wPault=:va?ault=l=&quot;24&quot;/&gt;&lt;w:sz-cs w:val=&quot;21&quot;/&gt;&lt;/w:rPr&gt;&lt;/m:ctrlPr&gt;&lt;/m:sSubPr&gt;&lt;m:e&gt;&lt;m:r&gt;&lt;w:rPr&gt;&lt;w:rFonts w:ascii=&quot;CatsCambrs=mbria Math&quot; ss=&quot;锟aw:h-ansi=tault=&quot;Cambria fault=Math&quot; w:cs=&quot;锟斤拷锟斤拷&quot;/&gt;&lt;wx:font wx:val=&quot;Cambria Math&quot;/&gt;&lt;w:i/&gt;&lt;w:/w:cs=&quot;color w:val=&quot;000000lMath&quot; &quot;/&gt;&lt;w:sz w:val=&quot;24Pault=&quot;/&gt;&lt;w:sz-cs w:v?ault=al=&quot;21&quot;/&gt;&lt;/w:rPr&gt;&lt;m:t&gt;V&lt;/m:t&gt;&lt;/m:r&gt;&lt;/m:e&gt;&lt;m:sub&gt;&lt;m:r&gt;&lt;w:rPr&gt;&lt;w:rFosCambrsnts w:ascii=&quot;Cambria Math&quot; ss=&quot;锟aw:h-ansi=&quot;Cambria Mattault==th&quot; w:cs=&quot;锟斤拷锟斤bria fault=拷&quot;/&gt;&lt;wx:font wx:v/w:cs=&quot;al=&quot;Cambria Math&quot;/&gt;&lt;w:i/&gt;&lt;w:colorlMath&quot;  w:val=&quot;000000&quot;/&gt;&lt;w:sz w:val=&quot;2Pault=4&quot;/&gt;&lt;w:sz-cs w:val=&quot;21&quot;/&gt;&lt;/?ault=w:rPr&gt;&lt;m:t&gt;4&lt;/m:t&gt;&lt;/m:r&gt;&lt;/m:sub&gt;&lt;/sCambrsm:sSub&gt;&lt;m:r&gt;&lt;w:rPr&gt;&lt;w:rFonts w:ascii=&quot;Camss=&quot;锟abria Math&quot; w:h-ansi=&quot;Cambria Mathtault=&quot; w:cs=&quot;锟斤拷锟?:cs=&quot;锟?/&gt;&lt;wx:font wxMat= fault=:val=&quot;Cambria Math&quot;lMath&quot; /&gt;&lt;w:i/&gt;&lt;w:color w:val=&quot;000000&quot;/&gt;&lt;w:sz w:valPault==&quot;24&quot;/&gt;&lt;w:sz-cs w:val=&quot;21&quot;/&gt;&lt;/w:rPr&gt;&lt;m:?ault=t&gt;sCambrs+&lt;/m:t&gt;&lt;/m:r&gt;&lt;m:sSub&gt;&lt;m:sSubPr&gt;&lt;m:ctrlPr&gt;&lt;w:rPr&gt;&lt;w:rFonss=&quot;锟ats w:ascii=&quot;Cambria Math&quot; w:h-ansi=s=&quot;&quot;Cambria Mtault=ath&quot; w:cs=&quot;锟斤拷锟斤拷&quot;/&gt;&lt;wx:font wx:val=&quot;CalMath&quot; mbria fault=Math&quot;/&gt;&lt;t=w:b-cs/&gt;&lt;w:i/&gt;&lt;w:color w:val=&quot;00000Pault=0&quot;/&gt;&lt;w:sz w:val=&quot;24&quot;/&gt;&lt;w:szsCambrs-cs w:val=&quot;21&quot;/&gt;&lt;/w:rPr&gt;?ault=&lt;/m:ctrlPr&gt;&lt;/m:sSubPr&gt;&lt;m:e&gt;&lt;m:r&gt;&lt;w:rPr&gt;ss=&quot;锟a&lt;w:rFonts w:asnsi=s=&quot;cii=&quot;Cambria Math&quot; w:h-ansi=&quot;Cambria Math&quot; tault=w:cs=&quot;锟斤拷锟斤拷&quot;/&gt;&lt;wx:flMath&quot; ont wx:val=&quot;Cambria Math&quot;/&gt;&lt;w:i/&gt;&lt;w:cfault=olor w:val=&quot;000000t=&quot;/&gt;&lt;w:sPault=z w:valsCambrs=&quot;24&quot;/&gt;&lt;w:sz-cs w:val=&quot;21&quot;/&gt;&lt;/w:rPr&gt;&lt;m:t&gt;V&lt;/m:t&gt;&lt;/m:r&gt;&lt;/?ault=m:e&gt;&lt;m:sub&gt;&lt;m:r&gt;&lt;w:rPsi=s=&quot;ss=&quot;锟ar&gt;&lt;w:rFonts w:ascii=&quot;Cambria Math&quot; w:h-ansi=&quot;Cambria Math&quot; w:cs=&quot;锟斤&quot; tault=拷锟?ath&quot; 锟?/&gt;&lt;wx:font wx:val=&quot;Cambria Math&quot;/&gt;&lt;w:i/&gt;&lt;w:color w:val=&quot;000000&quot;/&gt;&lt;fault=w:sCambrsz w:Pault=val=&quot;24&quot;/&gt;&lt;w:sz-cs w:t=val=&quot;21&quot;/&gt;&lt;/w:rPr&gt;&lt;m:t&gt;5&lt;/m:t&gt;&lt;/m:r&gt;&lt;/m:sub&gt;si=s=&quot;&lt;/m:sSub&gt;&lt;?ault=/ss=&quot;锟am:oMath&gt;&lt;/m:oMathPara&gt;&lt;/w:p&gt;&lt;w:sectPr wsp:rsidR=&quot;00000000&quot; wsp:rsidRPr=&quot;004h&quot; 83F04&quot;&gt;&lt;ult=w:pgSz w:w=&quot;12240&quot; w:h=&quot;15840&quot;/&gt;&lt;w:pgMar w:top=&quot;1440&quot; w:right=&quot;1s800&quot; w:bottom=&quot;1440&quot; w:left=&quot;1800&quot; w:header=&quot;720&quot; w:footer=&quot;720&quot; w:gutter=&quot;0&quot;&quot;/&gt;&lt;w:cols w:space=&quot;720&quot;/&gt;&lt;/w:sectPr&gt;&lt;/wx:sect&gt;&lt;/w:body&gt;&lt;/w:wordDocument">
                  <v:path/>
                  <v:fill on="f" focussize="0,0"/>
                  <v:stroke/>
                  <v:imagedata r:id="rId18" chromakey="#FFFFFF" o:title=""/>
                  <o:lock v:ext="edit" aspectratio="t"/>
                  <w10:wrap type="none"/>
                  <w10:anchorlock/>
                </v:shape>
              </w:pict>
            </w:r>
          </w:p>
          <w:p>
            <w:pPr>
              <w:autoSpaceDE w:val="0"/>
              <w:autoSpaceDN w:val="0"/>
              <w:adjustRightInd w:val="0"/>
              <w:spacing w:line="360" w:lineRule="auto"/>
              <w:ind w:firstLine="480" w:firstLineChars="200"/>
              <w:rPr>
                <w:rFonts w:cs="宋体"/>
                <w:color w:val="000000"/>
                <w:kern w:val="0"/>
                <w:sz w:val="24"/>
              </w:rPr>
            </w:pPr>
            <w:r>
              <w:rPr>
                <w:rFonts w:hint="eastAsia" w:cs="宋体"/>
                <w:color w:val="000000"/>
                <w:kern w:val="0"/>
                <w:sz w:val="24"/>
              </w:rPr>
              <w:t>式中：</w:t>
            </w:r>
          </w:p>
          <w:p>
            <w:pPr>
              <w:autoSpaceDE w:val="0"/>
              <w:autoSpaceDN w:val="0"/>
              <w:adjustRightInd w:val="0"/>
              <w:spacing w:line="360" w:lineRule="auto"/>
              <w:ind w:firstLine="480" w:firstLineChars="200"/>
              <w:rPr>
                <w:rFonts w:cs="宋体"/>
                <w:color w:val="000000"/>
                <w:kern w:val="0"/>
                <w:sz w:val="24"/>
              </w:rPr>
            </w:pPr>
            <w:r>
              <w:rPr>
                <w:rFonts w:hint="eastAsia" w:cs="宋体"/>
                <w:i/>
                <w:color w:val="000000"/>
                <w:kern w:val="0"/>
                <w:sz w:val="24"/>
              </w:rPr>
              <w:t>V</w:t>
            </w:r>
            <w:r>
              <w:rPr>
                <w:rFonts w:hint="eastAsia" w:cs="宋体"/>
                <w:i/>
                <w:color w:val="000000"/>
                <w:kern w:val="0"/>
                <w:sz w:val="24"/>
                <w:vertAlign w:val="subscript"/>
              </w:rPr>
              <w:t>总</w:t>
            </w:r>
            <w:r>
              <w:rPr>
                <w:rFonts w:hint="eastAsia" w:cs="宋体"/>
                <w:color w:val="000000"/>
                <w:kern w:val="0"/>
                <w:sz w:val="24"/>
              </w:rPr>
              <w:t>——事故应急池总有效容积，</w:t>
            </w:r>
            <w:r>
              <w:rPr>
                <w:rFonts w:cs="宋体"/>
                <w:color w:val="000000"/>
                <w:kern w:val="0"/>
                <w:sz w:val="24"/>
              </w:rPr>
              <w:t>m</w:t>
            </w:r>
            <w:r>
              <w:rPr>
                <w:rFonts w:hint="eastAsia" w:cs="宋体"/>
                <w:color w:val="000000"/>
                <w:kern w:val="0"/>
                <w:sz w:val="24"/>
                <w:vertAlign w:val="superscript"/>
              </w:rPr>
              <w:t>3</w:t>
            </w:r>
            <w:r>
              <w:rPr>
                <w:rFonts w:hint="eastAsia" w:cs="宋体"/>
                <w:color w:val="000000"/>
                <w:kern w:val="0"/>
                <w:sz w:val="24"/>
              </w:rPr>
              <w:t>；</w:t>
            </w:r>
          </w:p>
          <w:p>
            <w:pPr>
              <w:autoSpaceDE w:val="0"/>
              <w:autoSpaceDN w:val="0"/>
              <w:adjustRightInd w:val="0"/>
              <w:spacing w:line="360" w:lineRule="auto"/>
              <w:ind w:firstLine="480" w:firstLineChars="200"/>
              <w:rPr>
                <w:rFonts w:cs="宋体"/>
                <w:bCs/>
                <w:color w:val="000000"/>
                <w:sz w:val="24"/>
                <w:szCs w:val="21"/>
              </w:rPr>
            </w:pPr>
            <w:r>
              <w:rPr>
                <w:rFonts w:cs="宋体"/>
                <w:bCs/>
                <w:i/>
                <w:color w:val="000000"/>
                <w:sz w:val="24"/>
                <w:szCs w:val="21"/>
              </w:rPr>
              <w:t>(V</w:t>
            </w:r>
            <w:r>
              <w:rPr>
                <w:rFonts w:cs="宋体"/>
                <w:bCs/>
                <w:i/>
                <w:color w:val="000000"/>
                <w:sz w:val="24"/>
                <w:szCs w:val="21"/>
                <w:vertAlign w:val="subscript"/>
              </w:rPr>
              <w:t>1</w:t>
            </w:r>
            <w:r>
              <w:rPr>
                <w:rFonts w:cs="宋体"/>
                <w:bCs/>
                <w:i/>
                <w:color w:val="000000"/>
                <w:sz w:val="24"/>
                <w:szCs w:val="21"/>
              </w:rPr>
              <w:t>+V</w:t>
            </w:r>
            <w:r>
              <w:rPr>
                <w:rFonts w:hint="eastAsia" w:cs="宋体"/>
                <w:bCs/>
                <w:i/>
                <w:color w:val="000000"/>
                <w:sz w:val="24"/>
                <w:szCs w:val="21"/>
                <w:vertAlign w:val="subscript"/>
              </w:rPr>
              <w:t>2</w:t>
            </w:r>
            <w:r>
              <w:rPr>
                <w:rFonts w:cs="宋体"/>
                <w:bCs/>
                <w:i/>
                <w:color w:val="000000"/>
                <w:sz w:val="24"/>
                <w:szCs w:val="21"/>
              </w:rPr>
              <w:t>+V</w:t>
            </w:r>
            <w:r>
              <w:rPr>
                <w:rFonts w:cs="宋体"/>
                <w:bCs/>
                <w:i/>
                <w:color w:val="000000"/>
                <w:sz w:val="24"/>
                <w:szCs w:val="21"/>
                <w:vertAlign w:val="subscript"/>
              </w:rPr>
              <w:t>3</w:t>
            </w:r>
            <w:r>
              <w:rPr>
                <w:rFonts w:cs="宋体"/>
                <w:bCs/>
                <w:i/>
                <w:color w:val="000000"/>
                <w:sz w:val="24"/>
                <w:szCs w:val="21"/>
              </w:rPr>
              <w:t>)</w:t>
            </w:r>
            <w:r>
              <w:rPr>
                <w:rFonts w:cs="宋体"/>
                <w:bCs/>
                <w:i/>
                <w:color w:val="000000"/>
                <w:sz w:val="24"/>
                <w:szCs w:val="21"/>
                <w:vertAlign w:val="subscript"/>
              </w:rPr>
              <w:t>max</w:t>
            </w:r>
            <w:r>
              <w:rPr>
                <w:rFonts w:hint="eastAsia" w:cs="宋体"/>
                <w:bCs/>
                <w:color w:val="000000"/>
                <w:sz w:val="24"/>
                <w:szCs w:val="21"/>
              </w:rPr>
              <w:t>——对收集范围内不同装置分别计算</w:t>
            </w:r>
            <w:r>
              <w:rPr>
                <w:rFonts w:cs="宋体"/>
                <w:bCs/>
                <w:color w:val="000000"/>
                <w:sz w:val="24"/>
                <w:szCs w:val="21"/>
              </w:rPr>
              <w:t>(V</w:t>
            </w:r>
            <w:r>
              <w:rPr>
                <w:rFonts w:cs="宋体"/>
                <w:bCs/>
                <w:color w:val="000000"/>
                <w:sz w:val="24"/>
                <w:szCs w:val="21"/>
                <w:vertAlign w:val="subscript"/>
              </w:rPr>
              <w:t>1</w:t>
            </w:r>
            <w:r>
              <w:rPr>
                <w:rFonts w:cs="宋体"/>
                <w:bCs/>
                <w:color w:val="000000"/>
                <w:sz w:val="24"/>
                <w:szCs w:val="21"/>
              </w:rPr>
              <w:t>+V</w:t>
            </w:r>
            <w:r>
              <w:rPr>
                <w:rFonts w:hint="eastAsia" w:cs="宋体"/>
                <w:bCs/>
                <w:color w:val="000000"/>
                <w:sz w:val="24"/>
                <w:szCs w:val="21"/>
                <w:vertAlign w:val="subscript"/>
              </w:rPr>
              <w:t>2</w:t>
            </w:r>
            <w:r>
              <w:rPr>
                <w:rFonts w:cs="宋体"/>
                <w:bCs/>
                <w:color w:val="000000"/>
                <w:sz w:val="24"/>
                <w:szCs w:val="21"/>
              </w:rPr>
              <w:t>+V</w:t>
            </w:r>
            <w:r>
              <w:rPr>
                <w:rFonts w:cs="宋体"/>
                <w:bCs/>
                <w:color w:val="000000"/>
                <w:sz w:val="24"/>
                <w:szCs w:val="21"/>
                <w:vertAlign w:val="subscript"/>
              </w:rPr>
              <w:t>3</w:t>
            </w:r>
            <w:r>
              <w:rPr>
                <w:rFonts w:cs="宋体"/>
                <w:bCs/>
                <w:color w:val="000000"/>
                <w:sz w:val="24"/>
                <w:szCs w:val="21"/>
              </w:rPr>
              <w:t>)</w:t>
            </w:r>
            <w:r>
              <w:rPr>
                <w:rFonts w:hint="eastAsia" w:cs="宋体"/>
                <w:color w:val="000000"/>
                <w:kern w:val="0"/>
                <w:sz w:val="24"/>
              </w:rPr>
              <w:t>，取其中最大值；</w:t>
            </w:r>
          </w:p>
          <w:p>
            <w:pPr>
              <w:autoSpaceDE w:val="0"/>
              <w:autoSpaceDN w:val="0"/>
              <w:adjustRightInd w:val="0"/>
              <w:spacing w:line="360" w:lineRule="auto"/>
              <w:ind w:firstLine="480" w:firstLineChars="200"/>
              <w:rPr>
                <w:rFonts w:cs="宋体"/>
                <w:bCs/>
                <w:color w:val="000000"/>
                <w:sz w:val="24"/>
                <w:szCs w:val="21"/>
              </w:rPr>
            </w:pPr>
            <w:r>
              <w:rPr>
                <w:rFonts w:cs="宋体"/>
                <w:bCs/>
                <w:i/>
                <w:color w:val="000000"/>
                <w:sz w:val="24"/>
                <w:szCs w:val="21"/>
              </w:rPr>
              <w:t>V</w:t>
            </w:r>
            <w:r>
              <w:rPr>
                <w:rFonts w:cs="宋体"/>
                <w:bCs/>
                <w:i/>
                <w:color w:val="000000"/>
                <w:sz w:val="24"/>
                <w:szCs w:val="21"/>
                <w:vertAlign w:val="subscript"/>
              </w:rPr>
              <w:t>1</w:t>
            </w:r>
            <w:r>
              <w:rPr>
                <w:rFonts w:hint="eastAsia" w:cs="宋体"/>
                <w:bCs/>
                <w:color w:val="000000"/>
                <w:sz w:val="24"/>
                <w:szCs w:val="21"/>
              </w:rPr>
              <w:t>——收集系统范围内发生事故的一个罐组或一套装置的物料量，m³；储存相同物料的罐组按一个最大储罐计，装置物料量按存留最大物料量的一台反应（塔）器或中间储罐计；本项目未设置物料罐，取0；</w:t>
            </w:r>
          </w:p>
          <w:p>
            <w:pPr>
              <w:autoSpaceDE w:val="0"/>
              <w:autoSpaceDN w:val="0"/>
              <w:adjustRightInd w:val="0"/>
              <w:spacing w:line="360" w:lineRule="auto"/>
              <w:ind w:firstLine="480" w:firstLineChars="200"/>
              <w:rPr>
                <w:rFonts w:cs="宋体"/>
                <w:bCs/>
                <w:color w:val="000000"/>
                <w:sz w:val="24"/>
                <w:szCs w:val="21"/>
              </w:rPr>
            </w:pPr>
            <w:r>
              <w:rPr>
                <w:rFonts w:cs="宋体"/>
                <w:bCs/>
                <w:i/>
                <w:color w:val="000000"/>
                <w:sz w:val="24"/>
                <w:szCs w:val="21"/>
              </w:rPr>
              <w:t>V</w:t>
            </w:r>
            <w:r>
              <w:rPr>
                <w:rFonts w:cs="宋体"/>
                <w:bCs/>
                <w:i/>
                <w:color w:val="000000"/>
                <w:sz w:val="24"/>
                <w:szCs w:val="21"/>
                <w:vertAlign w:val="subscript"/>
              </w:rPr>
              <w:t>2</w:t>
            </w:r>
            <w:r>
              <w:rPr>
                <w:rFonts w:hint="eastAsia" w:cs="宋体"/>
                <w:bCs/>
                <w:color w:val="000000"/>
                <w:sz w:val="24"/>
                <w:szCs w:val="21"/>
              </w:rPr>
              <w:t>——火灾延续时间内，事故发生区域范围内的消防用水量，m³。本项目生产厂房火灾风险较小，不考虑消防废水量；</w:t>
            </w:r>
          </w:p>
          <w:p>
            <w:pPr>
              <w:autoSpaceDE w:val="0"/>
              <w:autoSpaceDN w:val="0"/>
              <w:adjustRightInd w:val="0"/>
              <w:spacing w:line="360" w:lineRule="auto"/>
              <w:ind w:firstLine="480" w:firstLineChars="200"/>
              <w:rPr>
                <w:rFonts w:cs="宋体"/>
                <w:bCs/>
                <w:color w:val="000000"/>
                <w:sz w:val="24"/>
                <w:szCs w:val="21"/>
              </w:rPr>
            </w:pPr>
            <w:r>
              <w:rPr>
                <w:rFonts w:cs="宋体"/>
                <w:bCs/>
                <w:i/>
                <w:color w:val="000000"/>
                <w:sz w:val="24"/>
                <w:szCs w:val="21"/>
              </w:rPr>
              <w:t>V</w:t>
            </w:r>
            <w:r>
              <w:rPr>
                <w:rFonts w:cs="宋体"/>
                <w:bCs/>
                <w:i/>
                <w:color w:val="000000"/>
                <w:sz w:val="24"/>
                <w:szCs w:val="21"/>
                <w:vertAlign w:val="subscript"/>
              </w:rPr>
              <w:t>3</w:t>
            </w:r>
            <w:r>
              <w:rPr>
                <w:rFonts w:hint="eastAsia" w:cs="宋体"/>
                <w:bCs/>
                <w:color w:val="000000"/>
                <w:sz w:val="24"/>
                <w:szCs w:val="21"/>
              </w:rPr>
              <w:fldChar w:fldCharType="begin"/>
            </w:r>
            <w:r>
              <w:rPr>
                <w:rFonts w:hint="eastAsia" w:cs="宋体"/>
                <w:bCs/>
                <w:color w:val="000000"/>
                <w:sz w:val="24"/>
                <w:szCs w:val="21"/>
              </w:rPr>
              <w:instrText xml:space="preserve"> QUOTE </w:instrText>
            </w:r>
            <w:r>
              <w:rPr>
                <w:rFonts w:cs="宋体"/>
                <w:bCs/>
                <w:color w:val="000000"/>
                <w:sz w:val="24"/>
                <w:szCs w:val="21"/>
              </w:rPr>
              <w:pict>
                <v:shape id="_x0000_i1026" o:spt="75" type="#_x0000_t75" style="height:15.1pt;width:12.25pt;" fill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1&quot;/&gt;&lt;w:doNotEmbedSystemFonts/&gt;&lt;w:stylePaneFormatFilter w:val=&quot;3F01&quot;/&gt;&lt;w:documentProtection w:edit=&quot;tracked-changes&quot; w:enforcement=&quot;off&quot;/&gt;&lt;w:defaultTabStop w:val=&quot;420&quot;/&gt;&lt;w:doNotHyphenateCaps/&gt;&lt;w:drawingGridVerticalSpacing w:val=&quot;156&quot;/&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sp:rsids&gt;&lt;wsp:rsidRoot wsp:val=&quot;00172A27&quot;/&gt;&lt;wsp:rsid wsp:val=&quot;00002B8F&quot;/&gt;&lt;wsp:rsid wsp:val=&quot;000060B3&quot;/&gt;&lt;wsp:rsid wsp:val=&quot;0004364B&quot;/&gt;&lt;wsp:rsid wsp:val=&quot;00050021&quot;/&gt;&lt;wsp:rsid wsp:val=&quot;00061B1F&quot;/&gt;&lt;wsp:rsid wsp:val=&quot;000733C4&quot;/&gt;&lt;wsp:rsid wsp:val=&quot;00074783&quot;/&gt;&lt;wsp:rsid wsp:val=&quot;0008070B&quot;/&gt;&lt;wsp:rsid wsp:val=&quot;000810AC&quot;/&gt;&lt;wsp:rsid wsp:val=&quot;00081A02&quot;/&gt;&lt;wsp:rsid wsp:val=&quot;00082231&quot;/&gt;&lt;wsp:rsid wsp:val=&quot;00092D38&quot;/&gt;&lt;wsp:rsid wsp:val=&quot;0009377B&quot;/&gt;&lt;wsp:rsid wsp:val=&quot;000A20C9&quot;/&gt;&lt;wsp:rsid wsp:val=&quot;000B058F&quot;/&gt;&lt;wsp:rsid wsp:val=&quot;000B4467&quot;/&gt;&lt;wsp:rsid wsp:val=&quot;000B4DB9&quot;/&gt;&lt;wsp:rsid wsp:val=&quot;000C09AC&quot;/&gt;&lt;wsp:rsid wsp:val=&quot;000C767F&quot;/&gt;&lt;wsp:rsid wsp:val=&quot;000D5A44&quot;/&gt;&lt;wsp:rsid wsp:val=&quot;000E3ED2&quot;/&gt;&lt;wsp:rsid wsp:val=&quot;00112027&quot;/&gt;&lt;wsp:rsid wsp:val=&quot;001124EB&quot;/&gt;&lt;wsp:rsid wsp:val=&quot;00131F42&quot;/&gt;&lt;wsp:rsid wsp:val=&quot;00134091&quot;/&gt;&lt;wsp:rsid wsp:val=&quot;0013418C&quot;/&gt;&lt;wsp:rsid wsp:val=&quot;001357F1&quot;/&gt;&lt;wsp:rsid wsp:val=&quot;00140FA8&quot;/&gt;&lt;wsp:rsid wsp:val=&quot;00142FEB&quot;/&gt;&lt;wsp:rsid wsp:val=&quot;00143A2D&quot;/&gt;&lt;wsp:rsid wsp:val=&quot;00145A41&quot;/&gt;&lt;wsp:rsid wsp:val=&quot;00151675&quot;/&gt;&lt;wsp:rsid wsp:val=&quot;00157435&quot;/&gt;&lt;wsp:rsid wsp:val=&quot;00173FBA&quot;/&gt;&lt;wsp:rsid wsp:val=&quot;0017504D&quot;/&gt;&lt;wsp:rsid wsp:val=&quot;0017671A&quot;/&gt;&lt;wsp:rsid wsp:val=&quot;00177422&quot;/&gt;&lt;wsp:rsid wsp:val=&quot;00184590&quot;/&gt;&lt;wsp:rsid wsp:val=&quot;001870D1&quot;/&gt;&lt;wsp:rsid wsp:val=&quot;0018781E&quot;/&gt;&lt;wsp:rsid wsp:val=&quot;0019262D&quot;/&gt;&lt;wsp:rsid wsp:val=&quot;001944D2&quot;/&gt;&lt;wsp:rsid wsp:val=&quot;001A1B35&quot;/&gt;&lt;wsp:rsid wsp:val=&quot;001A48A2&quot;/&gt;&lt;wsp:rsid wsp:val=&quot;001A6F61&quot;/&gt;&lt;wsp:rsid wsp:val=&quot;001B4BA8&quot;/&gt;&lt;wsp:rsid wsp:val=&quot;001B72B8&quot;/&gt;&lt;wsp:rsid wsp:val=&quot;001C5F0F&quot;/&gt;&lt;wsp:rsid wsp:val=&quot;001C69B3&quot;/&gt;&lt;wsp:rsid wsp:val=&quot;001D5595&quot;/&gt;&lt;wsp:rsid wsp:val=&quot;001D7874&quot;/&gt;&lt;wsp:rsid wsp:val=&quot;001D7F22&quot;/&gt;&lt;wsp:rsid wsp:val=&quot;001F0F17&quot;/&gt;&lt;wsp:rsid wsp:val=&quot;001F3347&quot;/&gt;&lt;wsp:rsid wsp:val=&quot;001F69E4&quot;/&gt;&lt;wsp:rsid wsp:val=&quot;002125B4&quot;/&gt;&lt;wsp:rsid wsp:val=&quot;002155B8&quot;/&gt;&lt;wsp:rsid wsp:val=&quot;00224839&quot;/&gt;&lt;wsp:rsid wsp:val=&quot;002249B2&quot;/&gt;&lt;wsp:rsid wsp:val=&quot;00226574&quot;/&gt;&lt;wsp:rsid wsp:val=&quot;002278EC&quot;/&gt;&lt;wsp:rsid wsp:val=&quot;0023280E&quot;/&gt;&lt;wsp:rsid wsp:val=&quot;002377D1&quot;/&gt;&lt;wsp:rsid wsp:val=&quot;002506BC&quot;/&gt;&lt;wsp:rsid wsp:val=&quot;00254345&quot;/&gt;&lt;wsp:rsid wsp:val=&quot;0026206E&quot;/&gt;&lt;wsp:rsid wsp:val=&quot;002625E3&quot;/&gt;&lt;wsp:rsid wsp:val=&quot;00264557&quot;/&gt;&lt;wsp:rsid wsp:val=&quot;002805AB&quot;/&gt;&lt;wsp:rsid wsp:val=&quot;00284204&quot;/&gt;&lt;wsp:rsid wsp:val=&quot;00291773&quot;/&gt;&lt;wsp:rsid wsp:val=&quot;002A168C&quot;/&gt;&lt;wsp:rsid wsp:val=&quot;002A3DC7&quot;/&gt;&lt;wsp:rsid wsp:val=&quot;002B49E2&quot;/&gt;&lt;wsp:rsid wsp:val=&quot;002B7B00&quot;/&gt;&lt;wsp:rsid wsp:val=&quot;002B7C44&quot;/&gt;&lt;wsp:rsid wsp:val=&quot;002C2B17&quot;/&gt;&lt;wsp:rsid wsp:val=&quot;002D3DD0&quot;/&gt;&lt;wsp:rsid wsp:val=&quot;002E1F3A&quot;/&gt;&lt;wsp:rsid wsp:val=&quot;002E298A&quot;/&gt;&lt;wsp:rsid wsp:val=&quot;00301978&quot;/&gt;&lt;wsp:rsid wsp:val=&quot;0030332C&quot;/&gt;&lt;wsp:rsid wsp:val=&quot;003051C2&quot;/&gt;&lt;wsp:rsid wsp:val=&quot;00312296&quot;/&gt;&lt;wsp:rsid wsp:val=&quot;00314F0E&quot;/&gt;&lt;wsp:rsid wsp:val=&quot;00321D8E&quot;/&gt;&lt;wsp:rsid wsp:val=&quot;00325928&quot;/&gt;&lt;wsp:rsid wsp:val=&quot;00332863&quot;/&gt;&lt;wsp:rsid wsp:val=&quot;0033684D&quot;/&gt;&lt;wsp:rsid wsp:val=&quot;00337B42&quot;/&gt;&lt;wsp:rsid wsp:val=&quot;00341B42&quot;/&gt;&lt;wsp:rsid wsp:val=&quot;0034348F&quot;/&gt;&lt;wsp:rsid wsp:val=&quot;00343C2B&quot;/&gt;&lt;wsp:rsid wsp:val=&quot;0034596F&quot;/&gt;&lt;wsp:rsid wsp:val=&quot;00356653&quot;/&gt;&lt;wsp:rsid wsp:val=&quot;0035743F&quot;/&gt;&lt;wsp:rsid wsp:val=&quot;00357BE2&quot;/&gt;&lt;wsp:rsid wsp:val=&quot;0036170C&quot;/&gt;&lt;wsp:rsid wsp:val=&quot;00366E0F&quot;/&gt;&lt;wsp:rsid wsp:val=&quot;00375832&quot;/&gt;&lt;wsp:rsid wsp:val=&quot;00381A72&quot;/&gt;&lt;wsp:rsid wsp:val=&quot;00384676&quot;/&gt;&lt;wsp:rsid wsp:val=&quot;00384BC6&quot;/&gt;&lt;wsp:rsid wsp:val=&quot;00390857&quot;/&gt;&lt;wsp:rsid wsp:val=&quot;003930BB&quot;/&gt;&lt;wsp:rsid wsp:val=&quot;003A4BF3&quot;/&gt;&lt;wsp:rsid wsp:val=&quot;003B420D&quot;/&gt;&lt;wsp:rsid wsp:val=&quot;003B72F6&quot;/&gt;&lt;wsp:rsid wsp:val=&quot;003C6C16&quot;/&gt;&lt;wsp:rsid wsp:val=&quot;003D76AB&quot;/&gt;&lt;wsp:rsid wsp:val=&quot;003D794D&quot;/&gt;&lt;wsp:rsid wsp:val=&quot;003E2F5A&quot;/&gt;&lt;wsp:rsid wsp:val=&quot;003E3058&quot;/&gt;&lt;wsp:rsid wsp:val=&quot;003E76A9&quot;/&gt;&lt;wsp:rsid wsp:val=&quot;003E7BEE&quot;/&gt;&lt;wsp:rsid wsp:val=&quot;003F0809&quot;/&gt;&lt;wsp:rsid wsp:val=&quot;003F4C47&quot;/&gt;&lt;wsp:rsid wsp:val=&quot;003F6A8C&quot;/&gt;&lt;wsp:rsid wsp:val=&quot;003F755C&quot;/&gt;&lt;wsp:rsid wsp:val=&quot;00406F01&quot;/&gt;&lt;wsp:rsid wsp:val=&quot;00412988&quot;/&gt;&lt;wsp:rsid wsp:val=&quot;00416D50&quot;/&gt;&lt;wsp:rsid wsp:val=&quot;00416FD5&quot;/&gt;&lt;wsp:rsid wsp:val=&quot;00417772&quot;/&gt;&lt;wsp:rsid wsp:val=&quot;00420E6A&quot;/&gt;&lt;wsp:rsid wsp:val=&quot;00425A9E&quot;/&gt;&lt;wsp:rsid wsp:val=&quot;00426D6B&quot;/&gt;&lt;wsp:rsid wsp:val=&quot;00431E6C&quot;/&gt;&lt;wsp:rsid wsp:val=&quot;00433CE7&quot;/&gt;&lt;wsp:rsid wsp:val=&quot;004436E8&quot;/&gt;&lt;wsp:rsid wsp:val=&quot;00452738&quot;/&gt;&lt;wsp:rsid wsp:val=&quot;00456091&quot;/&gt;&lt;wsp:rsid wsp:val=&quot;00466321&quot;/&gt;&lt;wsp:rsid wsp:val=&quot;0046661F&quot;/&gt;&lt;wsp:rsid wsp:val=&quot;00484B9B&quot;/&gt;&lt;wsp:rsid wsp:val=&quot;004855F6&quot;/&gt;&lt;wsp:rsid wsp:val=&quot;0048661E&quot;/&gt;&lt;wsp:rsid wsp:val=&quot;00494670&quot;/&gt;&lt;wsp:rsid wsp:val=&quot;004A3823&quot;/&gt;&lt;wsp:rsid wsp:val=&quot;004B0015&quot;/&gt;&lt;wsp:rsid wsp:val=&quot;004C21EF&quot;/&gt;&lt;wsp:rsid wsp:val=&quot;004E6946&quot;/&gt;&lt;wsp:rsid wsp:val=&quot;004F1AD8&quot;/&gt;&lt;wsp:rsid wsp:val=&quot;005039CB&quot;/&gt;&lt;wsp:rsid wsp:val=&quot;0050558F&quot;/&gt;&lt;wsp:rsid wsp:val=&quot;00506286&quot;/&gt;&lt;wsp:rsid wsp:val=&quot;00510813&quot;/&gt;&lt;wsp:rsid wsp:val=&quot;00511990&quot;/&gt;&lt;wsp:rsid wsp:val=&quot;00511DE0&quot;/&gt;&lt;wsp:rsid wsp:val=&quot;00514870&quot;/&gt;&lt;wsp:rsid wsp:val=&quot;00514B9B&quot;/&gt;&lt;wsp:rsid wsp:val=&quot;00517F02&quot;/&gt;&lt;wsp:rsid wsp:val=&quot;00524303&quot;/&gt;&lt;wsp:rsid wsp:val=&quot;005258A2&quot;/&gt;&lt;wsp:rsid wsp:val=&quot;005401AE&quot;/&gt;&lt;wsp:rsid wsp:val=&quot;00542E07&quot;/&gt;&lt;wsp:rsid wsp:val=&quot;00545424&quot;/&gt;&lt;wsp:rsid wsp:val=&quot;00554A7B&quot;/&gt;&lt;wsp:rsid wsp:val=&quot;0055572C&quot;/&gt;&lt;wsp:rsid wsp:val=&quot;0056106A&quot;/&gt;&lt;wsp:rsid wsp:val=&quot;005720AE&quot;/&gt;&lt;wsp:rsid wsp:val=&quot;00582527&quot;/&gt;&lt;wsp:rsid wsp:val=&quot;00594D77&quot;/&gt;&lt;wsp:rsid wsp:val=&quot;005969E4&quot;/&gt;&lt;wsp:rsid wsp:val=&quot;005A06B7&quot;/&gt;&lt;wsp:rsid wsp:val=&quot;005A1759&quot;/&gt;&lt;wsp:rsid wsp:val=&quot;005A68A7&quot;/&gt;&lt;wsp:rsid wsp:val=&quot;005B0AFA&quot;/&gt;&lt;wsp:rsid wsp:val=&quot;005C04F5&quot;/&gt;&lt;wsp:rsid wsp:val=&quot;005D36AB&quot;/&gt;&lt;wsp:rsid wsp:val=&quot;005D3A8B&quot;/&gt;&lt;wsp:rsid wsp:val=&quot;005D5B30&quot;/&gt;&lt;wsp:rsid wsp:val=&quot;00610B09&quot;/&gt;&lt;wsp:rsid wsp:val=&quot;00617CC3&quot;/&gt;&lt;wsp:rsid wsp:val=&quot;006377A6&quot;/&gt;&lt;wsp:rsid wsp:val=&quot;00637A3D&quot;/&gt;&lt;wsp:rsid wsp:val=&quot;006411EF&quot;/&gt;&lt;wsp:rsid wsp:val=&quot;006748B8&quot;/&gt;&lt;wsp:rsid wsp:val=&quot;006775C3&quot;/&gt;&lt;wsp:rsid wsp:val=&quot;00691B9E&quot;/&gt;&lt;wsp:rsid wsp:val=&quot;0069290A&quot;/&gt;&lt;wsp:rsid wsp:val=&quot;0069775A&quot;/&gt;&lt;wsp:rsid wsp:val=&quot;00697813&quot;/&gt;&lt;wsp:rsid wsp:val=&quot;006A3EE8&quot;/&gt;&lt;wsp:rsid wsp:val=&quot;006A72BF&quot;/&gt;&lt;wsp:rsid wsp:val=&quot;006B03F2&quot;/&gt;&lt;wsp:rsid wsp:val=&quot;006B37DC&quot;/&gt;&lt;wsp:rsid wsp:val=&quot;006B4F68&quot;/&gt;&lt;wsp:rsid wsp:val=&quot;006C0592&quot;/&gt;&lt;wsp:rsid wsp:val=&quot;006C272E&quot;/&gt;&lt;wsp:rsid wsp:val=&quot;006C5479&quot;/&gt;&lt;wsp:rsid wsp:val=&quot;006D13B5&quot;/&gt;&lt;wsp:rsid wsp:val=&quot;006E12FF&quot;/&gt;&lt;wsp:rsid wsp:val=&quot;006E607E&quot;/&gt;&lt;wsp:rsid wsp:val=&quot;00701EB3&quot;/&gt;&lt;wsp:rsid wsp:val=&quot;00706C5D&quot;/&gt;&lt;wsp:rsid wsp:val=&quot;0071224C&quot;/&gt;&lt;wsp:rsid wsp:val=&quot;007212C5&quot;/&gt;&lt;wsp:rsid wsp:val=&quot;0072135A&quot;/&gt;&lt;wsp:rsid wsp:val=&quot;00732922&quot;/&gt;&lt;wsp:rsid wsp:val=&quot;007331E7&quot;/&gt;&lt;wsp:rsid wsp:val=&quot;007505F6&quot;/&gt;&lt;wsp:rsid wsp:val=&quot;0075162E&quot;/&gt;&lt;wsp:rsid wsp:val=&quot;00754034&quot;/&gt;&lt;wsp:rsid wsp:val=&quot;00756556&quot;/&gt;&lt;wsp:rsid wsp:val=&quot;007618C4&quot;/&gt;&lt;wsp:rsid wsp:val=&quot;00767968&quot;/&gt;&lt;wsp:rsid wsp:val=&quot;00767980&quot;/&gt;&lt;wsp:rsid wsp:val=&quot;00770B19&quot;/&gt;&lt;wsp:rsid wsp:val=&quot;0077463F&quot;/&gt;&lt;wsp:rsid wsp:val=&quot;007836EA&quot;/&gt;&lt;wsp:rsid wsp:val=&quot;00784CDA&quot;/&gt;&lt;wsp:rsid wsp:val=&quot;00785117&quot;/&gt;&lt;wsp:rsid wsp:val=&quot;0078564F&quot;/&gt;&lt;wsp:rsid wsp:val=&quot;007906C4&quot;/&gt;&lt;wsp:rsid wsp:val=&quot;007940EA&quot;/&gt;&lt;wsp:rsid wsp:val=&quot;007967E8&quot;/&gt;&lt;wsp:rsid wsp:val=&quot;007A2170&quot;/&gt;&lt;wsp:rsid wsp:val=&quot;007A22BF&quot;/&gt;&lt;wsp:rsid wsp:val=&quot;007A3323&quot;/&gt;&lt;wsp:rsid wsp:val=&quot;007B72B8&quot;/&gt;&lt;wsp:rsid wsp:val=&quot;007B7A58&quot;/&gt;&lt;wsp:rsid wsp:val=&quot;007C21B5&quot;/&gt;&lt;wsp:rsid wsp:val=&quot;007E4BD2&quot;/&gt;&lt;wsp:rsid wsp:val=&quot;007F1DAD&quot;/&gt;&lt;wsp:rsid wsp:val=&quot;00801393&quot;/&gt;&lt;wsp:rsid wsp:val=&quot;00802F88&quot;/&gt;&lt;wsp:rsid wsp:val=&quot;0081293E&quot;/&gt;&lt;wsp:rsid wsp:val=&quot;00815465&quot;/&gt;&lt;wsp:rsid wsp:val=&quot;00817E9A&quot;/&gt;&lt;wsp:rsid wsp:val=&quot;008306BD&quot;/&gt;&lt;wsp:rsid wsp:val=&quot;00831A80&quot;/&gt;&lt;wsp:rsid wsp:val=&quot;00833743&quot;/&gt;&lt;wsp:rsid wsp:val=&quot;008340A4&quot;/&gt;&lt;wsp:rsid wsp:val=&quot;00860650&quot;/&gt;&lt;wsp:rsid wsp:val=&quot;0086181C&quot;/&gt;&lt;wsp:rsid wsp:val=&quot;0087135F&quot;/&gt;&lt;wsp:rsid wsp:val=&quot;00872D94&quot;/&gt;&lt;wsp:rsid wsp:val=&quot;00880364&quot;/&gt;&lt;wsp:rsid wsp:val=&quot;00887126&quot;/&gt;&lt;wsp:rsid wsp:val=&quot;00891592&quot;/&gt;&lt;wsp:rsid wsp:val=&quot;00891E9E&quot;/&gt;&lt;wsp:rsid wsp:val=&quot;00893BB8&quot;/&gt;&lt;wsp:rsid wsp:val=&quot;008A2F68&quot;/&gt;&lt;wsp:rsid wsp:val=&quot;008B4FA6&quot;/&gt;&lt;wsp:rsid wsp:val=&quot;008B5282&quot;/&gt;&lt;wsp:rsid wsp:val=&quot;008B7139&quot;/&gt;&lt;wsp:rsid wsp:val=&quot;008B7C17&quot;/&gt;&lt;wsp:rsid wsp:val=&quot;008C2D01&quot;/&gt;&lt;wsp:rsid wsp:val=&quot;008C40E6&quot;/&gt;&lt;wsp:rsid wsp:val=&quot;008D0F7A&quot;/&gt;&lt;wsp:rsid wsp:val=&quot;008D68E4&quot;/&gt;&lt;wsp:rsid wsp:val=&quot;008E0506&quot;/&gt;&lt;wsp:rsid wsp:val=&quot;008E0CFF&quot;/&gt;&lt;wsp:rsid wsp:val=&quot;008E5D6B&quot;/&gt;&lt;wsp:rsid wsp:val=&quot;008E76F0&quot;/&gt;&lt;wsp:rsid wsp:val=&quot;008F15FE&quot;/&gt;&lt;wsp:rsid wsp:val=&quot;008F2D29&quot;/&gt;&lt;wsp:rsid wsp:val=&quot;008F5187&quot;/&gt;&lt;wsp:rsid wsp:val=&quot;008F60D8&quot;/&gt;&lt;wsp:rsid wsp:val=&quot;00902727&quot;/&gt;&lt;wsp:rsid wsp:val=&quot;0090312B&quot;/&gt;&lt;wsp:rsid wsp:val=&quot;0091736D&quot;/&gt;&lt;wsp:rsid wsp:val=&quot;00921F5A&quot;/&gt;&lt;wsp:rsid wsp:val=&quot;00925AB1&quot;/&gt;&lt;wsp:rsid wsp:val=&quot;0093037A&quot;/&gt;&lt;wsp:rsid wsp:val=&quot;0094154D&quot;/&gt;&lt;wsp:rsid wsp:val=&quot;00950971&quot;/&gt;&lt;wsp:rsid wsp:val=&quot;0095155F&quot;/&gt;&lt;wsp:rsid wsp:val=&quot;00954429&quot;/&gt;&lt;wsp:rsid wsp:val=&quot;009563CE&quot;/&gt;&lt;wsp:rsid wsp:val=&quot;0096551F&quot;/&gt;&lt;wsp:rsid wsp:val=&quot;00976328&quot;/&gt;&lt;wsp:rsid wsp:val=&quot;0097680D&quot;/&gt;&lt;wsp:rsid wsp:val=&quot;009778D2&quot;/&gt;&lt;wsp:rsid wsp:val=&quot;00982438&quot;/&gt;&lt;wsp:rsid wsp:val=&quot;0098404C&quot;/&gt;&lt;wsp:rsid wsp:val=&quot;00984C45&quot;/&gt;&lt;wsp:rsid wsp:val=&quot;00985283&quot;/&gt;&lt;wsp:rsid wsp:val=&quot;00995992&quot;/&gt;&lt;wsp:rsid wsp:val=&quot;00997616&quot;/&gt;&lt;wsp:rsid wsp:val=&quot;00997F3F&quot;/&gt;&lt;wsp:rsid wsp:val=&quot;009A03E5&quot;/&gt;&lt;wsp:rsid wsp:val=&quot;009A0F3B&quot;/&gt;&lt;wsp:rsid wsp:val=&quot;009A1BB4&quot;/&gt;&lt;wsp:rsid wsp:val=&quot;009A2628&quot;/&gt;&lt;wsp:rsid wsp:val=&quot;009A3200&quot;/&gt;&lt;wsp:rsid wsp:val=&quot;009A3D24&quot;/&gt;&lt;wsp:rsid wsp:val=&quot;009B0897&quot;/&gt;&lt;wsp:rsid wsp:val=&quot;009B7BD9&quot;/&gt;&lt;wsp:rsid wsp:val=&quot;009C7DD5&quot;/&gt;&lt;wsp:rsid wsp:val=&quot;009E227D&quot;/&gt;&lt;wsp:rsid wsp:val=&quot;009E5019&quot;/&gt;&lt;wsp:rsid wsp:val=&quot;00A008CA&quot;/&gt;&lt;wsp:rsid wsp:val=&quot;00A04F1B&quot;/&gt;&lt;wsp:rsid wsp:val=&quot;00A0501B&quot;/&gt;&lt;wsp:rsid wsp:val=&quot;00A1120A&quot;/&gt;&lt;wsp:rsid wsp:val=&quot;00A11740&quot;/&gt;&lt;wsp:rsid wsp:val=&quot;00A14947&quot;/&gt;&lt;wsp:rsid wsp:val=&quot;00A32A83&quot;/&gt;&lt;wsp:rsid wsp:val=&quot;00A368DB&quot;/&gt;&lt;wsp:rsid wsp:val=&quot;00A423AA&quot;/&gt;&lt;wsp:rsid wsp:val=&quot;00A53EC6&quot;/&gt;&lt;wsp:rsid wsp:val=&quot;00A55C0F&quot;/&gt;&lt;wsp:rsid wsp:val=&quot;00A8713F&quot;/&gt;&lt;wsp:rsid wsp:val=&quot;00A90BA1&quot;/&gt;&lt;wsp:rsid wsp:val=&quot;00A97A9A&quot;/&gt;&lt;wsp:rsid wsp:val=&quot;00AA0671&quot;/&gt;&lt;wsp:rsid wsp:val=&quot;00AA2531&quot;/&gt;&lt;wsp:rsid wsp:val=&quot;00AB078A&quot;/&gt;&lt;wsp:rsid wsp:val=&quot;00AB1E09&quot;/&gt;&lt;wsp:rsid wsp:val=&quot;00AB5330&quot;/&gt;&lt;wsp:rsid wsp:val=&quot;00AB7747&quot;/&gt;&lt;wsp:rsid wsp:val=&quot;00AC14CE&quot;/&gt;&lt;wsp:rsid wsp:val=&quot;00AC2A56&quot;/&gt;&lt;wsp:rsid wsp:val=&quot;00AD055E&quot;/&gt;&lt;wsp:rsid wsp:val=&quot;00AD47A7&quot;/&gt;&lt;wsp:rsid wsp:val=&quot;00AE5D95&quot;/&gt;&lt;wsp:rsid wsp:val=&quot;00AF0CBF&quot;/&gt;&lt;wsp:rsid wsp:val=&quot;00AF257F&quot;/&gt;&lt;wsp:rsid wsp:val=&quot;00AF33CF&quot;/&gt;&lt;wsp:rsid wsp:val=&quot;00AF4D50&quot;/&gt;&lt;wsp:rsid wsp:val=&quot;00AF6179&quot;/&gt;&lt;wsp:rsid wsp:val=&quot;00B11741&quot;/&gt;&lt;wsp:rsid wsp:val=&quot;00B1295A&quot;/&gt;&lt;wsp:rsid wsp:val=&quot;00B20A45&quot;/&gt;&lt;wsp:rsid wsp:val=&quot;00B22C5C&quot;/&gt;&lt;wsp:rsid wsp:val=&quot;00B24F30&quot;/&gt;&lt;wsp:rsid wsp:val=&quot;00B31ABF&quot;/&gt;&lt;wsp:rsid wsp:val=&quot;00B33BE3&quot;/&gt;&lt;wsp:rsid wsp:val=&quot;00B53B5D&quot;/&gt;&lt;wsp:rsid wsp:val=&quot;00B6055E&quot;/&gt;&lt;wsp:rsid wsp:val=&quot;00B6317D&quot;/&gt;&lt;wsp:rsid wsp:val=&quot;00B7723F&quot;/&gt;&lt;wsp:rsid wsp:val=&quot;00B80534&quot;/&gt;&lt;wsp:rsid wsp:val=&quot;00B8433C&quot;/&gt;&lt;wsp:rsid wsp:val=&quot;00B87491&quot;/&gt;&lt;wsp:rsid wsp:val=&quot;00BA29E9&quot;/&gt;&lt;wsp:rsid wsp:val=&quot;00BA411F&quot;/&gt;&lt;wsp:rsid wsp:val=&quot;00BA59AB&quot;/&gt;&lt;wsp:rsid wsp:val=&quot;00BA7142&quot;/&gt;&lt;wsp:rsid wsp:val=&quot;00BB1281&quot;/&gt;&lt;wsp:rsid wsp:val=&quot;00BB150D&quot;/&gt;&lt;wsp:rsid wsp:val=&quot;00BB237C&quot;/&gt;&lt;wsp:rsid wsp:val=&quot;00BB41A3&quot;/&gt;&lt;wsp:rsid wsp:val=&quot;00BC32DC&quot;/&gt;&lt;wsp:rsid wsp:val=&quot;00BC35B6&quot;/&gt;&lt;wsp:rsid wsp:val=&quot;00BC6061&quot;/&gt;&lt;wsp:rsid wsp:val=&quot;00BC6A3E&quot;/&gt;&lt;wsp:rsid wsp:val=&quot;00BD1B51&quot;/&gt;&lt;wsp:rsid wsp:val=&quot;00BD4596&quot;/&gt;&lt;wsp:rsid wsp:val=&quot;00BE1405&quot;/&gt;&lt;wsp:rsid wsp:val=&quot;00BE312D&quot;/&gt;&lt;wsp:rsid wsp:val=&quot;00BF1C20&quot;/&gt;&lt;wsp:rsid wsp:val=&quot;00C10578&quot;/&gt;&lt;wsp:rsid wsp:val=&quot;00C135BC&quot;/&gt;&lt;wsp:rsid wsp:val=&quot;00C15C95&quot;/&gt;&lt;wsp:rsid wsp:val=&quot;00C2596A&quot;/&gt;&lt;wsp:rsid wsp:val=&quot;00C27537&quot;/&gt;&lt;wsp:rsid wsp:val=&quot;00C328FE&quot;/&gt;&lt;wsp:rsid wsp:val=&quot;00C33507&quot;/&gt;&lt;wsp:rsid wsp:val=&quot;00C34894&quot;/&gt;&lt;wsp:rsid wsp:val=&quot;00C35762&quot;/&gt;&lt;wsp:rsid wsp:val=&quot;00C4409D&quot;/&gt;&lt;wsp:rsid wsp:val=&quot;00C44E72&quot;/&gt;&lt;wsp:rsid wsp:val=&quot;00C4581E&quot;/&gt;&lt;wsp:rsid wsp:val=&quot;00C45A06&quot;/&gt;&lt;wsp:rsid wsp:val=&quot;00C47E5B&quot;/&gt;&lt;wsp:rsid wsp:val=&quot;00C61ADE&quot;/&gt;&lt;wsp:rsid wsp:val=&quot;00C61E4B&quot;/&gt;&lt;wsp:rsid wsp:val=&quot;00C64BFF&quot;/&gt;&lt;wsp:rsid wsp:val=&quot;00C704E9&quot;/&gt;&lt;wsp:rsid wsp:val=&quot;00C763C9&quot;/&gt;&lt;wsp:rsid wsp:val=&quot;00C7661A&quot;/&gt;&lt;wsp:rsid wsp:val=&quot;00C80057&quot;/&gt;&lt;wsp:rsid wsp:val=&quot;00C82232&quot;/&gt;&lt;wsp:rsid wsp:val=&quot;00C82913&quot;/&gt;&lt;wsp:rsid wsp:val=&quot;00C916A2&quot;/&gt;&lt;wsp:rsid wsp:val=&quot;00C972B1&quot;/&gt;&lt;wsp:rsid wsp:val=&quot;00CA2CCE&quot;/&gt;&lt;wsp:rsid wsp:val=&quot;00CA43FD&quot;/&gt;&lt;wsp:rsid wsp:val=&quot;00CA7EF8&quot;/&gt;&lt;wsp:rsid wsp:val=&quot;00CC489B&quot;/&gt;&lt;wsp:rsid wsp:val=&quot;00CD2BCD&quot;/&gt;&lt;wsp:rsid wsp:val=&quot;00CD2FA6&quot;/&gt;&lt;wsp:rsid wsp:val=&quot;00CD3A4C&quot;/&gt;&lt;wsp:rsid wsp:val=&quot;00CE10E9&quot;/&gt;&lt;wsp:rsid wsp:val=&quot;00CE2910&quot;/&gt;&lt;wsp:rsid wsp:val=&quot;00CE5393&quot;/&gt;&lt;wsp:rsid wsp:val=&quot;00CF36BE&quot;/&gt;&lt;wsp:rsid wsp:val=&quot;00CF6000&quot;/&gt;&lt;wsp:rsid wsp:val=&quot;00D003F3&quot;/&gt;&lt;wsp:rsid wsp:val=&quot;00D0364F&quot;/&gt;&lt;wsp:rsid wsp:val=&quot;00D06834&quot;/&gt;&lt;wsp:rsid wsp:val=&quot;00D257B2&quot;/&gt;&lt;wsp:rsid wsp:val=&quot;00D25947&quot;/&gt;&lt;wsp:rsid wsp:val=&quot;00D308ED&quot;/&gt;&lt;wsp:rsid wsp:val=&quot;00D36D86&quot;/&gt;&lt;wsp:rsid wsp:val=&quot;00D428AA&quot;/&gt;&lt;wsp:rsid wsp:val=&quot;00D50A34&quot;/&gt;&lt;wsp:rsid wsp:val=&quot;00D53EFA&quot;/&gt;&lt;wsp:rsid wsp:val=&quot;00D83B2F&quot;/&gt;&lt;wsp:rsid wsp:val=&quot;00D92D5C&quot;/&gt;&lt;wsp:rsid wsp:val=&quot;00D94A7C&quot;/&gt;&lt;wsp:rsid wsp:val=&quot;00D95896&quot;/&gt;&lt;wsp:rsid wsp:val=&quot;00DB2983&quot;/&gt;&lt;wsp:rsid wsp:val=&quot;00DC1257&quot;/&gt;&lt;wsp:rsid wsp:val=&quot;00DC3DC0&quot;/&gt;&lt;wsp:rsid wsp:val=&quot;00DC5B2B&quot;/&gt;&lt;wsp:rsid wsp:val=&quot;00DD318D&quot;/&gt;&lt;wsp:rsid wsp:val=&quot;00DD36CB&quot;/&gt;&lt;wsp:rsid wsp:val=&quot;00DD7B97&quot;/&gt;&lt;wsp:rsid wsp:val=&quot;00DE58CB&quot;/&gt;&lt;wsp:rsid wsp:val=&quot;00DF2E12&quot;/&gt;&lt;wsp:rsid wsp:val=&quot;00DF514A&quot;/&gt;&lt;wsp:rsid wsp:val=&quot;00DF6690&quot;/&gt;&lt;wsp:rsid wsp:val=&quot;00DF6804&quot;/&gt;&lt;wsp:rsid wsp:val=&quot;00E0358D&quot;/&gt;&lt;wsp:rsid wsp:val=&quot;00E04323&quot;/&gt;&lt;wsp:rsid wsp:val=&quot;00E070A2&quot;/&gt;&lt;wsp:rsid wsp:val=&quot;00E2656A&quot;/&gt;&lt;wsp:rsid wsp:val=&quot;00E412D0&quot;/&gt;&lt;wsp:rsid wsp:val=&quot;00E4208C&quot;/&gt;&lt;wsp:rsid wsp:val=&quot;00E56322&quot;/&gt;&lt;wsp:rsid wsp:val=&quot;00E60982&quot;/&gt;&lt;wsp:rsid wsp:val=&quot;00E62C62&quot;/&gt;&lt;wsp:rsid wsp:val=&quot;00E654C1&quot;/&gt;&lt;wsp:rsid wsp:val=&quot;00E65D97&quot;/&gt;&lt;wsp:rsid wsp:val=&quot;00E72A5A&quot;/&gt;&lt;wsp:rsid wsp:val=&quot;00E73354&quot;/&gt;&lt;wsp:rsid wsp:val=&quot;00E9242D&quot;/&gt;&lt;wsp:rsid wsp:val=&quot;00EB5255&quot;/&gt;&lt;wsp:rsid wsp:val=&quot;00EB5C47&quot;/&gt;&lt;wsp:rsid wsp:val=&quot;00ED0639&quot;/&gt;&lt;wsp:rsid wsp:val=&quot;00ED4113&quot;/&gt;&lt;wsp:rsid wsp:val=&quot;00EE0B1A&quot;/&gt;&lt;wsp:rsid wsp:val=&quot;00EF4755&quot;/&gt;&lt;wsp:rsid wsp:val=&quot;00EF7135&quot;/&gt;&lt;wsp:rsid wsp:val=&quot;00F027DB&quot;/&gt;&lt;wsp:rsid wsp:val=&quot;00F047EE&quot;/&gt;&lt;wsp:rsid wsp:val=&quot;00F14A7A&quot;/&gt;&lt;wsp:rsid wsp:val=&quot;00F22985&quot;/&gt;&lt;wsp:rsid wsp:val=&quot;00F3383E&quot;/&gt;&lt;wsp:rsid wsp:val=&quot;00F415DA&quot;/&gt;&lt;wsp:rsid wsp:val=&quot;00F465A7&quot;/&gt;&lt;wsp:rsid wsp:val=&quot;00F47691&quot;/&gt;&lt;wsp:rsid wsp:val=&quot;00F50B7C&quot;/&gt;&lt;wsp:rsid wsp:val=&quot;00F550E6&quot;/&gt;&lt;wsp:rsid wsp:val=&quot;00F74345&quot;/&gt;&lt;wsp:rsid wsp:val=&quot;00F751E3&quot;/&gt;&lt;wsp:rsid wsp:val=&quot;00F80A0A&quot;/&gt;&lt;wsp:rsid wsp:val=&quot;00F82B19&quot;/&gt;&lt;wsp:rsid wsp:val=&quot;00F9212D&quot;/&gt;&lt;wsp:rsid wsp:val=&quot;00F965DA&quot;/&gt;&lt;wsp:rsid wsp:val=&quot;00FA406A&quot;/&gt;&lt;wsp:rsid wsp:val=&quot;00FB4BE9&quot;/&gt;&lt;wsp:rsid wsp:val=&quot;00FB503A&quot;/&gt;&lt;wsp:rsid wsp:val=&quot;00FB516C&quot;/&gt;&lt;wsp:rsid wsp:val=&quot;00FC5C13&quot;/&gt;&lt;wsp:rsid wsp:val=&quot;00FD0236&quot;/&gt;&lt;wsp:rsid wsp:val=&quot;00FD18F4&quot;/&gt;&lt;wsp:rsid wsp:val=&quot;00FD54DB&quot;/&gt;&lt;wsp:rsid wsp:val=&quot;00FD619F&quot;/&gt;&lt;wsp:rsid wsp:val=&quot;00FF20BC&quot;/&gt;&lt;wsp:rsid wsp:val=&quot;01290F7E&quot;/&gt;&lt;wsp:rsid wsp:val=&quot;015D1E09&quot;/&gt;&lt;wsp:rsid wsp:val=&quot;01E87118&quot;/&gt;&lt;wsp:rsid wsp:val=&quot;0218552F&quot;/&gt;&lt;wsp:rsid wsp:val=&quot;025361AE&quot;/&gt;&lt;wsp:rsid wsp:val=&quot;02697903&quot;/&gt;&lt;wsp:rsid wsp:val=&quot;02F96569&quot;/&gt;&lt;wsp:rsid wsp:val=&quot;037A0D1E&quot;/&gt;&lt;wsp:rsid wsp:val=&quot;039A1FC0&quot;/&gt;&lt;wsp:rsid wsp:val=&quot;03C03384&quot;/&gt;&lt;wsp:rsid wsp:val=&quot;03EA7B21&quot;/&gt;&lt;wsp:rsid wsp:val=&quot;04567FC7&quot;/&gt;&lt;wsp:rsid wsp:val=&quot;04642EFB&quot;/&gt;&lt;wsp:rsid wsp:val=&quot;048B1812&quot;/&gt;&lt;wsp:rsid wsp:val=&quot;04907E86&quot;/&gt;&lt;wsp:rsid wsp:val=&quot;054F0F59&quot;/&gt;&lt;wsp:rsid wsp:val=&quot;056C36CA&quot;/&gt;&lt;wsp:rsid wsp:val=&quot;059A5307&quot;/&gt;&lt;wsp:rsid wsp:val=&quot;05CB22B8&quot;/&gt;&lt;wsp:rsid wsp:val=&quot;05E21B0A&quot;/&gt;&lt;wsp:rsid wsp:val=&quot;05F83EAE&quot;/&gt;&lt;wsp:rsid wsp:val=&quot;063E7D85&quot;/&gt;&lt;wsp:rsid wsp:val=&quot;06613FB4&quot;/&gt;&lt;wsp:rsid wsp:val=&quot;06B36009&quot;/&gt;&lt;wsp:rsid wsp:val=&quot;06C471E4&quot;/&gt;&lt;wsp:rsid wsp:val=&quot;06CC630A&quot;/&gt;&lt;wsp:rsid wsp:val=&quot;07023993&quot;/&gt;&lt;wsp:rsid wsp:val=&quot;07293586&quot;/&gt;&lt;wsp:rsid wsp:val=&quot;07295285&quot;/&gt;&lt;wsp:rsid wsp:val=&quot;074053AA&quot;/&gt;&lt;wsp:rsid wsp:val=&quot;07636392&quot;/&gt;&lt;wsp:rsid wsp:val=&quot;07770C56&quot;/&gt;&lt;wsp:rsid wsp:val=&quot;07CC2DE3&quot;/&gt;&lt;wsp:rsid wsp:val=&quot;080F5E3B&quot;/&gt;&lt;wsp:rsid wsp:val=&quot;0818196E&quot;/&gt;&lt;wsp:rsid wsp:val=&quot;087152CF&quot;/&gt;&lt;wsp:rsid wsp:val=&quot;092217DD&quot;/&gt;&lt;wsp:rsid wsp:val=&quot;09342E0D&quot;/&gt;&lt;wsp:rsid wsp:val=&quot;0934383A&quot;/&gt;&lt;wsp:rsid wsp:val=&quot;093A7294&quot;/&gt;&lt;wsp:rsid wsp:val=&quot;09893F4C&quot;/&gt;&lt;wsp:rsid wsp:val=&quot;09D62FEF&quot;/&gt;&lt;wsp:rsid wsp:val=&quot;09E035A2&quot;/&gt;&lt;wsp:rsid wsp:val=&quot;09E203D4&quot;/&gt;&lt;wsp:rsid wsp:val=&quot;0A105D5F&quot;/&gt;&lt;wsp:rsid wsp:val=&quot;0A263993&quot;/&gt;&lt;wsp:rsid wsp:val=&quot;0A2D3AC2&quot;/&gt;&lt;wsp:rsid wsp:val=&quot;0A70257D&quot;/&gt;&lt;wsp:rsid wsp:val=&quot;0A8B1CA2&quot;/&gt;&lt;wsp:rsid wsp:val=&quot;0AA755DF&quot;/&gt;&lt;wsp:rsid wsp:val=&quot;0AC64AD7&quot;/&gt;&lt;wsp:rsid wsp:val=&quot;0AF42E58&quot;/&gt;&lt;wsp:rsid wsp:val=&quot;0B0E0708&quot;/&gt;&lt;wsp:rsid wsp:val=&quot;0B0E5950&quot;/&gt;&lt;wsp:rsid wsp:val=&quot;0B120D44&quot;/&gt;&lt;wsp:rsid wsp:val=&quot;0B6C2CB7&quot;/&gt;&lt;wsp:rsid wsp:val=&quot;0BD27BF6&quot;/&gt;&lt;wsp:rsid wsp:val=&quot;0BE44814&quot;/&gt;&lt;wsp:rsid wsp:val=&quot;0C1C4A8B&quot;/&gt;&lt;wsp:rsid wsp:val=&quot;0C3B3C7D&quot;/&gt;&lt;wsp:rsid wsp:val=&quot;0C586940&quot;/&gt;&lt;wsp:rsid wsp:val=&quot;0CAB2EAE&quot;/&gt;&lt;wsp:rsid wsp:val=&quot;0CBC6728&quot;/&gt;&lt;wsp:rsid wsp:val=&quot;0CD61310&quot;/&gt;&lt;wsp:rsid wsp:val=&quot;0D0575D5&quot;/&gt;&lt;wsp:rsid wsp:val=&quot;0D621C7D&quot;/&gt;&lt;wsp:rsid wsp:val=&quot;0DA30E9A&quot;/&gt;&lt;wsp:rsid wsp:val=&quot;0E1F3E0E&quot;/&gt;&lt;wsp:rsid wsp:val=&quot;0E234BDE&quot;/&gt;&lt;wsp:rsid wsp:val=&quot;0E573683&quot;/&gt;&lt;wsp:rsid wsp:val=&quot;0E73034D&quot;/&gt;&lt;wsp:rsid wsp:val=&quot;0E7865F4&quot;/&gt;&lt;wsp:rsid wsp:val=&quot;0E927F36&quot;/&gt;&lt;wsp:rsid wsp:val=&quot;0EBF51C2&quot;/&gt;&lt;wsp:rsid wsp:val=&quot;0F13775A&quot;/&gt;&lt;wsp:rsid wsp:val=&quot;0F19589C&quot;/&gt;&lt;wsp:rsid wsp:val=&quot;0F3B63B4&quot;/&gt;&lt;wsp:rsid wsp:val=&quot;0F5F45FE&quot;/&gt;&lt;wsp:rsid wsp:val=&quot;0F9A112B&quot;/&gt;&lt;wsp:rsid wsp:val=&quot;104064BB&quot;/&gt;&lt;wsp:rsid wsp:val=&quot;106D2F64&quot;/&gt;&lt;wsp:rsid wsp:val=&quot;108A53B2&quot;/&gt;&lt;wsp:rsid wsp:val=&quot;10B63710&quot;/&gt;&lt;wsp:rsid wsp:val=&quot;10F10820&quot;/&gt;&lt;wsp:rsid wsp:val=&quot;111605EC&quot;/&gt;&lt;wsp:rsid wsp:val=&quot;111C2F7A&quot;/&gt;&lt;wsp:rsid wsp:val=&quot;11665CA1&quot;/&gt;&lt;wsp:rsid wsp:val=&quot;11772A66&quot;/&gt;&lt;wsp:rsid wsp:val=&quot;11C01443&quot;/&gt;&lt;wsp:rsid wsp:val=&quot;120F5AE3&quot;/&gt;&lt;wsp:rsid wsp:val=&quot;123C3C07&quot;/&gt;&lt;wsp:rsid wsp:val=&quot;1279626B&quot;/&gt;&lt;wsp:rsid wsp:val=&quot;12871A45&quot;/&gt;&lt;wsp:rsid wsp:val=&quot;12C12E2C&quot;/&gt;&lt;wsp:rsid wsp:val=&quot;12FD48CE&quot;/&gt;&lt;wsp:rsid wsp:val=&quot;13951726&quot;/&gt;&lt;wsp:rsid wsp:val=&quot;143320C1&quot;/&gt;&lt;wsp:rsid wsp:val=&quot;14396509&quot;/&gt;&lt;wsp:rsid wsp:val=&quot;14DD2C3C&quot;/&gt;&lt;wsp:rsid wsp:val=&quot;14E16BE7&quot;/&gt;&lt;wsp:rsid wsp:val=&quot;15A11F3B&quot;/&gt;&lt;wsp:rsid wsp:val=&quot;15E67E0E&quot;/&gt;&lt;wsp:rsid wsp:val=&quot;16087E1D&quot;/&gt;&lt;wsp:rsid wsp:val=&quot;16CA4982&quot;/&gt;&lt;wsp:rsid wsp:val=&quot;16D16777&quot;/&gt;&lt;wsp:rsid wsp:val=&quot;1726002F&quot;/&gt;&lt;wsp:rsid wsp:val=&quot;17271A20&quot;/&gt;&lt;wsp:rsid wsp:val=&quot;17545C0C&quot;/&gt;&lt;wsp:rsid wsp:val=&quot;17701D14&quot;/&gt;&lt;wsp:rsid wsp:val=&quot;17735226&quot;/&gt;&lt;wsp:rsid wsp:val=&quot;17EE3F4E&quot;/&gt;&lt;wsp:rsid wsp:val=&quot;187A33BE&quot;/&gt;&lt;wsp:rsid wsp:val=&quot;189F624C&quot;/&gt;&lt;wsp:rsid wsp:val=&quot;192640DD&quot;/&gt;&lt;wsp:rsid wsp:val=&quot;19626972&quot;/&gt;&lt;wsp:rsid wsp:val=&quot;1A1C66C0&quot;/&gt;&lt;wsp:rsid wsp:val=&quot;1A402445&quot;/&gt;&lt;wsp:rsid wsp:val=&quot;1A42393B&quot;/&gt;&lt;wsp:rsid wsp:val=&quot;1A4D4D07&quot;/&gt;&lt;wsp:rsid wsp:val=&quot;1A866206&quot;/&gt;&lt;wsp:rsid wsp:val=&quot;1AAD45DE&quot;/&gt;&lt;wsp:rsid wsp:val=&quot;1B046F80&quot;/&gt;&lt;wsp:rsid wsp:val=&quot;1B2E4CF7&quot;/&gt;&lt;wsp:rsid wsp:val=&quot;1B3267B5&quot;/&gt;&lt;wsp:rsid wsp:val=&quot;1B40161D&quot;/&gt;&lt;wsp:rsid wsp:val=&quot;1B4021C6&quot;/&gt;&lt;wsp:rsid wsp:val=&quot;1B441859&quot;/&gt;&lt;wsp:rsid wsp:val=&quot;1B510FC3&quot;/&gt;&lt;wsp:rsid wsp:val=&quot;1B563749&quot;/&gt;&lt;wsp:rsid wsp:val=&quot;1B5B6495&quot;/&gt;&lt;wsp:rsid wsp:val=&quot;1B6606B1&quot;/&gt;&lt;wsp:rsid wsp:val=&quot;1B824D88&quot;/&gt;&lt;wsp:rsid wsp:val=&quot;1B8A7C8B&quot;/&gt;&lt;wsp:rsid wsp:val=&quot;1C176EFB&quot;/&gt;&lt;wsp:rsid wsp:val=&quot;1C5E7925&quot;/&gt;&lt;wsp:rsid wsp:val=&quot;1C6C3AC3&quot;/&gt;&lt;wsp:rsid wsp:val=&quot;1C8938FF&quot;/&gt;&lt;wsp:rsid wsp:val=&quot;1CBD236E&quot;/&gt;&lt;wsp:rsid wsp:val=&quot;1CFD070F&quot;/&gt;&lt;wsp:rsid wsp:val=&quot;1D155248&quot;/&gt;&lt;wsp:rsid wsp:val=&quot;1D2C7FD9&quot;/&gt;&lt;wsp:rsid wsp:val=&quot;1D5F6196&quot;/&gt;&lt;wsp:rsid wsp:val=&quot;1D6132A5&quot;/&gt;&lt;wsp:rsid wsp:val=&quot;1D8E56D5&quot;/&gt;&lt;wsp:rsid wsp:val=&quot;1DE751F7&quot;/&gt;&lt;wsp:rsid wsp:val=&quot;1E7A43DA&quot;/&gt;&lt;wsp:rsid wsp:val=&quot;1F6B2DBC&quot;/&gt;&lt;wsp:rsid wsp:val=&quot;1FE7539E&quot;/&gt;&lt;wsp:rsid wsp:val=&quot;20671BE0&quot;/&gt;&lt;wsp:rsid wsp:val=&quot;20963CB8&quot;/&gt;&lt;wsp:rsid wsp:val=&quot;20A81A1B&quot;/&gt;&lt;wsp:rsid wsp:val=&quot;20B07FB6&quot;/&gt;&lt;wsp:rsid wsp:val=&quot;20B646FB&quot;/&gt;&lt;wsp:rsid wsp:val=&quot;21387DBA&quot;/&gt;&lt;wsp:rsid wsp:val=&quot;213B74B1&quot;/&gt;&lt;wsp:rsid wsp:val=&quot;213F54F3&quot;/&gt;&lt;wsp:rsid wsp:val=&quot;215A2310&quot;/&gt;&lt;wsp:rsid wsp:val=&quot;216C0E52&quot;/&gt;&lt;wsp:rsid wsp:val=&quot;21CA2ECA&quot;/&gt;&lt;wsp:rsid wsp:val=&quot;21DE318A&quot;/&gt;&lt;wsp:rsid wsp:val=&quot;21EF5B80&quot;/&gt;&lt;wsp:rsid wsp:val=&quot;22576990&quot;/&gt;&lt;wsp:rsid wsp:val=&quot;22622EFD&quot;/&gt;&lt;wsp:rsid wsp:val=&quot;227463C6&quot;/&gt;&lt;wsp:rsid wsp:val=&quot;22F47480&quot;/&gt;&lt;wsp:rsid wsp:val=&quot;23527940&quot;/&gt;&lt;wsp:rsid wsp:val=&quot;23600250&quot;/&gt;&lt;wsp:rsid wsp:val=&quot;23DE1C48&quot;/&gt;&lt;wsp:rsid wsp:val=&quot;23FB6F41&quot;/&gt;&lt;wsp:rsid wsp:val=&quot;240160E8&quot;/&gt;&lt;wsp:rsid wsp:val=&quot;240210CD&quot;/&gt;&lt;wsp:rsid wsp:val=&quot;24BF09F7&quot;/&gt;&lt;wsp:rsid wsp:val=&quot;252D53FE&quot;/&gt;&lt;wsp:rsid wsp:val=&quot;254566B7&quot;/&gt;&lt;wsp:rsid wsp:val=&quot;25691E44&quot;/&gt;&lt;wsp:rsid wsp:val=&quot;25B1762D&quot;/&gt;&lt;wsp:rsid wsp:val=&quot;25EC2D81&quot;/&gt;&lt;wsp:rsid wsp:val=&quot;260F4F75&quot;/&gt;&lt;wsp:rsid wsp:val=&quot;26462A5F&quot;/&gt;&lt;wsp:rsid wsp:val=&quot;26F47ABA&quot;/&gt;&lt;wsp:rsid wsp:val=&quot;27032D45&quot;/&gt;&lt;wsp:rsid wsp:val=&quot;277057A2&quot;/&gt;&lt;wsp:rsid wsp:val=&quot;27904770&quot;/&gt;&lt;wsp:rsid wsp:val=&quot;27F54C9D&quot;/&gt;&lt;wsp:rsid wsp:val=&quot;288C0F7C&quot;/&gt;&lt;wsp:rsid wsp:val=&quot;28B44355&quot;/&gt;&lt;wsp:rsid wsp:val=&quot;28F5491F&quot;/&gt;&lt;wsp:rsid wsp:val=&quot;29032630&quot;/&gt;&lt;wsp:rsid wsp:val=&quot;29206EB8&quot;/&gt;&lt;wsp:rsid wsp:val=&quot;294C0E25&quot;/&gt;&lt;wsp:rsid wsp:val=&quot;29595666&quot;/&gt;&lt;wsp:rsid wsp:val=&quot;296A72A4&quot;/&gt;&lt;wsp:rsid wsp:val=&quot;29874881&quot;/&gt;&lt;wsp:rsid wsp:val=&quot;29AE7C0F&quot;/&gt;&lt;wsp:rsid wsp:val=&quot;29E325E0&quot;/&gt;&lt;wsp:rsid wsp:val=&quot;2A452503&quot;/&gt;&lt;wsp:rsid wsp:val=&quot;2A705676&quot;/&gt;&lt;wsp:rsid wsp:val=&quot;2AFC1CBF&quot;/&gt;&lt;wsp:rsid wsp:val=&quot;2B310F4C&quot;/&gt;&lt;wsp:rsid wsp:val=&quot;2BA936A8&quot;/&gt;&lt;wsp:rsid wsp:val=&quot;2BD1517F&quot;/&gt;&lt;wsp:rsid wsp:val=&quot;2BF229BE&quot;/&gt;&lt;wsp:rsid wsp:val=&quot;2C2E2B46&quot;/&gt;&lt;wsp:rsid wsp:val=&quot;2C315A5A&quot;/&gt;&lt;wsp:rsid wsp:val=&quot;2C331511&quot;/&gt;&lt;wsp:rsid wsp:val=&quot;2C371E9F&quot;/&gt;&lt;wsp:rsid wsp:val=&quot;2C4B1C25&quot;/&gt;&lt;wsp:rsid wsp:val=&quot;2CFC1A8F&quot;/&gt;&lt;wsp:rsid wsp:val=&quot;2D3155C9&quot;/&gt;&lt;wsp:rsid wsp:val=&quot;2D473B57&quot;/&gt;&lt;wsp:rsid wsp:val=&quot;2D816CFF&quot;/&gt;&lt;wsp:rsid wsp:val=&quot;2D8C7779&quot;/&gt;&lt;wsp:rsid wsp:val=&quot;2D9E56F5&quot;/&gt;&lt;wsp:rsid wsp:val=&quot;2E641899&quot;/&gt;&lt;wsp:rsid wsp:val=&quot;2E667F96&quot;/&gt;&lt;wsp:rsid wsp:val=&quot;2E8226AB&quot;/&gt;&lt;wsp:rsid wsp:val=&quot;2E9459BC&quot;/&gt;&lt;wsp:rsid wsp:val=&quot;2EC25C3B&quot;/&gt;&lt;wsp:rsid wsp:val=&quot;2EF32135&quot;/&gt;&lt;wsp:rsid wsp:val=&quot;2F29510F&quot;/&gt;&lt;wsp:rsid wsp:val=&quot;2FAA4B64&quot;/&gt;&lt;wsp:rsid wsp:val=&quot;2FC63BC7&quot;/&gt;&lt;wsp:rsid wsp:val=&quot;2FD065E6&quot;/&gt;&lt;wsp:rsid wsp:val=&quot;2FD96870&quot;/&gt;&lt;wsp:rsid wsp:val=&quot;303F6918&quot;/&gt;&lt;wsp:rsid wsp:val=&quot;304D3E0A&quot;/&gt;&lt;wsp:rsid wsp:val=&quot;30580BC9&quot;/&gt;&lt;wsp:rsid wsp:val=&quot;311E2ED7&quot;/&gt;&lt;wsp:rsid wsp:val=&quot;315619EE&quot;/&gt;&lt;wsp:rsid wsp:val=&quot;315C449C&quot;/&gt;&lt;wsp:rsid wsp:val=&quot;31B82709&quot;/&gt;&lt;wsp:rsid wsp:val=&quot;31D05482&quot;/&gt;&lt;wsp:rsid wsp:val=&quot;31E838BD&quot;/&gt;&lt;wsp:rsid wsp:val=&quot;320046C2&quot;/&gt;&lt;wsp:rsid wsp:val=&quot;32176BC6&quot;/&gt;&lt;wsp:rsid wsp:val=&quot;32285FED&quot;/&gt;&lt;wsp:rsid wsp:val=&quot;32400B34&quot;/&gt;&lt;wsp:rsid wsp:val=&quot;32487CC9&quot;/&gt;&lt;wsp:rsid wsp:val=&quot;32990C4B&quot;/&gt;&lt;wsp:rsid wsp:val=&quot;329E6876&quot;/&gt;&lt;wsp:rsid wsp:val=&quot;32A24394&quot;/&gt;&lt;wsp:rsid wsp:val=&quot;32B253BA&quot;/&gt;&lt;wsp:rsid wsp:val=&quot;32F41CDA&quot;/&gt;&lt;wsp:rsid wsp:val=&quot;333015F2&quot;/&gt;&lt;wsp:rsid wsp:val=&quot;334B6320&quot;/&gt;&lt;wsp:rsid wsp:val=&quot;33D934D4&quot;/&gt;&lt;wsp:rsid wsp:val=&quot;33FE2F6A&quot;/&gt;&lt;wsp:rsid wsp:val=&quot;340E07E5&quot;/&gt;&lt;wsp:rsid wsp:val=&quot;340E7385&quot;/&gt;&lt;wsp:rsid wsp:val=&quot;34235BF7&quot;/&gt;&lt;wsp:rsid wsp:val=&quot;35804B08&quot;/&gt;&lt;wsp:rsid wsp:val=&quot;358C5FA8&quot;/&gt;&lt;wsp:rsid wsp:val=&quot;35C15DF1&quot;/&gt;&lt;wsp:rsid wsp:val=&quot;35C3307A&quot;/&gt;&lt;wsp:rsid wsp:val=&quot;36074A7F&quot;/&gt;&lt;wsp:rsid wsp:val=&quot;363061D5&quot;/&gt;&lt;wsp:rsid wsp:val=&quot;36923549&quot;/&gt;&lt;wsp:rsid wsp:val=&quot;369A386C&quot;/&gt;&lt;wsp:rsid wsp:val=&quot;36B75FBF&quot;/&gt;&lt;wsp:rsid wsp:val=&quot;36BD0C45&quot;/&gt;&lt;wsp:rsid wsp:val=&quot;370D3562&quot;/&gt;&lt;wsp:rsid wsp:val=&quot;37E00298&quot;/&gt;&lt;wsp:rsid wsp:val=&quot;38B302F9&quot;/&gt;&lt;wsp:rsid wsp:val=&quot;38E210B2&quot;/&gt;&lt;wsp:rsid wsp:val=&quot;38F12CD3&quot;/&gt;&lt;wsp:rsid wsp:val=&quot;38F94775&quot;/&gt;&lt;wsp:rsid wsp:val=&quot;38FD2FD2&quot;/&gt;&lt;wsp:rsid wsp:val=&quot;38FF1793&quot;/&gt;&lt;wsp:rsid wsp:val=&quot;39013433&quot;/&gt;&lt;wsp:rsid wsp:val=&quot;392971ED&quot;/&gt;&lt;wsp:rsid wsp:val=&quot;39325651&quot;/&gt;&lt;wsp:rsid wsp:val=&quot;398B744E&quot;/&gt;&lt;wsp:rsid wsp:val=&quot;399D5F12&quot;/&gt;&lt;wsp:rsid wsp:val=&quot;39CB2FBF&quot;/&gt;&lt;wsp:rsid wsp:val=&quot;3A4670B5&quot;/&gt;&lt;wsp:rsid wsp:val=&quot;3A872856&quot;/&gt;&lt;wsp:rsid wsp:val=&quot;3AFA4CAF&quot;/&gt;&lt;wsp:rsid wsp:val=&quot;3B3763D1&quot;/&gt;&lt;wsp:rsid wsp:val=&quot;3B3D2F93&quot;/&gt;&lt;wsp:rsid wsp:val=&quot;3C2F6E1E&quot;/&gt;&lt;wsp:rsid wsp:val=&quot;3C3C31E8&quot;/&gt;&lt;wsp:rsid wsp:val=&quot;3C4F64BA&quot;/&gt;&lt;wsp:rsid wsp:val=&quot;3CA56B60&quot;/&gt;&lt;wsp:rsid wsp:val=&quot;3CDA245A&quot;/&gt;&lt;wsp:rsid wsp:val=&quot;3D1E06B7&quot;/&gt;&lt;wsp:rsid wsp:val=&quot;3DB043C0&quot;/&gt;&lt;wsp:rsid wsp:val=&quot;3DEF79C7&quot;/&gt;&lt;wsp:rsid wsp:val=&quot;3E144AB4&quot;/&gt;&lt;wsp:rsid wsp:val=&quot;3E7E4657&quot;/&gt;&lt;wsp:rsid wsp:val=&quot;3E991470&quot;/&gt;&lt;wsp:rsid wsp:val=&quot;3EDA0523&quot;/&gt;&lt;wsp:rsid wsp:val=&quot;3EF84CDF&quot;/&gt;&lt;wsp:rsid wsp:val=&quot;3F1D06AA&quot;/&gt;&lt;wsp:rsid wsp:val=&quot;3F546392&quot;/&gt;&lt;wsp:rsid wsp:val=&quot;3FC92E0A&quot;/&gt;&lt;wsp:rsid wsp:val=&quot;40383A65&quot;/&gt;&lt;wsp:rsid wsp:val=&quot;407A6407&quot;/&gt;&lt;wsp:rsid wsp:val=&quot;41684E1C&quot;/&gt;&lt;wsp:rsid wsp:val=&quot;416D1BFB&quot;/&gt;&lt;wsp:rsid wsp:val=&quot;4200449D&quot;/&gt;&lt;wsp:rsid wsp:val=&quot;423A3BCC&quot;/&gt;&lt;wsp:rsid wsp:val=&quot;424E57D2&quot;/&gt;&lt;wsp:rsid wsp:val=&quot;42757DB3&quot;/&gt;&lt;wsp:rsid wsp:val=&quot;42A26C2F&quot;/&gt;&lt;wsp:rsid wsp:val=&quot;42B26C49&quot;/&gt;&lt;wsp:rsid wsp:val=&quot;42FA2AB5&quot;/&gt;&lt;wsp:rsid wsp:val=&quot;433A6FE6&quot;/&gt;&lt;wsp:rsid wsp:val=&quot;433D64FA&quot;/&gt;&lt;wsp:rsid wsp:val=&quot;43480868&quot;/&gt;&lt;wsp:rsid wsp:val=&quot;4350713C&quot;/&gt;&lt;wsp:rsid wsp:val=&quot;435962BD&quot;/&gt;&lt;wsp:rsid wsp:val=&quot;436653E0&quot;/&gt;&lt;wsp:rsid wsp:val=&quot;43B10158&quot;/&gt;&lt;wsp:rsid wsp:val=&quot;43B34117&quot;/&gt;&lt;wsp:rsid wsp:val=&quot;43C4431A&quot;/&gt;&lt;wsp:rsid wsp:val=&quot;44265840&quot;/&gt;&lt;wsp:rsid wsp:val=&quot;44540DDC&quot;/&gt;&lt;wsp:rsid wsp:val=&quot;44B537D0&quot;/&gt;&lt;wsp:rsid wsp:val=&quot;44B951CC&quot;/&gt;&lt;wsp:rsid wsp:val=&quot;44C83FFA&quot;/&gt;&lt;wsp:rsid wsp:val=&quot;44CD14E0&quot;/&gt;&lt;wsp:rsid wsp:val=&quot;44F20B0B&quot;/&gt;&lt;wsp:rsid wsp:val=&quot;452E5F4C&quot;/&gt;&lt;wsp:rsid wsp:val=&quot;45612018&quot;/&gt;&lt;wsp:rsid wsp:val=&quot;45715A90&quot;/&gt;&lt;wsp:rsid wsp:val=&quot;458946E9&quot;/&gt;&lt;wsp:rsid wsp:val=&quot;45A47C0E&quot;/&gt;&lt;wsp:rsid wsp:val=&quot;45EA1B26&quot;/&gt;&lt;wsp:rsid wsp:val=&quot;46100E71&quot;/&gt;&lt;wsp:rsid wsp:val=&quot;462E76DF&quot;/&gt;&lt;wsp:rsid wsp:val=&quot;464A7373&quot;/&gt;&lt;wsp:rsid wsp:val=&quot;46577FD6&quot;/&gt;&lt;wsp:rsid wsp:val=&quot;46D955A7&quot;/&gt;&lt;wsp:rsid wsp:val=&quot;46E65CFB&quot;/&gt;&lt;wsp:rsid wsp:val=&quot;47133957&quot;/&gt;&lt;wsp:rsid wsp:val=&quot;476D03CA&quot;/&gt;&lt;wsp:rsid wsp:val=&quot;476D10A2&quot;/&gt;&lt;wsp:rsid wsp:val=&quot;47A07E0C&quot;/&gt;&lt;wsp:rsid wsp:val=&quot;47AC2656&quot;/&gt;&lt;wsp:rsid wsp:val=&quot;47E66256&quot;/&gt;&lt;wsp:rsid wsp:val=&quot;4870272E&quot;/&gt;&lt;wsp:rsid wsp:val=&quot;48821C16&quot;/&gt;&lt;wsp:rsid wsp:val=&quot;48930938&quot;/&gt;&lt;wsp:rsid wsp:val=&quot;489370E2&quot;/&gt;&lt;wsp:rsid wsp:val=&quot;48C02DEC&quot;/&gt;&lt;wsp:rsid wsp:val=&quot;493F7844&quot;/&gt;&lt;wsp:rsid wsp:val=&quot;49C634A9&quot;/&gt;&lt;wsp:rsid wsp:val=&quot;49D031AF&quot;/&gt;&lt;wsp:rsid wsp:val=&quot;49DC7715&quot;/&gt;&lt;wsp:rsid wsp:val=&quot;4A023139&quot;/&gt;&lt;wsp:rsid wsp:val=&quot;4A505359&quot;/&gt;&lt;wsp:rsid wsp:val=&quot;4A7B576F&quot;/&gt;&lt;wsp:rsid wsp:val=&quot;4AF561A9&quot;/&gt;&lt;wsp:rsid wsp:val=&quot;4C45370E&quot;/&gt;&lt;wsp:rsid wsp:val=&quot;4C4A0649&quot;/&gt;&lt;wsp:rsid wsp:val=&quot;4C5C47F8&quot;/&gt;&lt;wsp:rsid wsp:val=&quot;4C7E5ECA&quot;/&gt;&lt;wsp:rsid wsp:val=&quot;4C876AA5&quot;/&gt;&lt;wsp:rsid wsp:val=&quot;4CA44B8F&quot;/&gt;&lt;wsp:rsid wsp:val=&quot;4CBE21F7&quot;/&gt;&lt;wsp:rsid wsp:val=&quot;4CED0BE3&quot;/&gt;&lt;wsp:rsid wsp:val=&quot;4D0E00FB&quot;/&gt;&lt;wsp:rsid wsp:val=&quot;4D176606&quot;/&gt;&lt;wsp:rsid wsp:val=&quot;4D214C67&quot;/&gt;&lt;wsp:rsid wsp:val=&quot;4DEC4FB0&quot;/&gt;&lt;wsp:rsid wsp:val=&quot;4E075D8A&quot;/&gt;&lt;wsp:rsid wsp:val=&quot;4EBC7AB1&quot;/&gt;&lt;wsp:rsid wsp:val=&quot;4EC00FAD&quot;/&gt;&lt;wsp:rsid wsp:val=&quot;4F0E040F&quot;/&gt;&lt;wsp:rsid wsp:val=&quot;4F9843DC&quot;/&gt;&lt;wsp:rsid wsp:val=&quot;4FA34CA0&quot;/&gt;&lt;wsp:rsid wsp:val=&quot;4FBA00C1&quot;/&gt;&lt;wsp:rsid wsp:val=&quot;4FC62A8C&quot;/&gt;&lt;wsp:rsid wsp:val=&quot;4FE20F0D&quot;/&gt;&lt;wsp:rsid wsp:val=&quot;4FE51552&quot;/&gt;&lt;wsp:rsid wsp:val=&quot;501B02F3&quot;/&gt;&lt;wsp:rsid wsp:val=&quot;50504C4B&quot;/&gt;&lt;wsp:rsid wsp:val=&quot;509C6E7C&quot;/&gt;&lt;wsp:rsid wsp:val=&quot;509E53F3&quot;/&gt;&lt;wsp:rsid wsp:val=&quot;51165A18&quot;/&gt;&lt;wsp:rsid wsp:val=&quot;51453215&quot;/&gt;&lt;wsp:rsid wsp:val=&quot;51475BCA&quot;/&gt;&lt;wsp:rsid wsp:val=&quot;5162104E&quot;/&gt;&lt;wsp:rsid wsp:val=&quot;5199753B&quot;/&gt;&lt;wsp:rsid wsp:val=&quot;51B2280A&quot;/&gt;&lt;wsp:rsid wsp:val=&quot;52151F1E&quot;/&gt;&lt;wsp:rsid wsp:val=&quot;522F6979&quot;/&gt;&lt;wsp:rsid wsp:val=&quot;52630848&quot;/&gt;&lt;wsp:rsid wsp:val=&quot;52A700EA&quot;/&gt;&lt;wsp:rsid wsp:val=&quot;532335FF&quot;/&gt;&lt;wsp:rsid wsp:val=&quot;53662188&quot;/&gt;&lt;wsp:rsid wsp:val=&quot;53A039CC&quot;/&gt;&lt;wsp:rsid wsp:val=&quot;53A1505A&quot;/&gt;&lt;wsp:rsid wsp:val=&quot;54063E08&quot;/&gt;&lt;wsp:rsid wsp:val=&quot;540B2DA8&quot;/&gt;&lt;wsp:rsid wsp:val=&quot;54107FD8&quot;/&gt;&lt;wsp:rsid wsp:val=&quot;54316065&quot;/&gt;&lt;wsp:rsid wsp:val=&quot;543437E8&quot;/&gt;&lt;wsp:rsid wsp:val=&quot;54F73313&quot;/&gt;&lt;wsp:rsid wsp:val=&quot;54F80955&quot;/&gt;&lt;wsp:rsid wsp:val=&quot;550453E9&quot;/&gt;&lt;wsp:rsid wsp:val=&quot;555144CA&quot;/&gt;&lt;wsp:rsid wsp:val=&quot;555170A7&quot;/&gt;&lt;wsp:rsid wsp:val=&quot;55647FBB&quot;/&gt;&lt;wsp:rsid wsp:val=&quot;557A08E3&quot;/&gt;&lt;wsp:rsid wsp:val=&quot;55801176&quot;/&gt;&lt;wsp:rsid wsp:val=&quot;5587536D&quot;/&gt;&lt;wsp:rsid wsp:val=&quot;559B174B&quot;/&gt;&lt;wsp:rsid wsp:val=&quot;559C7FD4&quot;/&gt;&lt;wsp:rsid wsp:val=&quot;55CE0CF4&quot;/&gt;&lt;wsp:rsid wsp:val=&quot;55E22FC9&quot;/&gt;&lt;wsp:rsid wsp:val=&quot;55F71F29&quot;/&gt;&lt;wsp:rsid wsp:val=&quot;56014AC9&quot;/&gt;&lt;wsp:rsid wsp:val=&quot;569D054D&quot;/&gt;&lt;wsp:rsid wsp:val=&quot;56B22A9C&quot;/&gt;&lt;wsp:rsid wsp:val=&quot;571F0A8A&quot;/&gt;&lt;wsp:rsid wsp:val=&quot;573065FF&quot;/&gt;&lt;wsp:rsid wsp:val=&quot;576D6DB8&quot;/&gt;&lt;wsp:rsid wsp:val=&quot;577500FA&quot;/&gt;&lt;wsp:rsid wsp:val=&quot;57B72A76&quot;/&gt;&lt;wsp:rsid wsp:val=&quot;57C3426C&quot;/&gt;&lt;wsp:rsid wsp:val=&quot;57CE1F93&quot;/&gt;&lt;wsp:rsid wsp:val=&quot;57D06F89&quot;/&gt;&lt;wsp:rsid wsp:val=&quot;57E31CC5&quot;/&gt;&lt;wsp:rsid wsp:val=&quot;585C345E&quot;/&gt;&lt;wsp:rsid wsp:val=&quot;588743D1&quot;/&gt;&lt;wsp:rsid wsp:val=&quot;5887701A&quot;/&gt;&lt;wsp:rsid wsp:val=&quot;58E510FA&quot;/&gt;&lt;wsp:rsid wsp:val=&quot;5953003B&quot;/&gt;&lt;wsp:rsid wsp:val=&quot;59C0439F&quot;/&gt;&lt;wsp:rsid wsp:val=&quot;5A1A3704&quot;/&gt;&lt;wsp:rsid wsp:val=&quot;5A426891&quot;/&gt;&lt;wsp:rsid wsp:val=&quot;5A666D5A&quot;/&gt;&lt;wsp:rsid wsp:val=&quot;5ABE2233&quot;/&gt;&lt;wsp:rsid wsp:val=&quot;5B653BED&quot;/&gt;&lt;wsp:rsid wsp:val=&quot;5B8B3CD5&quot;/&gt;&lt;wsp:rsid wsp:val=&quot;5B9318E1&quot;/&gt;&lt;wsp:rsid wsp:val=&quot;5B9D2CA7&quot;/&gt;&lt;wsp:rsid wsp:val=&quot;5BD5362F&quot;/&gt;&lt;wsp:rsid wsp:val=&quot;5BDF5D95&quot;/&gt;&lt;wsp:rsid wsp:val=&quot;5BFE7528&quot;/&gt;&lt;wsp:rsid wsp:val=&quot;5D0E538A&quot;/&gt;&lt;wsp:rsid wsp:val=&quot;5D2C2159&quot;/&gt;&lt;wsp:rsid wsp:val=&quot;5D3D3258&quot;/&gt;&lt;wsp:rsid wsp:val=&quot;5D7554B2&quot;/&gt;&lt;wsp:rsid wsp:val=&quot;5DB879D0&quot;/&gt;&lt;wsp:rsid wsp:val=&quot;5DCD1D16&quot;/&gt;&lt;wsp:rsid wsp:val=&quot;5DE3698D&quot;/&gt;&lt;wsp:rsid wsp:val=&quot;5E2467F1&quot;/&gt;&lt;wsp:rsid wsp:val=&quot;5E411833&quot;/&gt;&lt;wsp:rsid wsp:val=&quot;5F1A2B43&quot;/&gt;&lt;wsp:rsid wsp:val=&quot;5F1B274D&quot;/&gt;&lt;wsp:rsid wsp:val=&quot;5F481FAB&quot;/&gt;&lt;wsp:rsid wsp:val=&quot;5F8C7496&quot;/&gt;&lt;wsp:rsid wsp:val=&quot;5FB837BB&quot;/&gt;&lt;wsp:rsid wsp:val=&quot;60625073&quot;/&gt;&lt;wsp:rsid wsp:val=&quot;60CC405A&quot;/&gt;&lt;wsp:rsid wsp:val=&quot;61270AE7&quot;/&gt;&lt;wsp:rsid wsp:val=&quot;6133248A&quot;/&gt;&lt;wsp:rsid wsp:val=&quot;61B33961&quot;/&gt;&lt;wsp:rsid wsp:val=&quot;61C55830&quot;/&gt;&lt;wsp:rsid wsp:val=&quot;61E215D8&quot;/&gt;&lt;wsp:rsid wsp:val=&quot;621B3775&quot;/&gt;&lt;wsp:rsid wsp:val=&quot;62364782&quot;/&gt;&lt;wsp:rsid wsp:val=&quot;623E425F&quot;/&gt;&lt;wsp:rsid wsp:val=&quot;624D0DB3&quot;/&gt;&lt;wsp:rsid wsp:val=&quot;626F31C2&quot;/&gt;&lt;wsp:rsid wsp:val=&quot;62B465A8&quot;/&gt;&lt;wsp:rsid wsp:val=&quot;62C14CB5&quot;/&gt;&lt;wsp:rsid wsp:val=&quot;630E2CED&quot;/&gt;&lt;wsp:rsid wsp:val=&quot;634223EB&quot;/&gt;&lt;wsp:rsid wsp:val=&quot;6394356A&quot;/&gt;&lt;wsp:rsid wsp:val=&quot;63A460CF&quot;/&gt;&lt;wsp:rsid wsp:val=&quot;63A522B5&quot;/&gt;&lt;wsp:rsid wsp:val=&quot;63C61B2C&quot;/&gt;&lt;wsp:rsid wsp:val=&quot;63D40BE9&quot;/&gt;&lt;wsp:rsid wsp:val=&quot;63FE31B3&quot;/&gt;&lt;wsp:rsid wsp:val=&quot;64102431&quot;/&gt;&lt;wsp:rsid wsp:val=&quot;646A2992&quot;/&gt;&lt;wsp:rsid wsp:val=&quot;648268B2&quot;/&gt;&lt;wsp:rsid wsp:val=&quot;64A5243A&quot;/&gt;&lt;wsp:rsid wsp:val=&quot;64F17317&quot;/&gt;&lt;wsp:rsid wsp:val=&quot;64F531DE&quot;/&gt;&lt;wsp:rsid wsp:val=&quot;650A3CB2&quot;/&gt;&lt;wsp:rsid wsp:val=&quot;65373578&quot;/&gt;&lt;wsp:rsid wsp:val=&quot;65B04360&quot;/&gt;&lt;wsp:rsid wsp:val=&quot;65FB3751&quot;/&gt;&lt;wsp:rsid wsp:val=&quot;66043CB8&quot;/&gt;&lt;wsp:rsid wsp:val=&quot;66761F34&quot;/&gt;&lt;wsp:rsid wsp:val=&quot;66B57B3B&quot;/&gt;&lt;wsp:rsid wsp:val=&quot;671F124A&quot;/&gt;&lt;wsp:rsid wsp:val=&quot;6724179D&quot;/&gt;&lt;wsp:rsid wsp:val=&quot;677A33C6&quot;/&gt;&lt;wsp:rsid wsp:val=&quot;67A749AA&quot;/&gt;&lt;wsp:rsid wsp:val=&quot;67AD755E&quot;/&gt;&lt;wsp:rsid wsp:val=&quot;67CD366A&quot;/&gt;&lt;wsp:rsid wsp:val=&quot;681F6961&quot;/&gt;&lt;wsp:rsid wsp:val=&quot;68280EF1&quot;/&gt;&lt;wsp:rsid wsp:val=&quot;68610A2F&quot;/&gt;&lt;wsp:rsid wsp:val=&quot;6866323E&quot;/&gt;&lt;wsp:rsid wsp:val=&quot;68805514&quot;/&gt;&lt;wsp:rsid wsp:val=&quot;69181B7F&quot;/&gt;&lt;wsp:rsid wsp:val=&quot;69316E2F&quot;/&gt;&lt;wsp:rsid wsp:val=&quot;694E2071&quot;/&gt;&lt;wsp:rsid wsp:val=&quot;69766163&quot;/&gt;&lt;wsp:rsid wsp:val=&quot;697A3B33&quot;/&gt;&lt;wsp:rsid wsp:val=&quot;698C6385&quot;/&gt;&lt;wsp:rsid wsp:val=&quot;69D44760&quot;/&gt;&lt;wsp:rsid wsp:val=&quot;69E64209&quot;/&gt;&lt;wsp:rsid wsp:val=&quot;6A325F84&quot;/&gt;&lt;wsp:rsid wsp:val=&quot;6A520EC7&quot;/&gt;&lt;wsp:rsid wsp:val=&quot;6A5A7AF3&quot;/&gt;&lt;wsp:rsid wsp:val=&quot;6A816762&quot;/&gt;&lt;wsp:rsid wsp:val=&quot;6AF87E20&quot;/&gt;&lt;wsp:rsid wsp:val=&quot;6B322639&quot;/&gt;&lt;wsp:rsid wsp:val=&quot;6B6F5467&quot;/&gt;&lt;wsp:rsid wsp:val=&quot;6BB876CB&quot;/&gt;&lt;wsp:rsid wsp:val=&quot;6BF60E00&quot;/&gt;&lt;wsp:rsid wsp:val=&quot;6BFF1941&quot;/&gt;&lt;wsp:rsid wsp:val=&quot;6C0057A1&quot;/&gt;&lt;wsp:rsid wsp:val=&quot;6C636C38&quot;/&gt;&lt;wsp:rsid wsp:val=&quot;6C8D65A5&quot;/&gt;&lt;wsp:rsid wsp:val=&quot;6CDB4725&quot;/&gt;&lt;wsp:rsid wsp:val=&quot;6CE42A28&quot;/&gt;&lt;wsp:rsid wsp:val=&quot;6D09759D&quot;/&gt;&lt;wsp:rsid wsp:val=&quot;6D5B5E32&quot;/&gt;&lt;wsp:rsid wsp:val=&quot;6DB34098&quot;/&gt;&lt;wsp:rsid wsp:val=&quot;6DB545B6&quot;/&gt;&lt;wsp:rsid wsp:val=&quot;6DD55BAC&quot;/&gt;&lt;wsp:rsid wsp:val=&quot;6DE02FB4&quot;/&gt;&lt;wsp:rsid wsp:val=&quot;6E35478E&quot;/&gt;&lt;wsp:rsid wsp:val=&quot;6E514CED&quot;/&gt;&lt;wsp:rsid wsp:val=&quot;6E625E8D&quot;/&gt;&lt;wsp:rsid wsp:val=&quot;6EB563D5&quot;/&gt;&lt;wsp:rsid wsp:val=&quot;6EC80BE7&quot;/&gt;&lt;wsp:rsid wsp:val=&quot;6ED92677&quot;/&gt;&lt;wsp:rsid wsp:val=&quot;6F1E4F37&quot;/&gt;&lt;wsp:rsid wsp:val=&quot;6F225983&quot;/&gt;&lt;wsp:rsid wsp:val=&quot;6F4A66DB&quot;/&gt;&lt;wsp:rsid wsp:val=&quot;6F82478D&quot;/&gt;&lt;wsp:rsid wsp:val=&quot;6FFC5590&quot;/&gt;&lt;wsp:rsid wsp:val=&quot;7007619F&quot;/&gt;&lt;wsp:rsid wsp:val=&quot;70103A27&quot;/&gt;&lt;wsp:rsid wsp:val=&quot;706D1DD0&quot;/&gt;&lt;wsp:rsid wsp:val=&quot;70856B87&quot;/&gt;&lt;wsp:rsid wsp:val=&quot;70D527EE&quot;/&gt;&lt;wsp:rsid wsp:val=&quot;70E14698&quot;/&gt;&lt;wsp:rsid wsp:val=&quot;715B5300&quot;/&gt;&lt;wsp:rsid wsp:val=&quot;71642BB3&quot;/&gt;&lt;wsp:rsid wsp:val=&quot;717F72CC&quot;/&gt;&lt;wsp:rsid wsp:val=&quot;71D27F8A&quot;/&gt;&lt;wsp:rsid wsp:val=&quot;71F7560E&quot;/&gt;&lt;wsp:rsid wsp:val=&quot;71FF5286&quot;/&gt;&lt;wsp:rsid wsp:val=&quot;72364AB3&quot;/&gt;&lt;wsp:rsid wsp:val=&quot;72553024&quot;/&gt;&lt;wsp:rsid wsp:val=&quot;73122968&quot;/&gt;&lt;wsp:rsid wsp:val=&quot;731F5D5E&quot;/&gt;&lt;wsp:rsid wsp:val=&quot;732561C7&quot;/&gt;&lt;wsp:rsid wsp:val=&quot;73382FAF&quot;/&gt;&lt;wsp:rsid wsp:val=&quot;734C38CC&quot;/&gt;&lt;wsp:rsid wsp:val=&quot;739A2FA5&quot;/&gt;&lt;wsp:rsid wsp:val=&quot;73C51AD5&quot;/&gt;&lt;wsp:rsid wsp:val=&quot;73EF4D14&quot;/&gt;&lt;wsp:rsid wsp:val=&quot;73F35CCE&quot;/&gt;&lt;wsp:rsid wsp:val=&quot;74014D4A&quot;/&gt;&lt;wsp:rsid wsp:val=&quot;741E793C&quot;/&gt;&lt;wsp:rsid wsp:val=&quot;745E3944&quot;/&gt;&lt;wsp:rsid wsp:val=&quot;747D4C15&quot;/&gt;&lt;wsp:rsid wsp:val=&quot;74975272&quot;/&gt;&lt;wsp:rsid wsp:val=&quot;74C36207&quot;/&gt;&lt;wsp:rsid wsp:val=&quot;75436590&quot;/&gt;&lt;wsp:rsid wsp:val=&quot;761B0680&quot;/&gt;&lt;wsp:rsid wsp:val=&quot;761C6913&quot;/&gt;&lt;wsp:rsid wsp:val=&quot;761E760B&quot;/&gt;&lt;wsp:rsid wsp:val=&quot;7635099D&quot;/&gt;&lt;wsp:rsid wsp:val=&quot;76952B30&quot;/&gt;&lt;wsp:rsid wsp:val=&quot;77623D91&quot;/&gt;&lt;wsp:rsid wsp:val=&quot;77762421&quot;/&gt;&lt;wsp:rsid wsp:val=&quot;77B56B1F&quot;/&gt;&lt;wsp:rsid wsp:val=&quot;77C34D48&quot;/&gt;&lt;wsp:rsid wsp:val=&quot;77F410E5&quot;/&gt;&lt;wsp:rsid wsp:val=&quot;780C4CA8&quot;/&gt;&lt;wsp:rsid wsp:val=&quot;780F09F4&quot;/&gt;&lt;wsp:rsid wsp:val=&quot;781D669A&quot;/&gt;&lt;wsp:rsid wsp:val=&quot;78842B44&quot;/&gt;&lt;wsp:rsid wsp:val=&quot;788516F0&quot;/&gt;&lt;wsp:rsid wsp:val=&quot;78A90480&quot;/&gt;&lt;wsp:rsid wsp:val=&quot;78D97A47&quot;/&gt;&lt;wsp:rsid wsp:val=&quot;78F662F8&quot;/&gt;&lt;wsp:rsid wsp:val=&quot;79537DD9&quot;/&gt;&lt;wsp:rsid wsp:val=&quot;799C1E8B&quot;/&gt;&lt;wsp:rsid wsp:val=&quot;7A117CFD&quot;/&gt;&lt;wsp:rsid wsp:val=&quot;7A364017&quot;/&gt;&lt;wsp:rsid wsp:val=&quot;7A4B6B81&quot;/&gt;&lt;wsp:rsid wsp:val=&quot;7A8265E1&quot;/&gt;&lt;wsp:rsid wsp:val=&quot;7A8368F0&quot;/&gt;&lt;wsp:rsid wsp:val=&quot;7AB12F89&quot;/&gt;&lt;wsp:rsid wsp:val=&quot;7AD46E75&quot;/&gt;&lt;wsp:rsid wsp:val=&quot;7AFB30F4&quot;/&gt;&lt;wsp:rsid wsp:val=&quot;7B5F0160&quot;/&gt;&lt;wsp:rsid wsp:val=&quot;7B683E90&quot;/&gt;&lt;wsp:rsid wsp:val=&quot;7B686D42&quot;/&gt;&lt;wsp:rsid wsp:val=&quot;7B841746&quot;/&gt;&lt;wsp:rsid wsp:val=&quot;7B9151EC&quot;/&gt;&lt;wsp:rsid wsp:val=&quot;7BA25F20&quot;/&gt;&lt;wsp:rsid wsp:val=&quot;7BCB41E6&quot;/&gt;&lt;wsp:rsid wsp:val=&quot;7BD0454F&quot;/&gt;&lt;wsp:rsid wsp:val=&quot;7C356F62&quot;/&gt;&lt;wsp:rsid wsp:val=&quot;7C5C6E33&quot;/&gt;&lt;wsp:rsid wsp:val=&quot;7C6C5AC7&quot;/&gt;&lt;wsp:rsid wsp:val=&quot;7CB07638&quot;/&gt;&lt;wsp:rsid wsp:val=&quot;7CC6544B&quot;/&gt;&lt;wsp:rsid wsp:val=&quot;7D0239FF&quot;/&gt;&lt;wsp:rsid wsp:val=&quot;7D292D1B&quot;/&gt;&lt;wsp:rsid wsp:val=&quot;7D2C1E1B&quot;/&gt;&lt;wsp:rsid wsp:val=&quot;7D5E40CD&quot;/&gt;&lt;wsp:rsid wsp:val=&quot;7D8843FA&quot;/&gt;&lt;wsp:rsid wsp:val=&quot;7D937A3B&quot;/&gt;&lt;wsp:rsid wsp:val=&quot;7DAC1103&quot;/&gt;&lt;wsp:rsid wsp:val=&quot;7DCD56F2&quot;/&gt;&lt;wsp:rsid wsp:val=&quot;7E577071&quot;/&gt;&lt;wsp:rsid wsp:val=&quot;7E9D7E83&quot;/&gt;&lt;wsp:rsid wsp:val=&quot;7EB06B62&quot;/&gt;&lt;wsp:rsid wsp:val=&quot;7EE32D92&quot;/&gt;&lt;wsp:rsid wsp:val=&quot;7F001CE7&quot;/&gt;&lt;wsp:rsid wsp:val=&quot;7F723C0F&quot;/&gt;&lt;wsp:rsid wsp:val=&quot;7F902601&quot;/&gt;&lt;wsp:rsid wsp:val=&quot;7FE47E50&quot;/&gt;&lt;/wsp:rsids&gt;&lt;/w:docPr&gt;&lt;w:body&gt;&lt;wx:sect&gt;&lt;w:p wsp:rsidR=&quot;00000000&quot; wsp:rsidRDefault=&quot;00691B9E&quot; wsp:rsidP=&quot;00691B9E&quot;&gt;&lt;m:oMathPara&gt;&lt;m:oMath&gt;&lt;m:sSub&gt;&lt;m:sSubPr&gt;&lt;m:ctrlPr&gt;&lt;w:rPr&gt;&lt;w:rFonts w:ascii=&quot;Cambria Math&quot; w:h-ansi=&quot;Cambria Math&quot; w:cs=&quot;锟斤拷锟斤拷&quot;/&gt;&lt;wx:font wx:val=&quot;Cambria Math&quot;/&gt;&lt;w:b-cs/&gt;&lt;w:i/&gt;&lt;w:color w:val=&quot;000000&quot;/&gt;&lt;w:sz w:val=&quot;24&quot;/&gt;&lt;w:sz-cs w:val=&quot;21&quot;/&gt;idP=&quot;0idP=&quot;0idP=&quot;0idP=&quot;0idP=&quot;0idP=&quot;0idP=&quot;0idP=&quot;0&lt;/w:rPr&gt;&quot;0&lt;/m:ctrlPr&gt;&lt;/m:sSubPr&gt;&lt;m:e&gt;&lt;m:r&gt;&lt;w:rPr&gt;&lt;w:rFonts w:ascii=&quot;Cambria Math&quot; w:h-ansi=&quot;Cambria Math&quot; w:cs=&quot;锟斤拷锟斤拷&quot; w:hint=&quot;fareast&quot;/&gt;&lt;wx:font wx:val=&quot;Cambria Math&quot;/&gt;&lt;w:i/&gt;&lt;w:color w:val=&quot;000000&quot;/&gt;&lt;w:keridP=&quot;0n w:vaidP=&quot;0l=&quot;0&quot;/idP=&quot;0&gt;&lt;w:szidP=&quot;0 w:validP=&quot;0=&quot;24&quot;/idP=&quot;0&gt;&lt;/w:ridP=&quot;0Pr&gt;&lt;m:idP=&quot;0t&gt;V&lt;/m:t&gt;&lt;/m:r&gt;&lt;/m&quot;0:e&gt;&lt;m:sub&gt;&lt;m:r&gt;&lt;w:rPr&gt;&lt;w:rFonts w:ascii=&quot;Cambria Math&quot; w:h-ansi=&quot;Cambria Math&quot; w:cs=&quot;锟斤拷锟斤拷&quot;/&gt;&lt;wx:font wx:val=&quot;Cambria Math&quot;/&gt;&lt;w:i/&gt;&lt;w:color w:vaidP=&quot;0l=&quot;000000&quot;/&gt;idP=&quot;0&lt;w:kern w:vaidP=&quot;0l=&quot;0&quot;/&gt;&lt;w:szidP=&quot;0 w:val=&quot;24&quot;/idP=&quot;0&gt;&lt;/w:rPr&gt;&lt;m:idP=&quot;0t&gt;3&lt;/m:t&gt;&lt;/midP=&quot;0:r&gt;&lt;/m:sub&gt;&lt;idP=&quot;0/m:sSub&gt;&lt;/m:oMath&gt;&lt;/m:oMathP&quot;0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path/>
                  <v:fill on="f" focussize="0,0"/>
                  <v:stroke/>
                  <v:imagedata r:id="rId19" chromakey="#FFFFFF" o:title=""/>
                  <o:lock v:ext="edit" aspectratio="t"/>
                  <w10:wrap type="none"/>
                  <w10:anchorlock/>
                </v:shape>
              </w:pict>
            </w:r>
            <w:r>
              <w:rPr>
                <w:rFonts w:hint="eastAsia" w:cs="宋体"/>
                <w:bCs/>
                <w:color w:val="000000"/>
                <w:sz w:val="24"/>
                <w:szCs w:val="21"/>
              </w:rPr>
              <w:instrText xml:space="preserve"> </w:instrText>
            </w:r>
            <w:r>
              <w:rPr>
                <w:rFonts w:hint="eastAsia" w:cs="宋体"/>
                <w:bCs/>
                <w:color w:val="000000"/>
                <w:sz w:val="24"/>
                <w:szCs w:val="21"/>
              </w:rPr>
              <w:fldChar w:fldCharType="end"/>
            </w:r>
            <w:r>
              <w:rPr>
                <w:rFonts w:hint="eastAsia" w:cs="宋体"/>
                <w:bCs/>
                <w:color w:val="000000"/>
                <w:sz w:val="24"/>
                <w:szCs w:val="21"/>
              </w:rPr>
              <w:t>——发生事故时可以储存、转运到其他设施的事故排水量，m³。本项目取0；</w:t>
            </w:r>
          </w:p>
          <w:p>
            <w:pPr>
              <w:autoSpaceDE w:val="0"/>
              <w:autoSpaceDN w:val="0"/>
              <w:adjustRightInd w:val="0"/>
              <w:spacing w:line="360" w:lineRule="auto"/>
              <w:ind w:firstLine="480" w:firstLineChars="200"/>
              <w:rPr>
                <w:rFonts w:cs="宋体"/>
                <w:bCs/>
                <w:color w:val="000000"/>
                <w:sz w:val="24"/>
                <w:szCs w:val="21"/>
              </w:rPr>
            </w:pPr>
            <w:r>
              <w:rPr>
                <w:rFonts w:cs="宋体"/>
                <w:bCs/>
                <w:i/>
                <w:color w:val="000000"/>
                <w:sz w:val="24"/>
                <w:szCs w:val="21"/>
              </w:rPr>
              <w:t>V</w:t>
            </w:r>
            <w:r>
              <w:rPr>
                <w:rFonts w:cs="宋体"/>
                <w:bCs/>
                <w:i/>
                <w:color w:val="000000"/>
                <w:sz w:val="24"/>
                <w:szCs w:val="21"/>
                <w:vertAlign w:val="subscript"/>
              </w:rPr>
              <w:t>4</w:t>
            </w:r>
            <w:r>
              <w:rPr>
                <w:rFonts w:hint="eastAsia" w:cs="宋体"/>
                <w:bCs/>
                <w:color w:val="000000"/>
                <w:sz w:val="24"/>
                <w:szCs w:val="21"/>
              </w:rPr>
              <w:t>——发生事故时必须进入事故排水收集系统的生产废水量，m³。本项目生产废水发生泄漏时，反应时间不超过1h。因此，</w:t>
            </w:r>
            <w:r>
              <w:rPr>
                <w:rFonts w:cs="宋体"/>
                <w:bCs/>
                <w:color w:val="000000"/>
                <w:sz w:val="24"/>
                <w:szCs w:val="21"/>
              </w:rPr>
              <w:t>V</w:t>
            </w:r>
            <w:r>
              <w:rPr>
                <w:rFonts w:cs="宋体"/>
                <w:bCs/>
                <w:color w:val="000000"/>
                <w:sz w:val="24"/>
                <w:szCs w:val="21"/>
                <w:vertAlign w:val="subscript"/>
              </w:rPr>
              <w:t>4</w:t>
            </w:r>
            <w:r>
              <w:rPr>
                <w:rFonts w:hint="eastAsia" w:cs="宋体"/>
                <w:bCs/>
                <w:color w:val="000000"/>
                <w:sz w:val="24"/>
                <w:szCs w:val="21"/>
              </w:rPr>
              <w:fldChar w:fldCharType="begin"/>
            </w:r>
            <w:r>
              <w:rPr>
                <w:rFonts w:hint="eastAsia" w:cs="宋体"/>
                <w:bCs/>
                <w:color w:val="000000"/>
                <w:sz w:val="24"/>
                <w:szCs w:val="21"/>
              </w:rPr>
              <w:instrText xml:space="preserve"> QUOTE </w:instrText>
            </w:r>
            <w:r>
              <w:rPr>
                <w:rFonts w:cs="宋体"/>
                <w:bCs/>
                <w:color w:val="000000"/>
                <w:sz w:val="24"/>
                <w:szCs w:val="21"/>
              </w:rPr>
              <w:pict>
                <v:shape id="_x0000_i1027" o:spt="75" type="#_x0000_t75" style="height:15.1pt;width:10.1pt;" fill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1&quot;/&gt;&lt;w:doNotEmbedSystemFonts/&gt;&lt;w:stylePaneFormatFilter w:val=&quot;3F01&quot;/&gt;&lt;w:documentProtection w:edit=&quot;tracked-changes&quot; w:enforcement=&quot;off&quot;/&gt;&lt;w:defaultTabStop w:val=&quot;420&quot;/&gt;&lt;w:doNotHyphenateCaps/&gt;&lt;w:drawingGridVerticalSpacing w:val=&quot;156&quot;/&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sp:rsids&gt;&lt;wsp:rsidRoot wsp:val=&quot;00172A27&quot;/&gt;&lt;wsp:rsid wsp:val=&quot;00002B8F&quot;/&gt;&lt;wsp:rsid wsp:val=&quot;000060B3&quot;/&gt;&lt;wsp:rsid wsp:val=&quot;0004364B&quot;/&gt;&lt;wsp:rsid wsp:val=&quot;00050021&quot;/&gt;&lt;wsp:rsid wsp:val=&quot;00061B1F&quot;/&gt;&lt;wsp:rsid wsp:val=&quot;000733C4&quot;/&gt;&lt;wsp:rsid wsp:val=&quot;00074783&quot;/&gt;&lt;wsp:rsid wsp:val=&quot;0008070B&quot;/&gt;&lt;wsp:rsid wsp:val=&quot;000810AC&quot;/&gt;&lt;wsp:rsid wsp:val=&quot;00081A02&quot;/&gt;&lt;wsp:rsid wsp:val=&quot;00082231&quot;/&gt;&lt;wsp:rsid wsp:val=&quot;00092D38&quot;/&gt;&lt;wsp:rsid wsp:val=&quot;0009377B&quot;/&gt;&lt;wsp:rsid wsp:val=&quot;000A20C9&quot;/&gt;&lt;wsp:rsid wsp:val=&quot;000B058F&quot;/&gt;&lt;wsp:rsid wsp:val=&quot;000B4467&quot;/&gt;&lt;wsp:rsid wsp:val=&quot;000B4DB9&quot;/&gt;&lt;wsp:rsid wsp:val=&quot;000C09AC&quot;/&gt;&lt;wsp:rsid wsp:val=&quot;000C767F&quot;/&gt;&lt;wsp:rsid wsp:val=&quot;000D5A44&quot;/&gt;&lt;wsp:rsid wsp:val=&quot;000E3ED2&quot;/&gt;&lt;wsp:rsid wsp:val=&quot;00112027&quot;/&gt;&lt;wsp:rsid wsp:val=&quot;001124EB&quot;/&gt;&lt;wsp:rsid wsp:val=&quot;00131F42&quot;/&gt;&lt;wsp:rsid wsp:val=&quot;00134091&quot;/&gt;&lt;wsp:rsid wsp:val=&quot;0013418C&quot;/&gt;&lt;wsp:rsid wsp:val=&quot;001357F1&quot;/&gt;&lt;wsp:rsid wsp:val=&quot;00140FA8&quot;/&gt;&lt;wsp:rsid wsp:val=&quot;00142FEB&quot;/&gt;&lt;wsp:rsid wsp:val=&quot;00143A2D&quot;/&gt;&lt;wsp:rsid wsp:val=&quot;00145A41&quot;/&gt;&lt;wsp:rsid wsp:val=&quot;00151675&quot;/&gt;&lt;wsp:rsid wsp:val=&quot;00157435&quot;/&gt;&lt;wsp:rsid wsp:val=&quot;00173FBA&quot;/&gt;&lt;wsp:rsid wsp:val=&quot;0017504D&quot;/&gt;&lt;wsp:rsid wsp:val=&quot;0017671A&quot;/&gt;&lt;wsp:rsid wsp:val=&quot;00177422&quot;/&gt;&lt;wsp:rsid wsp:val=&quot;00184590&quot;/&gt;&lt;wsp:rsid wsp:val=&quot;001870D1&quot;/&gt;&lt;wsp:rsid wsp:val=&quot;0018781E&quot;/&gt;&lt;wsp:rsid wsp:val=&quot;0019262D&quot;/&gt;&lt;wsp:rsid wsp:val=&quot;001944D2&quot;/&gt;&lt;wsp:rsid wsp:val=&quot;001A1B35&quot;/&gt;&lt;wsp:rsid wsp:val=&quot;001A48A2&quot;/&gt;&lt;wsp:rsid wsp:val=&quot;001A6F61&quot;/&gt;&lt;wsp:rsid wsp:val=&quot;001B4BA8&quot;/&gt;&lt;wsp:rsid wsp:val=&quot;001B72B8&quot;/&gt;&lt;wsp:rsid wsp:val=&quot;001C5F0F&quot;/&gt;&lt;wsp:rsid wsp:val=&quot;001C69B3&quot;/&gt;&lt;wsp:rsid wsp:val=&quot;001D5595&quot;/&gt;&lt;wsp:rsid wsp:val=&quot;001D7874&quot;/&gt;&lt;wsp:rsid wsp:val=&quot;001D7F22&quot;/&gt;&lt;wsp:rsid wsp:val=&quot;001F0F17&quot;/&gt;&lt;wsp:rsid wsp:val=&quot;001F3347&quot;/&gt;&lt;wsp:rsid wsp:val=&quot;001F69E4&quot;/&gt;&lt;wsp:rsid wsp:val=&quot;002125B4&quot;/&gt;&lt;wsp:rsid wsp:val=&quot;002155B8&quot;/&gt;&lt;wsp:rsid wsp:val=&quot;00224839&quot;/&gt;&lt;wsp:rsid wsp:val=&quot;002249B2&quot;/&gt;&lt;wsp:rsid wsp:val=&quot;00226574&quot;/&gt;&lt;wsp:rsid wsp:val=&quot;002278EC&quot;/&gt;&lt;wsp:rsid wsp:val=&quot;0023280E&quot;/&gt;&lt;wsp:rsid wsp:val=&quot;002377D1&quot;/&gt;&lt;wsp:rsid wsp:val=&quot;002506BC&quot;/&gt;&lt;wsp:rsid wsp:val=&quot;00254345&quot;/&gt;&lt;wsp:rsid wsp:val=&quot;0026206E&quot;/&gt;&lt;wsp:rsid wsp:val=&quot;002625E3&quot;/&gt;&lt;wsp:rsid wsp:val=&quot;00264557&quot;/&gt;&lt;wsp:rsid wsp:val=&quot;002805AB&quot;/&gt;&lt;wsp:rsid wsp:val=&quot;00284204&quot;/&gt;&lt;wsp:rsid wsp:val=&quot;00291773&quot;/&gt;&lt;wsp:rsid wsp:val=&quot;002A168C&quot;/&gt;&lt;wsp:rsid wsp:val=&quot;002A3DC7&quot;/&gt;&lt;wsp:rsid wsp:val=&quot;002B49E2&quot;/&gt;&lt;wsp:rsid wsp:val=&quot;002B7B00&quot;/&gt;&lt;wsp:rsid wsp:val=&quot;002B7C44&quot;/&gt;&lt;wsp:rsid wsp:val=&quot;002C2B17&quot;/&gt;&lt;wsp:rsid wsp:val=&quot;002D3DD0&quot;/&gt;&lt;wsp:rsid wsp:val=&quot;002E1F3A&quot;/&gt;&lt;wsp:rsid wsp:val=&quot;002E298A&quot;/&gt;&lt;wsp:rsid wsp:val=&quot;00301978&quot;/&gt;&lt;wsp:rsid wsp:val=&quot;0030332C&quot;/&gt;&lt;wsp:rsid wsp:val=&quot;003051C2&quot;/&gt;&lt;wsp:rsid wsp:val=&quot;00312296&quot;/&gt;&lt;wsp:rsid wsp:val=&quot;00314F0E&quot;/&gt;&lt;wsp:rsid wsp:val=&quot;00321D8E&quot;/&gt;&lt;wsp:rsid wsp:val=&quot;00325928&quot;/&gt;&lt;wsp:rsid wsp:val=&quot;00332863&quot;/&gt;&lt;wsp:rsid wsp:val=&quot;0033684D&quot;/&gt;&lt;wsp:rsid wsp:val=&quot;00337B42&quot;/&gt;&lt;wsp:rsid wsp:val=&quot;00341B42&quot;/&gt;&lt;wsp:rsid wsp:val=&quot;0034348F&quot;/&gt;&lt;wsp:rsid wsp:val=&quot;00343C2B&quot;/&gt;&lt;wsp:rsid wsp:val=&quot;0034596F&quot;/&gt;&lt;wsp:rsid wsp:val=&quot;00356653&quot;/&gt;&lt;wsp:rsid wsp:val=&quot;0035743F&quot;/&gt;&lt;wsp:rsid wsp:val=&quot;00357BE2&quot;/&gt;&lt;wsp:rsid wsp:val=&quot;0036170C&quot;/&gt;&lt;wsp:rsid wsp:val=&quot;00366E0F&quot;/&gt;&lt;wsp:rsid wsp:val=&quot;00375832&quot;/&gt;&lt;wsp:rsid wsp:val=&quot;00381A72&quot;/&gt;&lt;wsp:rsid wsp:val=&quot;00384676&quot;/&gt;&lt;wsp:rsid wsp:val=&quot;00384BC6&quot;/&gt;&lt;wsp:rsid wsp:val=&quot;00390857&quot;/&gt;&lt;wsp:rsid wsp:val=&quot;003930BB&quot;/&gt;&lt;wsp:rsid wsp:val=&quot;003A4BF3&quot;/&gt;&lt;wsp:rsid wsp:val=&quot;003B420D&quot;/&gt;&lt;wsp:rsid wsp:val=&quot;003B72F6&quot;/&gt;&lt;wsp:rsid wsp:val=&quot;003C6C16&quot;/&gt;&lt;wsp:rsid wsp:val=&quot;003D76AB&quot;/&gt;&lt;wsp:rsid wsp:val=&quot;003D794D&quot;/&gt;&lt;wsp:rsid wsp:val=&quot;003E2F5A&quot;/&gt;&lt;wsp:rsid wsp:val=&quot;003E3058&quot;/&gt;&lt;wsp:rsid wsp:val=&quot;003E76A9&quot;/&gt;&lt;wsp:rsid wsp:val=&quot;003E7BEE&quot;/&gt;&lt;wsp:rsid wsp:val=&quot;003F0809&quot;/&gt;&lt;wsp:rsid wsp:val=&quot;003F4C47&quot;/&gt;&lt;wsp:rsid wsp:val=&quot;003F6A8C&quot;/&gt;&lt;wsp:rsid wsp:val=&quot;003F755C&quot;/&gt;&lt;wsp:rsid wsp:val=&quot;00406F01&quot;/&gt;&lt;wsp:rsid wsp:val=&quot;00412988&quot;/&gt;&lt;wsp:rsid wsp:val=&quot;00416D50&quot;/&gt;&lt;wsp:rsid wsp:val=&quot;00416FD5&quot;/&gt;&lt;wsp:rsid wsp:val=&quot;00417772&quot;/&gt;&lt;wsp:rsid wsp:val=&quot;00420E6A&quot;/&gt;&lt;wsp:rsid wsp:val=&quot;00425A9E&quot;/&gt;&lt;wsp:rsid wsp:val=&quot;00426D6B&quot;/&gt;&lt;wsp:rsid wsp:val=&quot;00431E6C&quot;/&gt;&lt;wsp:rsid wsp:val=&quot;00433CE7&quot;/&gt;&lt;wsp:rsid wsp:val=&quot;004436E8&quot;/&gt;&lt;wsp:rsid wsp:val=&quot;00452738&quot;/&gt;&lt;wsp:rsid wsp:val=&quot;00456091&quot;/&gt;&lt;wsp:rsid wsp:val=&quot;00466321&quot;/&gt;&lt;wsp:rsid wsp:val=&quot;0046661F&quot;/&gt;&lt;wsp:rsid wsp:val=&quot;00484B9B&quot;/&gt;&lt;wsp:rsid wsp:val=&quot;004855F6&quot;/&gt;&lt;wsp:rsid wsp:val=&quot;0048661E&quot;/&gt;&lt;wsp:rsid wsp:val=&quot;00494670&quot;/&gt;&lt;wsp:rsid wsp:val=&quot;004A3823&quot;/&gt;&lt;wsp:rsid wsp:val=&quot;004B0015&quot;/&gt;&lt;wsp:rsid wsp:val=&quot;004C21EF&quot;/&gt;&lt;wsp:rsid wsp:val=&quot;004E6946&quot;/&gt;&lt;wsp:rsid wsp:val=&quot;004F1AD8&quot;/&gt;&lt;wsp:rsid wsp:val=&quot;005039CB&quot;/&gt;&lt;wsp:rsid wsp:val=&quot;0050558F&quot;/&gt;&lt;wsp:rsid wsp:val=&quot;00506286&quot;/&gt;&lt;wsp:rsid wsp:val=&quot;00510813&quot;/&gt;&lt;wsp:rsid wsp:val=&quot;00511990&quot;/&gt;&lt;wsp:rsid wsp:val=&quot;00511DE0&quot;/&gt;&lt;wsp:rsid wsp:val=&quot;00514870&quot;/&gt;&lt;wsp:rsid wsp:val=&quot;00514B9B&quot;/&gt;&lt;wsp:rsid wsp:val=&quot;00517F02&quot;/&gt;&lt;wsp:rsid wsp:val=&quot;00524303&quot;/&gt;&lt;wsp:rsid wsp:val=&quot;005258A2&quot;/&gt;&lt;wsp:rsid wsp:val=&quot;005401AE&quot;/&gt;&lt;wsp:rsid wsp:val=&quot;00542E07&quot;/&gt;&lt;wsp:rsid wsp:val=&quot;00545424&quot;/&gt;&lt;wsp:rsid wsp:val=&quot;00554A7B&quot;/&gt;&lt;wsp:rsid wsp:val=&quot;0055572C&quot;/&gt;&lt;wsp:rsid wsp:val=&quot;0056106A&quot;/&gt;&lt;wsp:rsid wsp:val=&quot;005720AE&quot;/&gt;&lt;wsp:rsid wsp:val=&quot;00582527&quot;/&gt;&lt;wsp:rsid wsp:val=&quot;00594D77&quot;/&gt;&lt;wsp:rsid wsp:val=&quot;005969E4&quot;/&gt;&lt;wsp:rsid wsp:val=&quot;005A06B7&quot;/&gt;&lt;wsp:rsid wsp:val=&quot;005A1759&quot;/&gt;&lt;wsp:rsid wsp:val=&quot;005A68A7&quot;/&gt;&lt;wsp:rsid wsp:val=&quot;005B0AFA&quot;/&gt;&lt;wsp:rsid wsp:val=&quot;005C04F5&quot;/&gt;&lt;wsp:rsid wsp:val=&quot;005D36AB&quot;/&gt;&lt;wsp:rsid wsp:val=&quot;005D3A8B&quot;/&gt;&lt;wsp:rsid wsp:val=&quot;005D5B30&quot;/&gt;&lt;wsp:rsid wsp:val=&quot;00610B09&quot;/&gt;&lt;wsp:rsid wsp:val=&quot;00617CC3&quot;/&gt;&lt;wsp:rsid wsp:val=&quot;006377A6&quot;/&gt;&lt;wsp:rsid wsp:val=&quot;00637A3D&quot;/&gt;&lt;wsp:rsid wsp:val=&quot;006411EF&quot;/&gt;&lt;wsp:rsid wsp:val=&quot;006748B8&quot;/&gt;&lt;wsp:rsid wsp:val=&quot;006775C3&quot;/&gt;&lt;wsp:rsid wsp:val=&quot;0069290A&quot;/&gt;&lt;wsp:rsid wsp:val=&quot;0069775A&quot;/&gt;&lt;wsp:rsid wsp:val=&quot;00697813&quot;/&gt;&lt;wsp:rsid wsp:val=&quot;006A3EE8&quot;/&gt;&lt;wsp:rsid wsp:val=&quot;006A72BF&quot;/&gt;&lt;wsp:rsid wsp:val=&quot;006B03F2&quot;/&gt;&lt;wsp:rsid wsp:val=&quot;006B37DC&quot;/&gt;&lt;wsp:rsid wsp:val=&quot;006B4F68&quot;/&gt;&lt;wsp:rsid wsp:val=&quot;006C0592&quot;/&gt;&lt;wsp:rsid wsp:val=&quot;006C272E&quot;/&gt;&lt;wsp:rsid wsp:val=&quot;006C5479&quot;/&gt;&lt;wsp:rsid wsp:val=&quot;006D13B5&quot;/&gt;&lt;wsp:rsid wsp:val=&quot;006E12FF&quot;/&gt;&lt;wsp:rsid wsp:val=&quot;006E607E&quot;/&gt;&lt;wsp:rsid wsp:val=&quot;00701EB3&quot;/&gt;&lt;wsp:rsid wsp:val=&quot;00706C5D&quot;/&gt;&lt;wsp:rsid wsp:val=&quot;0071224C&quot;/&gt;&lt;wsp:rsid wsp:val=&quot;007212C5&quot;/&gt;&lt;wsp:rsid wsp:val=&quot;0072135A&quot;/&gt;&lt;wsp:rsid wsp:val=&quot;00732922&quot;/&gt;&lt;wsp:rsid wsp:val=&quot;007331E7&quot;/&gt;&lt;wsp:rsid wsp:val=&quot;007505F6&quot;/&gt;&lt;wsp:rsid wsp:val=&quot;0075162E&quot;/&gt;&lt;wsp:rsid wsp:val=&quot;00754034&quot;/&gt;&lt;wsp:rsid wsp:val=&quot;00756556&quot;/&gt;&lt;wsp:rsid wsp:val=&quot;007618C4&quot;/&gt;&lt;wsp:rsid wsp:val=&quot;00767968&quot;/&gt;&lt;wsp:rsid wsp:val=&quot;00767980&quot;/&gt;&lt;wsp:rsid wsp:val=&quot;00770B19&quot;/&gt;&lt;wsp:rsid wsp:val=&quot;0077463F&quot;/&gt;&lt;wsp:rsid wsp:val=&quot;007836EA&quot;/&gt;&lt;wsp:rsid wsp:val=&quot;00784CDA&quot;/&gt;&lt;wsp:rsid wsp:val=&quot;00785117&quot;/&gt;&lt;wsp:rsid wsp:val=&quot;0078564F&quot;/&gt;&lt;wsp:rsid wsp:val=&quot;007906C4&quot;/&gt;&lt;wsp:rsid wsp:val=&quot;007940EA&quot;/&gt;&lt;wsp:rsid wsp:val=&quot;007967E8&quot;/&gt;&lt;wsp:rsid wsp:val=&quot;007A2170&quot;/&gt;&lt;wsp:rsid wsp:val=&quot;007A22BF&quot;/&gt;&lt;wsp:rsid wsp:val=&quot;007A3323&quot;/&gt;&lt;wsp:rsid wsp:val=&quot;007B72B8&quot;/&gt;&lt;wsp:rsid wsp:val=&quot;007B7A58&quot;/&gt;&lt;wsp:rsid wsp:val=&quot;007C21B5&quot;/&gt;&lt;wsp:rsid wsp:val=&quot;007E4BD2&quot;/&gt;&lt;wsp:rsid wsp:val=&quot;007F1DAD&quot;/&gt;&lt;wsp:rsid wsp:val=&quot;00801393&quot;/&gt;&lt;wsp:rsid wsp:val=&quot;00802F88&quot;/&gt;&lt;wsp:rsid wsp:val=&quot;0081293E&quot;/&gt;&lt;wsp:rsid wsp:val=&quot;00815465&quot;/&gt;&lt;wsp:rsid wsp:val=&quot;00817E9A&quot;/&gt;&lt;wsp:rsid wsp:val=&quot;008306BD&quot;/&gt;&lt;wsp:rsid wsp:val=&quot;00831A80&quot;/&gt;&lt;wsp:rsid wsp:val=&quot;00833743&quot;/&gt;&lt;wsp:rsid wsp:val=&quot;008340A4&quot;/&gt;&lt;wsp:rsid wsp:val=&quot;00860650&quot;/&gt;&lt;wsp:rsid wsp:val=&quot;0086181C&quot;/&gt;&lt;wsp:rsid wsp:val=&quot;0087135F&quot;/&gt;&lt;wsp:rsid wsp:val=&quot;00872D94&quot;/&gt;&lt;wsp:rsid wsp:val=&quot;00880364&quot;/&gt;&lt;wsp:rsid wsp:val=&quot;00887126&quot;/&gt;&lt;wsp:rsid wsp:val=&quot;00891592&quot;/&gt;&lt;wsp:rsid wsp:val=&quot;00891E9E&quot;/&gt;&lt;wsp:rsid wsp:val=&quot;00893BB8&quot;/&gt;&lt;wsp:rsid wsp:val=&quot;008A2F68&quot;/&gt;&lt;wsp:rsid wsp:val=&quot;008B4FA6&quot;/&gt;&lt;wsp:rsid wsp:val=&quot;008B5282&quot;/&gt;&lt;wsp:rsid wsp:val=&quot;008B7139&quot;/&gt;&lt;wsp:rsid wsp:val=&quot;008B7C17&quot;/&gt;&lt;wsp:rsid wsp:val=&quot;008C2D01&quot;/&gt;&lt;wsp:rsid wsp:val=&quot;008C40E6&quot;/&gt;&lt;wsp:rsid wsp:val=&quot;008D0F7A&quot;/&gt;&lt;wsp:rsid wsp:val=&quot;008D68E4&quot;/&gt;&lt;wsp:rsid wsp:val=&quot;008E0506&quot;/&gt;&lt;wsp:rsid wsp:val=&quot;008E0CFF&quot;/&gt;&lt;wsp:rsid wsp:val=&quot;008E5D6B&quot;/&gt;&lt;wsp:rsid wsp:val=&quot;008E76F0&quot;/&gt;&lt;wsp:rsid wsp:val=&quot;008F15FE&quot;/&gt;&lt;wsp:rsid wsp:val=&quot;008F2D29&quot;/&gt;&lt;wsp:rsid wsp:val=&quot;008F5187&quot;/&gt;&lt;wsp:rsid wsp:val=&quot;008F60D8&quot;/&gt;&lt;wsp:rsid wsp:val=&quot;00902727&quot;/&gt;&lt;wsp:rsid wsp:val=&quot;0090312B&quot;/&gt;&lt;wsp:rsid wsp:val=&quot;0091736D&quot;/&gt;&lt;wsp:rsid wsp:val=&quot;00921F5A&quot;/&gt;&lt;wsp:rsid wsp:val=&quot;00925AB1&quot;/&gt;&lt;wsp:rsid wsp:val=&quot;0093037A&quot;/&gt;&lt;wsp:rsid wsp:val=&quot;0094154D&quot;/&gt;&lt;wsp:rsid wsp:val=&quot;00950971&quot;/&gt;&lt;wsp:rsid wsp:val=&quot;0095155F&quot;/&gt;&lt;wsp:rsid wsp:val=&quot;00954429&quot;/&gt;&lt;wsp:rsid wsp:val=&quot;009563CE&quot;/&gt;&lt;wsp:rsid wsp:val=&quot;0096551F&quot;/&gt;&lt;wsp:rsid wsp:val=&quot;00976328&quot;/&gt;&lt;wsp:rsid wsp:val=&quot;0097680D&quot;/&gt;&lt;wsp:rsid wsp:val=&quot;009778D2&quot;/&gt;&lt;wsp:rsid wsp:val=&quot;00982438&quot;/&gt;&lt;wsp:rsid wsp:val=&quot;0098404C&quot;/&gt;&lt;wsp:rsid wsp:val=&quot;00984C45&quot;/&gt;&lt;wsp:rsid wsp:val=&quot;00985283&quot;/&gt;&lt;wsp:rsid wsp:val=&quot;00995992&quot;/&gt;&lt;wsp:rsid wsp:val=&quot;00997616&quot;/&gt;&lt;wsp:rsid wsp:val=&quot;00997F3F&quot;/&gt;&lt;wsp:rsid wsp:val=&quot;009A03E5&quot;/&gt;&lt;wsp:rsid wsp:val=&quot;009A0F3B&quot;/&gt;&lt;wsp:rsid wsp:val=&quot;009A1BB4&quot;/&gt;&lt;wsp:rsid wsp:val=&quot;009A2628&quot;/&gt;&lt;wsp:rsid wsp:val=&quot;009A3200&quot;/&gt;&lt;wsp:rsid wsp:val=&quot;009A3D24&quot;/&gt;&lt;wsp:rsid wsp:val=&quot;009B0897&quot;/&gt;&lt;wsp:rsid wsp:val=&quot;009B7BD9&quot;/&gt;&lt;wsp:rsid wsp:val=&quot;009C7DD5&quot;/&gt;&lt;wsp:rsid wsp:val=&quot;009E227D&quot;/&gt;&lt;wsp:rsid wsp:val=&quot;009E5019&quot;/&gt;&lt;wsp:rsid wsp:val=&quot;00A008CA&quot;/&gt;&lt;wsp:rsid wsp:val=&quot;00A04F1B&quot;/&gt;&lt;wsp:rsid wsp:val=&quot;00A0501B&quot;/&gt;&lt;wsp:rsid wsp:val=&quot;00A1120A&quot;/&gt;&lt;wsp:rsid wsp:val=&quot;00A11740&quot;/&gt;&lt;wsp:rsid wsp:val=&quot;00A14947&quot;/&gt;&lt;wsp:rsid wsp:val=&quot;00A32A83&quot;/&gt;&lt;wsp:rsid wsp:val=&quot;00A368DB&quot;/&gt;&lt;wsp:rsid wsp:val=&quot;00A423AA&quot;/&gt;&lt;wsp:rsid wsp:val=&quot;00A53EC6&quot;/&gt;&lt;wsp:rsid wsp:val=&quot;00A55C0F&quot;/&gt;&lt;wsp:rsid wsp:val=&quot;00A8713F&quot;/&gt;&lt;wsp:rsid wsp:val=&quot;00A90BA1&quot;/&gt;&lt;wsp:rsid wsp:val=&quot;00A97A9A&quot;/&gt;&lt;wsp:rsid wsp:val=&quot;00AA0671&quot;/&gt;&lt;wsp:rsid wsp:val=&quot;00AA2531&quot;/&gt;&lt;wsp:rsid wsp:val=&quot;00AB078A&quot;/&gt;&lt;wsp:rsid wsp:val=&quot;00AB1E09&quot;/&gt;&lt;wsp:rsid wsp:val=&quot;00AB5330&quot;/&gt;&lt;wsp:rsid wsp:val=&quot;00AB7747&quot;/&gt;&lt;wsp:rsid wsp:val=&quot;00AC14CE&quot;/&gt;&lt;wsp:rsid wsp:val=&quot;00AC2A56&quot;/&gt;&lt;wsp:rsid wsp:val=&quot;00AD055E&quot;/&gt;&lt;wsp:rsid wsp:val=&quot;00AD47A7&quot;/&gt;&lt;wsp:rsid wsp:val=&quot;00AE5D95&quot;/&gt;&lt;wsp:rsid wsp:val=&quot;00AF0CBF&quot;/&gt;&lt;wsp:rsid wsp:val=&quot;00AF257F&quot;/&gt;&lt;wsp:rsid wsp:val=&quot;00AF33CF&quot;/&gt;&lt;wsp:rsid wsp:val=&quot;00AF4D50&quot;/&gt;&lt;wsp:rsid wsp:val=&quot;00AF6179&quot;/&gt;&lt;wsp:rsid wsp:val=&quot;00B11741&quot;/&gt;&lt;wsp:rsid wsp:val=&quot;00B1295A&quot;/&gt;&lt;wsp:rsid wsp:val=&quot;00B20A45&quot;/&gt;&lt;wsp:rsid wsp:val=&quot;00B22C5C&quot;/&gt;&lt;wsp:rsid wsp:val=&quot;00B24F30&quot;/&gt;&lt;wsp:rsid wsp:val=&quot;00B31ABF&quot;/&gt;&lt;wsp:rsid wsp:val=&quot;00B33BE3&quot;/&gt;&lt;wsp:rsid wsp:val=&quot;00B53B5D&quot;/&gt;&lt;wsp:rsid wsp:val=&quot;00B6055E&quot;/&gt;&lt;wsp:rsid wsp:val=&quot;00B6317D&quot;/&gt;&lt;wsp:rsid wsp:val=&quot;00B7723F&quot;/&gt;&lt;wsp:rsid wsp:val=&quot;00B80534&quot;/&gt;&lt;wsp:rsid wsp:val=&quot;00B8433C&quot;/&gt;&lt;wsp:rsid wsp:val=&quot;00B87491&quot;/&gt;&lt;wsp:rsid wsp:val=&quot;00BA29E9&quot;/&gt;&lt;wsp:rsid wsp:val=&quot;00BA411F&quot;/&gt;&lt;wsp:rsid wsp:val=&quot;00BA59AB&quot;/&gt;&lt;wsp:rsid wsp:val=&quot;00BA7142&quot;/&gt;&lt;wsp:rsid wsp:val=&quot;00BB1281&quot;/&gt;&lt;wsp:rsid wsp:val=&quot;00BB150D&quot;/&gt;&lt;wsp:rsid wsp:val=&quot;00BB237C&quot;/&gt;&lt;wsp:rsid wsp:val=&quot;00BB41A3&quot;/&gt;&lt;wsp:rsid wsp:val=&quot;00BC32DC&quot;/&gt;&lt;wsp:rsid wsp:val=&quot;00BC35B6&quot;/&gt;&lt;wsp:rsid wsp:val=&quot;00BC6061&quot;/&gt;&lt;wsp:rsid wsp:val=&quot;00BC6A3E&quot;/&gt;&lt;wsp:rsid wsp:val=&quot;00BD1B51&quot;/&gt;&lt;wsp:rsid wsp:val=&quot;00BD4596&quot;/&gt;&lt;wsp:rsid wsp:val=&quot;00BE1405&quot;/&gt;&lt;wsp:rsid wsp:val=&quot;00BE312D&quot;/&gt;&lt;wsp:rsid wsp:val=&quot;00BF1C20&quot;/&gt;&lt;wsp:rsid wsp:val=&quot;00C10578&quot;/&gt;&lt;wsp:rsid wsp:val=&quot;00C135BC&quot;/&gt;&lt;wsp:rsid wsp:val=&quot;00C15C95&quot;/&gt;&lt;wsp:rsid wsp:val=&quot;00C15D97&quot;/&gt;&lt;wsp:rsid wsp:val=&quot;00C2596A&quot;/&gt;&lt;wsp:rsid wsp:val=&quot;00C27537&quot;/&gt;&lt;wsp:rsid wsp:val=&quot;00C328FE&quot;/&gt;&lt;wsp:rsid wsp:val=&quot;00C33507&quot;/&gt;&lt;wsp:rsid wsp:val=&quot;00C34894&quot;/&gt;&lt;wsp:rsid wsp:val=&quot;00C35762&quot;/&gt;&lt;wsp:rsid wsp:val=&quot;00C4409D&quot;/&gt;&lt;wsp:rsid wsp:val=&quot;00C44E72&quot;/&gt;&lt;wsp:rsid wsp:val=&quot;00C4581E&quot;/&gt;&lt;wsp:rsid wsp:val=&quot;00C45A06&quot;/&gt;&lt;wsp:rsid wsp:val=&quot;00C47E5B&quot;/&gt;&lt;wsp:rsid wsp:val=&quot;00C61ADE&quot;/&gt;&lt;wsp:rsid wsp:val=&quot;00C61E4B&quot;/&gt;&lt;wsp:rsid wsp:val=&quot;00C64BFF&quot;/&gt;&lt;wsp:rsid wsp:val=&quot;00C704E9&quot;/&gt;&lt;wsp:rsid wsp:val=&quot;00C763C9&quot;/&gt;&lt;wsp:rsid wsp:val=&quot;00C7661A&quot;/&gt;&lt;wsp:rsid wsp:val=&quot;00C80057&quot;/&gt;&lt;wsp:rsid wsp:val=&quot;00C82232&quot;/&gt;&lt;wsp:rsid wsp:val=&quot;00C82913&quot;/&gt;&lt;wsp:rsid wsp:val=&quot;00C916A2&quot;/&gt;&lt;wsp:rsid wsp:val=&quot;00C972B1&quot;/&gt;&lt;wsp:rsid wsp:val=&quot;00CA2CCE&quot;/&gt;&lt;wsp:rsid wsp:val=&quot;00CA43FD&quot;/&gt;&lt;wsp:rsid wsp:val=&quot;00CA7EF8&quot;/&gt;&lt;wsp:rsid wsp:val=&quot;00CC489B&quot;/&gt;&lt;wsp:rsid wsp:val=&quot;00CD2BCD&quot;/&gt;&lt;wsp:rsid wsp:val=&quot;00CD2FA6&quot;/&gt;&lt;wsp:rsid wsp:val=&quot;00CD3A4C&quot;/&gt;&lt;wsp:rsid wsp:val=&quot;00CE10E9&quot;/&gt;&lt;wsp:rsid wsp:val=&quot;00CE2910&quot;/&gt;&lt;wsp:rsid wsp:val=&quot;00CE5393&quot;/&gt;&lt;wsp:rsid wsp:val=&quot;00CF36BE&quot;/&gt;&lt;wsp:rsid wsp:val=&quot;00CF6000&quot;/&gt;&lt;wsp:rsid wsp:val=&quot;00D003F3&quot;/&gt;&lt;wsp:rsid wsp:val=&quot;00D0364F&quot;/&gt;&lt;wsp:rsid wsp:val=&quot;00D06834&quot;/&gt;&lt;wsp:rsid wsp:val=&quot;00D257B2&quot;/&gt;&lt;wsp:rsid wsp:val=&quot;00D25947&quot;/&gt;&lt;wsp:rsid wsp:val=&quot;00D308ED&quot;/&gt;&lt;wsp:rsid wsp:val=&quot;00D36D86&quot;/&gt;&lt;wsp:rsid wsp:val=&quot;00D428AA&quot;/&gt;&lt;wsp:rsid wsp:val=&quot;00D50A34&quot;/&gt;&lt;wsp:rsid wsp:val=&quot;00D53EFA&quot;/&gt;&lt;wsp:rsid wsp:val=&quot;00D83B2F&quot;/&gt;&lt;wsp:rsid wsp:val=&quot;00D92D5C&quot;/&gt;&lt;wsp:rsid wsp:val=&quot;00D94A7C&quot;/&gt;&lt;wsp:rsid wsp:val=&quot;00D95896&quot;/&gt;&lt;wsp:rsid wsp:val=&quot;00DB2983&quot;/&gt;&lt;wsp:rsid wsp:val=&quot;00DC1257&quot;/&gt;&lt;wsp:rsid wsp:val=&quot;00DC3DC0&quot;/&gt;&lt;wsp:rsid wsp:val=&quot;00DC5B2B&quot;/&gt;&lt;wsp:rsid wsp:val=&quot;00DD318D&quot;/&gt;&lt;wsp:rsid wsp:val=&quot;00DD36CB&quot;/&gt;&lt;wsp:rsid wsp:val=&quot;00DD7B97&quot;/&gt;&lt;wsp:rsid wsp:val=&quot;00DE58CB&quot;/&gt;&lt;wsp:rsid wsp:val=&quot;00DF2E12&quot;/&gt;&lt;wsp:rsid wsp:val=&quot;00DF514A&quot;/&gt;&lt;wsp:rsid wsp:val=&quot;00DF6690&quot;/&gt;&lt;wsp:rsid wsp:val=&quot;00DF6804&quot;/&gt;&lt;wsp:rsid wsp:val=&quot;00E0358D&quot;/&gt;&lt;wsp:rsid wsp:val=&quot;00E04323&quot;/&gt;&lt;wsp:rsid wsp:val=&quot;00E070A2&quot;/&gt;&lt;wsp:rsid wsp:val=&quot;00E2656A&quot;/&gt;&lt;wsp:rsid wsp:val=&quot;00E412D0&quot;/&gt;&lt;wsp:rsid wsp:val=&quot;00E4208C&quot;/&gt;&lt;wsp:rsid wsp:val=&quot;00E56322&quot;/&gt;&lt;wsp:rsid wsp:val=&quot;00E60982&quot;/&gt;&lt;wsp:rsid wsp:val=&quot;00E62C62&quot;/&gt;&lt;wsp:rsid wsp:val=&quot;00E654C1&quot;/&gt;&lt;wsp:rsid wsp:val=&quot;00E65D97&quot;/&gt;&lt;wsp:rsid wsp:val=&quot;00E72A5A&quot;/&gt;&lt;wsp:rsid wsp:val=&quot;00E73354&quot;/&gt;&lt;wsp:rsid wsp:val=&quot;00E9242D&quot;/&gt;&lt;wsp:rsid wsp:val=&quot;00EB5255&quot;/&gt;&lt;wsp:rsid wsp:val=&quot;00EB5C47&quot;/&gt;&lt;wsp:rsid wsp:val=&quot;00ED0639&quot;/&gt;&lt;wsp:rsid wsp:val=&quot;00ED4113&quot;/&gt;&lt;wsp:rsid wsp:val=&quot;00EE0B1A&quot;/&gt;&lt;wsp:rsid wsp:val=&quot;00EF4755&quot;/&gt;&lt;wsp:rsid wsp:val=&quot;00EF7135&quot;/&gt;&lt;wsp:rsid wsp:val=&quot;00F027DB&quot;/&gt;&lt;wsp:rsid wsp:val=&quot;00F047EE&quot;/&gt;&lt;wsp:rsid wsp:val=&quot;00F14A7A&quot;/&gt;&lt;wsp:rsid wsp:val=&quot;00F22985&quot;/&gt;&lt;wsp:rsid wsp:val=&quot;00F3383E&quot;/&gt;&lt;wsp:rsid wsp:val=&quot;00F415DA&quot;/&gt;&lt;wsp:rsid wsp:val=&quot;00F465A7&quot;/&gt;&lt;wsp:rsid wsp:val=&quot;00F47691&quot;/&gt;&lt;wsp:rsid wsp:val=&quot;00F50B7C&quot;/&gt;&lt;wsp:rsid wsp:val=&quot;00F550E6&quot;/&gt;&lt;wsp:rsid wsp:val=&quot;00F74345&quot;/&gt;&lt;wsp:rsid wsp:val=&quot;00F751E3&quot;/&gt;&lt;wsp:rsid wsp:val=&quot;00F80A0A&quot;/&gt;&lt;wsp:rsid wsp:val=&quot;00F82B19&quot;/&gt;&lt;wsp:rsid wsp:val=&quot;00F9212D&quot;/&gt;&lt;wsp:rsid wsp:val=&quot;00F965DA&quot;/&gt;&lt;wsp:rsid wsp:val=&quot;00FA406A&quot;/&gt;&lt;wsp:rsid wsp:val=&quot;00FB4BE9&quot;/&gt;&lt;wsp:rsid wsp:val=&quot;00FB503A&quot;/&gt;&lt;wsp:rsid wsp:val=&quot;00FB516C&quot;/&gt;&lt;wsp:rsid wsp:val=&quot;00FC5C13&quot;/&gt;&lt;wsp:rsid wsp:val=&quot;00FD0236&quot;/&gt;&lt;wsp:rsid wsp:val=&quot;00FD18F4&quot;/&gt;&lt;wsp:rsid wsp:val=&quot;00FD54DB&quot;/&gt;&lt;wsp:rsid wsp:val=&quot;00FD619F&quot;/&gt;&lt;wsp:rsid wsp:val=&quot;00FF20BC&quot;/&gt;&lt;wsp:rsid wsp:val=&quot;01290F7E&quot;/&gt;&lt;wsp:rsid wsp:val=&quot;015D1E09&quot;/&gt;&lt;wsp:rsid wsp:val=&quot;01E87118&quot;/&gt;&lt;wsp:rsid wsp:val=&quot;0218552F&quot;/&gt;&lt;wsp:rsid wsp:val=&quot;025361AE&quot;/&gt;&lt;wsp:rsid wsp:val=&quot;02697903&quot;/&gt;&lt;wsp:rsid wsp:val=&quot;02F96569&quot;/&gt;&lt;wsp:rsid wsp:val=&quot;037A0D1E&quot;/&gt;&lt;wsp:rsid wsp:val=&quot;039A1FC0&quot;/&gt;&lt;wsp:rsid wsp:val=&quot;03C03384&quot;/&gt;&lt;wsp:rsid wsp:val=&quot;03EA7B21&quot;/&gt;&lt;wsp:rsid wsp:val=&quot;04567FC7&quot;/&gt;&lt;wsp:rsid wsp:val=&quot;04642EFB&quot;/&gt;&lt;wsp:rsid wsp:val=&quot;048B1812&quot;/&gt;&lt;wsp:rsid wsp:val=&quot;04907E86&quot;/&gt;&lt;wsp:rsid wsp:val=&quot;054F0F59&quot;/&gt;&lt;wsp:rsid wsp:val=&quot;056C36CA&quot;/&gt;&lt;wsp:rsid wsp:val=&quot;059A5307&quot;/&gt;&lt;wsp:rsid wsp:val=&quot;05CB22B8&quot;/&gt;&lt;wsp:rsid wsp:val=&quot;05E21B0A&quot;/&gt;&lt;wsp:rsid wsp:val=&quot;05F83EAE&quot;/&gt;&lt;wsp:rsid wsp:val=&quot;063E7D85&quot;/&gt;&lt;wsp:rsid wsp:val=&quot;06613FB4&quot;/&gt;&lt;wsp:rsid wsp:val=&quot;06B36009&quot;/&gt;&lt;wsp:rsid wsp:val=&quot;06C471E4&quot;/&gt;&lt;wsp:rsid wsp:val=&quot;06CC630A&quot;/&gt;&lt;wsp:rsid wsp:val=&quot;07023993&quot;/&gt;&lt;wsp:rsid wsp:val=&quot;07293586&quot;/&gt;&lt;wsp:rsid wsp:val=&quot;07295285&quot;/&gt;&lt;wsp:rsid wsp:val=&quot;074053AA&quot;/&gt;&lt;wsp:rsid wsp:val=&quot;07636392&quot;/&gt;&lt;wsp:rsid wsp:val=&quot;07770C56&quot;/&gt;&lt;wsp:rsid wsp:val=&quot;07CC2DE3&quot;/&gt;&lt;wsp:rsid wsp:val=&quot;080F5E3B&quot;/&gt;&lt;wsp:rsid wsp:val=&quot;0818196E&quot;/&gt;&lt;wsp:rsid wsp:val=&quot;087152CF&quot;/&gt;&lt;wsp:rsid wsp:val=&quot;092217DD&quot;/&gt;&lt;wsp:rsid wsp:val=&quot;09342E0D&quot;/&gt;&lt;wsp:rsid wsp:val=&quot;0934383A&quot;/&gt;&lt;wsp:rsid wsp:val=&quot;093A7294&quot;/&gt;&lt;wsp:rsid wsp:val=&quot;09893F4C&quot;/&gt;&lt;wsp:rsid wsp:val=&quot;09D62FEF&quot;/&gt;&lt;wsp:rsid wsp:val=&quot;09E035A2&quot;/&gt;&lt;wsp:rsid wsp:val=&quot;09E203D4&quot;/&gt;&lt;wsp:rsid wsp:val=&quot;0A105D5F&quot;/&gt;&lt;wsp:rsid wsp:val=&quot;0A263993&quot;/&gt;&lt;wsp:rsid wsp:val=&quot;0A2D3AC2&quot;/&gt;&lt;wsp:rsid wsp:val=&quot;0A70257D&quot;/&gt;&lt;wsp:rsid wsp:val=&quot;0A8B1CA2&quot;/&gt;&lt;wsp:rsid wsp:val=&quot;0AA755DF&quot;/&gt;&lt;wsp:rsid wsp:val=&quot;0AC64AD7&quot;/&gt;&lt;wsp:rsid wsp:val=&quot;0AF42E58&quot;/&gt;&lt;wsp:rsid wsp:val=&quot;0B0E0708&quot;/&gt;&lt;wsp:rsid wsp:val=&quot;0B0E5950&quot;/&gt;&lt;wsp:rsid wsp:val=&quot;0B120D44&quot;/&gt;&lt;wsp:rsid wsp:val=&quot;0B6C2CB7&quot;/&gt;&lt;wsp:rsid wsp:val=&quot;0BD27BF6&quot;/&gt;&lt;wsp:rsid wsp:val=&quot;0BE44814&quot;/&gt;&lt;wsp:rsid wsp:val=&quot;0C1C4A8B&quot;/&gt;&lt;wsp:rsid wsp:val=&quot;0C3B3C7D&quot;/&gt;&lt;wsp:rsid wsp:val=&quot;0C586940&quot;/&gt;&lt;wsp:rsid wsp:val=&quot;0CAB2EAE&quot;/&gt;&lt;wsp:rsid wsp:val=&quot;0CBC6728&quot;/&gt;&lt;wsp:rsid wsp:val=&quot;0CD61310&quot;/&gt;&lt;wsp:rsid wsp:val=&quot;0D0575D5&quot;/&gt;&lt;wsp:rsid wsp:val=&quot;0D621C7D&quot;/&gt;&lt;wsp:rsid wsp:val=&quot;0DA30E9A&quot;/&gt;&lt;wsp:rsid wsp:val=&quot;0E1F3E0E&quot;/&gt;&lt;wsp:rsid wsp:val=&quot;0E234BDE&quot;/&gt;&lt;wsp:rsid wsp:val=&quot;0E573683&quot;/&gt;&lt;wsp:rsid wsp:val=&quot;0E73034D&quot;/&gt;&lt;wsp:rsid wsp:val=&quot;0E7865F4&quot;/&gt;&lt;wsp:rsid wsp:val=&quot;0E927F36&quot;/&gt;&lt;wsp:rsid wsp:val=&quot;0EBF51C2&quot;/&gt;&lt;wsp:rsid wsp:val=&quot;0F13775A&quot;/&gt;&lt;wsp:rsid wsp:val=&quot;0F19589C&quot;/&gt;&lt;wsp:rsid wsp:val=&quot;0F3B63B4&quot;/&gt;&lt;wsp:rsid wsp:val=&quot;0F5F45FE&quot;/&gt;&lt;wsp:rsid wsp:val=&quot;0F9A112B&quot;/&gt;&lt;wsp:rsid wsp:val=&quot;104064BB&quot;/&gt;&lt;wsp:rsid wsp:val=&quot;106D2F64&quot;/&gt;&lt;wsp:rsid wsp:val=&quot;108A53B2&quot;/&gt;&lt;wsp:rsid wsp:val=&quot;10B63710&quot;/&gt;&lt;wsp:rsid wsp:val=&quot;10F10820&quot;/&gt;&lt;wsp:rsid wsp:val=&quot;111605EC&quot;/&gt;&lt;wsp:rsid wsp:val=&quot;111C2F7A&quot;/&gt;&lt;wsp:rsid wsp:val=&quot;11665CA1&quot;/&gt;&lt;wsp:rsid wsp:val=&quot;11772A66&quot;/&gt;&lt;wsp:rsid wsp:val=&quot;11C01443&quot;/&gt;&lt;wsp:rsid wsp:val=&quot;120F5AE3&quot;/&gt;&lt;wsp:rsid wsp:val=&quot;123C3C07&quot;/&gt;&lt;wsp:rsid wsp:val=&quot;1279626B&quot;/&gt;&lt;wsp:rsid wsp:val=&quot;12871A45&quot;/&gt;&lt;wsp:rsid wsp:val=&quot;12C12E2C&quot;/&gt;&lt;wsp:rsid wsp:val=&quot;12FD48CE&quot;/&gt;&lt;wsp:rsid wsp:val=&quot;13951726&quot;/&gt;&lt;wsp:rsid wsp:val=&quot;143320C1&quot;/&gt;&lt;wsp:rsid wsp:val=&quot;14396509&quot;/&gt;&lt;wsp:rsid wsp:val=&quot;14DD2C3C&quot;/&gt;&lt;wsp:rsid wsp:val=&quot;14E16BE7&quot;/&gt;&lt;wsp:rsid wsp:val=&quot;15A11F3B&quot;/&gt;&lt;wsp:rsid wsp:val=&quot;15E67E0E&quot;/&gt;&lt;wsp:rsid wsp:val=&quot;16087E1D&quot;/&gt;&lt;wsp:rsid wsp:val=&quot;16CA4982&quot;/&gt;&lt;wsp:rsid wsp:val=&quot;16D16777&quot;/&gt;&lt;wsp:rsid wsp:val=&quot;1726002F&quot;/&gt;&lt;wsp:rsid wsp:val=&quot;17271A20&quot;/&gt;&lt;wsp:rsid wsp:val=&quot;17545C0C&quot;/&gt;&lt;wsp:rsid wsp:val=&quot;17701D14&quot;/&gt;&lt;wsp:rsid wsp:val=&quot;17735226&quot;/&gt;&lt;wsp:rsid wsp:val=&quot;17EE3F4E&quot;/&gt;&lt;wsp:rsid wsp:val=&quot;187A33BE&quot;/&gt;&lt;wsp:rsid wsp:val=&quot;189F624C&quot;/&gt;&lt;wsp:rsid wsp:val=&quot;192640DD&quot;/&gt;&lt;wsp:rsid wsp:val=&quot;19626972&quot;/&gt;&lt;wsp:rsid wsp:val=&quot;1A1C66C0&quot;/&gt;&lt;wsp:rsid wsp:val=&quot;1A402445&quot;/&gt;&lt;wsp:rsid wsp:val=&quot;1A42393B&quot;/&gt;&lt;wsp:rsid wsp:val=&quot;1A4D4D07&quot;/&gt;&lt;wsp:rsid wsp:val=&quot;1A866206&quot;/&gt;&lt;wsp:rsid wsp:val=&quot;1AAD45DE&quot;/&gt;&lt;wsp:rsid wsp:val=&quot;1B046F80&quot;/&gt;&lt;wsp:rsid wsp:val=&quot;1B2E4CF7&quot;/&gt;&lt;wsp:rsid wsp:val=&quot;1B3267B5&quot;/&gt;&lt;wsp:rsid wsp:val=&quot;1B40161D&quot;/&gt;&lt;wsp:rsid wsp:val=&quot;1B4021C6&quot;/&gt;&lt;wsp:rsid wsp:val=&quot;1B441859&quot;/&gt;&lt;wsp:rsid wsp:val=&quot;1B510FC3&quot;/&gt;&lt;wsp:rsid wsp:val=&quot;1B563749&quot;/&gt;&lt;wsp:rsid wsp:val=&quot;1B5B6495&quot;/&gt;&lt;wsp:rsid wsp:val=&quot;1B6606B1&quot;/&gt;&lt;wsp:rsid wsp:val=&quot;1B824D88&quot;/&gt;&lt;wsp:rsid wsp:val=&quot;1B8A7C8B&quot;/&gt;&lt;wsp:rsid wsp:val=&quot;1C176EFB&quot;/&gt;&lt;wsp:rsid wsp:val=&quot;1C5E7925&quot;/&gt;&lt;wsp:rsid wsp:val=&quot;1C6C3AC3&quot;/&gt;&lt;wsp:rsid wsp:val=&quot;1C8938FF&quot;/&gt;&lt;wsp:rsid wsp:val=&quot;1CBD236E&quot;/&gt;&lt;wsp:rsid wsp:val=&quot;1CFD070F&quot;/&gt;&lt;wsp:rsid wsp:val=&quot;1D155248&quot;/&gt;&lt;wsp:rsid wsp:val=&quot;1D2C7FD9&quot;/&gt;&lt;wsp:rsid wsp:val=&quot;1D5F6196&quot;/&gt;&lt;wsp:rsid wsp:val=&quot;1D6132A5&quot;/&gt;&lt;wsp:rsid wsp:val=&quot;1D8E56D5&quot;/&gt;&lt;wsp:rsid wsp:val=&quot;1DE751F7&quot;/&gt;&lt;wsp:rsid wsp:val=&quot;1E7A43DA&quot;/&gt;&lt;wsp:rsid wsp:val=&quot;1F6B2DBC&quot;/&gt;&lt;wsp:rsid wsp:val=&quot;1FE7539E&quot;/&gt;&lt;wsp:rsid wsp:val=&quot;20671BE0&quot;/&gt;&lt;wsp:rsid wsp:val=&quot;20963CB8&quot;/&gt;&lt;wsp:rsid wsp:val=&quot;20A81A1B&quot;/&gt;&lt;wsp:rsid wsp:val=&quot;20B07FB6&quot;/&gt;&lt;wsp:rsid wsp:val=&quot;20B646FB&quot;/&gt;&lt;wsp:rsid wsp:val=&quot;21387DBA&quot;/&gt;&lt;wsp:rsid wsp:val=&quot;213B74B1&quot;/&gt;&lt;wsp:rsid wsp:val=&quot;213F54F3&quot;/&gt;&lt;wsp:rsid wsp:val=&quot;215A2310&quot;/&gt;&lt;wsp:rsid wsp:val=&quot;216C0E52&quot;/&gt;&lt;wsp:rsid wsp:val=&quot;21CA2ECA&quot;/&gt;&lt;wsp:rsid wsp:val=&quot;21DE318A&quot;/&gt;&lt;wsp:rsid wsp:val=&quot;21EF5B80&quot;/&gt;&lt;wsp:rsid wsp:val=&quot;22576990&quot;/&gt;&lt;wsp:rsid wsp:val=&quot;22622EFD&quot;/&gt;&lt;wsp:rsid wsp:val=&quot;227463C6&quot;/&gt;&lt;wsp:rsid wsp:val=&quot;22F47480&quot;/&gt;&lt;wsp:rsid wsp:val=&quot;23527940&quot;/&gt;&lt;wsp:rsid wsp:val=&quot;23600250&quot;/&gt;&lt;wsp:rsid wsp:val=&quot;23DE1C48&quot;/&gt;&lt;wsp:rsid wsp:val=&quot;23FB6F41&quot;/&gt;&lt;wsp:rsid wsp:val=&quot;240160E8&quot;/&gt;&lt;wsp:rsid wsp:val=&quot;240210CD&quot;/&gt;&lt;wsp:rsid wsp:val=&quot;24BF09F7&quot;/&gt;&lt;wsp:rsid wsp:val=&quot;252D53FE&quot;/&gt;&lt;wsp:rsid wsp:val=&quot;254566B7&quot;/&gt;&lt;wsp:rsid wsp:val=&quot;25691E44&quot;/&gt;&lt;wsp:rsid wsp:val=&quot;25B1762D&quot;/&gt;&lt;wsp:rsid wsp:val=&quot;25EC2D81&quot;/&gt;&lt;wsp:rsid wsp:val=&quot;260F4F75&quot;/&gt;&lt;wsp:rsid wsp:val=&quot;26462A5F&quot;/&gt;&lt;wsp:rsid wsp:val=&quot;26F47ABA&quot;/&gt;&lt;wsp:rsid wsp:val=&quot;27032D45&quot;/&gt;&lt;wsp:rsid wsp:val=&quot;277057A2&quot;/&gt;&lt;wsp:rsid wsp:val=&quot;27904770&quot;/&gt;&lt;wsp:rsid wsp:val=&quot;27F54C9D&quot;/&gt;&lt;wsp:rsid wsp:val=&quot;288C0F7C&quot;/&gt;&lt;wsp:rsid wsp:val=&quot;28B44355&quot;/&gt;&lt;wsp:rsid wsp:val=&quot;28F5491F&quot;/&gt;&lt;wsp:rsid wsp:val=&quot;29032630&quot;/&gt;&lt;wsp:rsid wsp:val=&quot;29206EB8&quot;/&gt;&lt;wsp:rsid wsp:val=&quot;294C0E25&quot;/&gt;&lt;wsp:rsid wsp:val=&quot;29595666&quot;/&gt;&lt;wsp:rsid wsp:val=&quot;296A72A4&quot;/&gt;&lt;wsp:rsid wsp:val=&quot;29874881&quot;/&gt;&lt;wsp:rsid wsp:val=&quot;29AE7C0F&quot;/&gt;&lt;wsp:rsid wsp:val=&quot;29E325E0&quot;/&gt;&lt;wsp:rsid wsp:val=&quot;2A452503&quot;/&gt;&lt;wsp:rsid wsp:val=&quot;2A705676&quot;/&gt;&lt;wsp:rsid wsp:val=&quot;2AFC1CBF&quot;/&gt;&lt;wsp:rsid wsp:val=&quot;2B310F4C&quot;/&gt;&lt;wsp:rsid wsp:val=&quot;2BA936A8&quot;/&gt;&lt;wsp:rsid wsp:val=&quot;2BD1517F&quot;/&gt;&lt;wsp:rsid wsp:val=&quot;2BF229BE&quot;/&gt;&lt;wsp:rsid wsp:val=&quot;2C2E2B46&quot;/&gt;&lt;wsp:rsid wsp:val=&quot;2C315A5A&quot;/&gt;&lt;wsp:rsid wsp:val=&quot;2C331511&quot;/&gt;&lt;wsp:rsid wsp:val=&quot;2C371E9F&quot;/&gt;&lt;wsp:rsid wsp:val=&quot;2C4B1C25&quot;/&gt;&lt;wsp:rsid wsp:val=&quot;2CFC1A8F&quot;/&gt;&lt;wsp:rsid wsp:val=&quot;2D3155C9&quot;/&gt;&lt;wsp:rsid wsp:val=&quot;2D473B57&quot;/&gt;&lt;wsp:rsid wsp:val=&quot;2D816CFF&quot;/&gt;&lt;wsp:rsid wsp:val=&quot;2D8C7779&quot;/&gt;&lt;wsp:rsid wsp:val=&quot;2D9E56F5&quot;/&gt;&lt;wsp:rsid wsp:val=&quot;2E641899&quot;/&gt;&lt;wsp:rsid wsp:val=&quot;2E667F96&quot;/&gt;&lt;wsp:rsid wsp:val=&quot;2E8226AB&quot;/&gt;&lt;wsp:rsid wsp:val=&quot;2E9459BC&quot;/&gt;&lt;wsp:rsid wsp:val=&quot;2EC25C3B&quot;/&gt;&lt;wsp:rsid wsp:val=&quot;2EF32135&quot;/&gt;&lt;wsp:rsid wsp:val=&quot;2F29510F&quot;/&gt;&lt;wsp:rsid wsp:val=&quot;2FAA4B64&quot;/&gt;&lt;wsp:rsid wsp:val=&quot;2FC63BC7&quot;/&gt;&lt;wsp:rsid wsp:val=&quot;2FD065E6&quot;/&gt;&lt;wsp:rsid wsp:val=&quot;2FD96870&quot;/&gt;&lt;wsp:rsid wsp:val=&quot;303F6918&quot;/&gt;&lt;wsp:rsid wsp:val=&quot;304D3E0A&quot;/&gt;&lt;wsp:rsid wsp:val=&quot;30580BC9&quot;/&gt;&lt;wsp:rsid wsp:val=&quot;311E2ED7&quot;/&gt;&lt;wsp:rsid wsp:val=&quot;315619EE&quot;/&gt;&lt;wsp:rsid wsp:val=&quot;315C449C&quot;/&gt;&lt;wsp:rsid wsp:val=&quot;31B82709&quot;/&gt;&lt;wsp:rsid wsp:val=&quot;31D05482&quot;/&gt;&lt;wsp:rsid wsp:val=&quot;31E838BD&quot;/&gt;&lt;wsp:rsid wsp:val=&quot;320046C2&quot;/&gt;&lt;wsp:rsid wsp:val=&quot;32176BC6&quot;/&gt;&lt;wsp:rsid wsp:val=&quot;32285FED&quot;/&gt;&lt;wsp:rsid wsp:val=&quot;32400B34&quot;/&gt;&lt;wsp:rsid wsp:val=&quot;32487CC9&quot;/&gt;&lt;wsp:rsid wsp:val=&quot;32990C4B&quot;/&gt;&lt;wsp:rsid wsp:val=&quot;329E6876&quot;/&gt;&lt;wsp:rsid wsp:val=&quot;32A24394&quot;/&gt;&lt;wsp:rsid wsp:val=&quot;32B253BA&quot;/&gt;&lt;wsp:rsid wsp:val=&quot;32F41CDA&quot;/&gt;&lt;wsp:rsid wsp:val=&quot;333015F2&quot;/&gt;&lt;wsp:rsid wsp:val=&quot;334B6320&quot;/&gt;&lt;wsp:rsid wsp:val=&quot;33D934D4&quot;/&gt;&lt;wsp:rsid wsp:val=&quot;33FE2F6A&quot;/&gt;&lt;wsp:rsid wsp:val=&quot;340E07E5&quot;/&gt;&lt;wsp:rsid wsp:val=&quot;340E7385&quot;/&gt;&lt;wsp:rsid wsp:val=&quot;34235BF7&quot;/&gt;&lt;wsp:rsid wsp:val=&quot;35804B08&quot;/&gt;&lt;wsp:rsid wsp:val=&quot;358C5FA8&quot;/&gt;&lt;wsp:rsid wsp:val=&quot;35C15DF1&quot;/&gt;&lt;wsp:rsid wsp:val=&quot;35C3307A&quot;/&gt;&lt;wsp:rsid wsp:val=&quot;36074A7F&quot;/&gt;&lt;wsp:rsid wsp:val=&quot;363061D5&quot;/&gt;&lt;wsp:rsid wsp:val=&quot;36923549&quot;/&gt;&lt;wsp:rsid wsp:val=&quot;369A386C&quot;/&gt;&lt;wsp:rsid wsp:val=&quot;36B75FBF&quot;/&gt;&lt;wsp:rsid wsp:val=&quot;36BD0C45&quot;/&gt;&lt;wsp:rsid wsp:val=&quot;370D3562&quot;/&gt;&lt;wsp:rsid wsp:val=&quot;37E00298&quot;/&gt;&lt;wsp:rsid wsp:val=&quot;38B302F9&quot;/&gt;&lt;wsp:rsid wsp:val=&quot;38E210B2&quot;/&gt;&lt;wsp:rsid wsp:val=&quot;38F12CD3&quot;/&gt;&lt;wsp:rsid wsp:val=&quot;38F94775&quot;/&gt;&lt;wsp:rsid wsp:val=&quot;38FD2FD2&quot;/&gt;&lt;wsp:rsid wsp:val=&quot;38FF1793&quot;/&gt;&lt;wsp:rsid wsp:val=&quot;39013433&quot;/&gt;&lt;wsp:rsid wsp:val=&quot;392971ED&quot;/&gt;&lt;wsp:rsid wsp:val=&quot;39325651&quot;/&gt;&lt;wsp:rsid wsp:val=&quot;398B744E&quot;/&gt;&lt;wsp:rsid wsp:val=&quot;399D5F12&quot;/&gt;&lt;wsp:rsid wsp:val=&quot;39CB2FBF&quot;/&gt;&lt;wsp:rsid wsp:val=&quot;3A4670B5&quot;/&gt;&lt;wsp:rsid wsp:val=&quot;3A872856&quot;/&gt;&lt;wsp:rsid wsp:val=&quot;3AFA4CAF&quot;/&gt;&lt;wsp:rsid wsp:val=&quot;3B3763D1&quot;/&gt;&lt;wsp:rsid wsp:val=&quot;3B3D2F93&quot;/&gt;&lt;wsp:rsid wsp:val=&quot;3C2F6E1E&quot;/&gt;&lt;wsp:rsid wsp:val=&quot;3C3C31E8&quot;/&gt;&lt;wsp:rsid wsp:val=&quot;3C4F64BA&quot;/&gt;&lt;wsp:rsid wsp:val=&quot;3CA56B60&quot;/&gt;&lt;wsp:rsid wsp:val=&quot;3CDA245A&quot;/&gt;&lt;wsp:rsid wsp:val=&quot;3D1E06B7&quot;/&gt;&lt;wsp:rsid wsp:val=&quot;3DB043C0&quot;/&gt;&lt;wsp:rsid wsp:val=&quot;3DEF79C7&quot;/&gt;&lt;wsp:rsid wsp:val=&quot;3E144AB4&quot;/&gt;&lt;wsp:rsid wsp:val=&quot;3E7E4657&quot;/&gt;&lt;wsp:rsid wsp:val=&quot;3E991470&quot;/&gt;&lt;wsp:rsid wsp:val=&quot;3EDA0523&quot;/&gt;&lt;wsp:rsid wsp:val=&quot;3EF84CDF&quot;/&gt;&lt;wsp:rsid wsp:val=&quot;3F1D06AA&quot;/&gt;&lt;wsp:rsid wsp:val=&quot;3F546392&quot;/&gt;&lt;wsp:rsid wsp:val=&quot;3FC92E0A&quot;/&gt;&lt;wsp:rsid wsp:val=&quot;40383A65&quot;/&gt;&lt;wsp:rsid wsp:val=&quot;407A6407&quot;/&gt;&lt;wsp:rsid wsp:val=&quot;41684E1C&quot;/&gt;&lt;wsp:rsid wsp:val=&quot;416D1BFB&quot;/&gt;&lt;wsp:rsid wsp:val=&quot;4200449D&quot;/&gt;&lt;wsp:rsid wsp:val=&quot;423A3BCC&quot;/&gt;&lt;wsp:rsid wsp:val=&quot;424E57D2&quot;/&gt;&lt;wsp:rsid wsp:val=&quot;42757DB3&quot;/&gt;&lt;wsp:rsid wsp:val=&quot;42A26C2F&quot;/&gt;&lt;wsp:rsid wsp:val=&quot;42B26C49&quot;/&gt;&lt;wsp:rsid wsp:val=&quot;42FA2AB5&quot;/&gt;&lt;wsp:rsid wsp:val=&quot;433A6FE6&quot;/&gt;&lt;wsp:rsid wsp:val=&quot;433D64FA&quot;/&gt;&lt;wsp:rsid wsp:val=&quot;43480868&quot;/&gt;&lt;wsp:rsid wsp:val=&quot;4350713C&quot;/&gt;&lt;wsp:rsid wsp:val=&quot;435962BD&quot;/&gt;&lt;wsp:rsid wsp:val=&quot;436653E0&quot;/&gt;&lt;wsp:rsid wsp:val=&quot;43B10158&quot;/&gt;&lt;wsp:rsid wsp:val=&quot;43B34117&quot;/&gt;&lt;wsp:rsid wsp:val=&quot;43C4431A&quot;/&gt;&lt;wsp:rsid wsp:val=&quot;44265840&quot;/&gt;&lt;wsp:rsid wsp:val=&quot;44540DDC&quot;/&gt;&lt;wsp:rsid wsp:val=&quot;44B537D0&quot;/&gt;&lt;wsp:rsid wsp:val=&quot;44B951CC&quot;/&gt;&lt;wsp:rsid wsp:val=&quot;44C83FFA&quot;/&gt;&lt;wsp:rsid wsp:val=&quot;44CD14E0&quot;/&gt;&lt;wsp:rsid wsp:val=&quot;44F20B0B&quot;/&gt;&lt;wsp:rsid wsp:val=&quot;452E5F4C&quot;/&gt;&lt;wsp:rsid wsp:val=&quot;45612018&quot;/&gt;&lt;wsp:rsid wsp:val=&quot;45715A90&quot;/&gt;&lt;wsp:rsid wsp:val=&quot;458946E9&quot;/&gt;&lt;wsp:rsid wsp:val=&quot;45A47C0E&quot;/&gt;&lt;wsp:rsid wsp:val=&quot;45EA1B26&quot;/&gt;&lt;wsp:rsid wsp:val=&quot;46100E71&quot;/&gt;&lt;wsp:rsid wsp:val=&quot;462E76DF&quot;/&gt;&lt;wsp:rsid wsp:val=&quot;464A7373&quot;/&gt;&lt;wsp:rsid wsp:val=&quot;46577FD6&quot;/&gt;&lt;wsp:rsid wsp:val=&quot;46D955A7&quot;/&gt;&lt;wsp:rsid wsp:val=&quot;46E65CFB&quot;/&gt;&lt;wsp:rsid wsp:val=&quot;47133957&quot;/&gt;&lt;wsp:rsid wsp:val=&quot;476D03CA&quot;/&gt;&lt;wsp:rsid wsp:val=&quot;476D10A2&quot;/&gt;&lt;wsp:rsid wsp:val=&quot;47A07E0C&quot;/&gt;&lt;wsp:rsid wsp:val=&quot;47AC2656&quot;/&gt;&lt;wsp:rsid wsp:val=&quot;47E66256&quot;/&gt;&lt;wsp:rsid wsp:val=&quot;4870272E&quot;/&gt;&lt;wsp:rsid wsp:val=&quot;48821C16&quot;/&gt;&lt;wsp:rsid wsp:val=&quot;48930938&quot;/&gt;&lt;wsp:rsid wsp:val=&quot;489370E2&quot;/&gt;&lt;wsp:rsid wsp:val=&quot;48C02DEC&quot;/&gt;&lt;wsp:rsid wsp:val=&quot;493F7844&quot;/&gt;&lt;wsp:rsid wsp:val=&quot;49C634A9&quot;/&gt;&lt;wsp:rsid wsp:val=&quot;49D031AF&quot;/&gt;&lt;wsp:rsid wsp:val=&quot;49DC7715&quot;/&gt;&lt;wsp:rsid wsp:val=&quot;4A023139&quot;/&gt;&lt;wsp:rsid wsp:val=&quot;4A505359&quot;/&gt;&lt;wsp:rsid wsp:val=&quot;4A7B576F&quot;/&gt;&lt;wsp:rsid wsp:val=&quot;4AF561A9&quot;/&gt;&lt;wsp:rsid wsp:val=&quot;4C45370E&quot;/&gt;&lt;wsp:rsid wsp:val=&quot;4C4A0649&quot;/&gt;&lt;wsp:rsid wsp:val=&quot;4C5C47F8&quot;/&gt;&lt;wsp:rsid wsp:val=&quot;4C7E5ECA&quot;/&gt;&lt;wsp:rsid wsp:val=&quot;4C876AA5&quot;/&gt;&lt;wsp:rsid wsp:val=&quot;4CA44B8F&quot;/&gt;&lt;wsp:rsid wsp:val=&quot;4CBE21F7&quot;/&gt;&lt;wsp:rsid wsp:val=&quot;4CED0BE3&quot;/&gt;&lt;wsp:rsid wsp:val=&quot;4D0E00FB&quot;/&gt;&lt;wsp:rsid wsp:val=&quot;4D176606&quot;/&gt;&lt;wsp:rsid wsp:val=&quot;4D214C67&quot;/&gt;&lt;wsp:rsid wsp:val=&quot;4DEC4FB0&quot;/&gt;&lt;wsp:rsid wsp:val=&quot;4E075D8A&quot;/&gt;&lt;wsp:rsid wsp:val=&quot;4EBC7AB1&quot;/&gt;&lt;wsp:rsid wsp:val=&quot;4EC00FAD&quot;/&gt;&lt;wsp:rsid wsp:val=&quot;4F0E040F&quot;/&gt;&lt;wsp:rsid wsp:val=&quot;4F9843DC&quot;/&gt;&lt;wsp:rsid wsp:val=&quot;4FA34CA0&quot;/&gt;&lt;wsp:rsid wsp:val=&quot;4FBA00C1&quot;/&gt;&lt;wsp:rsid wsp:val=&quot;4FC62A8C&quot;/&gt;&lt;wsp:rsid wsp:val=&quot;4FE20F0D&quot;/&gt;&lt;wsp:rsid wsp:val=&quot;4FE51552&quot;/&gt;&lt;wsp:rsid wsp:val=&quot;501B02F3&quot;/&gt;&lt;wsp:rsid wsp:val=&quot;50504C4B&quot;/&gt;&lt;wsp:rsid wsp:val=&quot;509C6E7C&quot;/&gt;&lt;wsp:rsid wsp:val=&quot;509E53F3&quot;/&gt;&lt;wsp:rsid wsp:val=&quot;51165A18&quot;/&gt;&lt;wsp:rsid wsp:val=&quot;51453215&quot;/&gt;&lt;wsp:rsid wsp:val=&quot;51475BCA&quot;/&gt;&lt;wsp:rsid wsp:val=&quot;5162104E&quot;/&gt;&lt;wsp:rsid wsp:val=&quot;5199753B&quot;/&gt;&lt;wsp:rsid wsp:val=&quot;51B2280A&quot;/&gt;&lt;wsp:rsid wsp:val=&quot;52151F1E&quot;/&gt;&lt;wsp:rsid wsp:val=&quot;522F6979&quot;/&gt;&lt;wsp:rsid wsp:val=&quot;52630848&quot;/&gt;&lt;wsp:rsid wsp:val=&quot;52A700EA&quot;/&gt;&lt;wsp:rsid wsp:val=&quot;532335FF&quot;/&gt;&lt;wsp:rsid wsp:val=&quot;53662188&quot;/&gt;&lt;wsp:rsid wsp:val=&quot;53A039CC&quot;/&gt;&lt;wsp:rsid wsp:val=&quot;53A1505A&quot;/&gt;&lt;wsp:rsid wsp:val=&quot;54063E08&quot;/&gt;&lt;wsp:rsid wsp:val=&quot;540B2DA8&quot;/&gt;&lt;wsp:rsid wsp:val=&quot;54107FD8&quot;/&gt;&lt;wsp:rsid wsp:val=&quot;54316065&quot;/&gt;&lt;wsp:rsid wsp:val=&quot;543437E8&quot;/&gt;&lt;wsp:rsid wsp:val=&quot;54F73313&quot;/&gt;&lt;wsp:rsid wsp:val=&quot;54F80955&quot;/&gt;&lt;wsp:rsid wsp:val=&quot;550453E9&quot;/&gt;&lt;wsp:rsid wsp:val=&quot;555144CA&quot;/&gt;&lt;wsp:rsid wsp:val=&quot;555170A7&quot;/&gt;&lt;wsp:rsid wsp:val=&quot;55647FBB&quot;/&gt;&lt;wsp:rsid wsp:val=&quot;557A08E3&quot;/&gt;&lt;wsp:rsid wsp:val=&quot;55801176&quot;/&gt;&lt;wsp:rsid wsp:val=&quot;5587536D&quot;/&gt;&lt;wsp:rsid wsp:val=&quot;559B174B&quot;/&gt;&lt;wsp:rsid wsp:val=&quot;559C7FD4&quot;/&gt;&lt;wsp:rsid wsp:val=&quot;55CE0CF4&quot;/&gt;&lt;wsp:rsid wsp:val=&quot;55E22FC9&quot;/&gt;&lt;wsp:rsid wsp:val=&quot;55F71F29&quot;/&gt;&lt;wsp:rsid wsp:val=&quot;56014AC9&quot;/&gt;&lt;wsp:rsid wsp:val=&quot;569D054D&quot;/&gt;&lt;wsp:rsid wsp:val=&quot;56B22A9C&quot;/&gt;&lt;wsp:rsid wsp:val=&quot;571F0A8A&quot;/&gt;&lt;wsp:rsid wsp:val=&quot;573065FF&quot;/&gt;&lt;wsp:rsid wsp:val=&quot;576D6DB8&quot;/&gt;&lt;wsp:rsid wsp:val=&quot;577500FA&quot;/&gt;&lt;wsp:rsid wsp:val=&quot;57B72A76&quot;/&gt;&lt;wsp:rsid wsp:val=&quot;57C3426C&quot;/&gt;&lt;wsp:rsid wsp:val=&quot;57CE1F93&quot;/&gt;&lt;wsp:rsid wsp:val=&quot;57D06F89&quot;/&gt;&lt;wsp:rsid wsp:val=&quot;57E31CC5&quot;/&gt;&lt;wsp:rsid wsp:val=&quot;585C345E&quot;/&gt;&lt;wsp:rsid wsp:val=&quot;588743D1&quot;/&gt;&lt;wsp:rsid wsp:val=&quot;5887701A&quot;/&gt;&lt;wsp:rsid wsp:val=&quot;58E510FA&quot;/&gt;&lt;wsp:rsid wsp:val=&quot;5953003B&quot;/&gt;&lt;wsp:rsid wsp:val=&quot;59C0439F&quot;/&gt;&lt;wsp:rsid wsp:val=&quot;5A1A3704&quot;/&gt;&lt;wsp:rsid wsp:val=&quot;5A426891&quot;/&gt;&lt;wsp:rsid wsp:val=&quot;5A666D5A&quot;/&gt;&lt;wsp:rsid wsp:val=&quot;5ABE2233&quot;/&gt;&lt;wsp:rsid wsp:val=&quot;5B653BED&quot;/&gt;&lt;wsp:rsid wsp:val=&quot;5B8B3CD5&quot;/&gt;&lt;wsp:rsid wsp:val=&quot;5B9318E1&quot;/&gt;&lt;wsp:rsid wsp:val=&quot;5B9D2CA7&quot;/&gt;&lt;wsp:rsid wsp:val=&quot;5BD5362F&quot;/&gt;&lt;wsp:rsid wsp:val=&quot;5BDF5D95&quot;/&gt;&lt;wsp:rsid wsp:val=&quot;5BFE7528&quot;/&gt;&lt;wsp:rsid wsp:val=&quot;5D0E538A&quot;/&gt;&lt;wsp:rsid wsp:val=&quot;5D2C2159&quot;/&gt;&lt;wsp:rsid wsp:val=&quot;5D3D3258&quot;/&gt;&lt;wsp:rsid wsp:val=&quot;5D7554B2&quot;/&gt;&lt;wsp:rsid wsp:val=&quot;5DB879D0&quot;/&gt;&lt;wsp:rsid wsp:val=&quot;5DCD1D16&quot;/&gt;&lt;wsp:rsid wsp:val=&quot;5DE3698D&quot;/&gt;&lt;wsp:rsid wsp:val=&quot;5E2467F1&quot;/&gt;&lt;wsp:rsid wsp:val=&quot;5E411833&quot;/&gt;&lt;wsp:rsid wsp:val=&quot;5F1A2B43&quot;/&gt;&lt;wsp:rsid wsp:val=&quot;5F1B274D&quot;/&gt;&lt;wsp:rsid wsp:val=&quot;5F481FAB&quot;/&gt;&lt;wsp:rsid wsp:val=&quot;5F8C7496&quot;/&gt;&lt;wsp:rsid wsp:val=&quot;5FB837BB&quot;/&gt;&lt;wsp:rsid wsp:val=&quot;60625073&quot;/&gt;&lt;wsp:rsid wsp:val=&quot;60CC405A&quot;/&gt;&lt;wsp:rsid wsp:val=&quot;61270AE7&quot;/&gt;&lt;wsp:rsid wsp:val=&quot;6133248A&quot;/&gt;&lt;wsp:rsid wsp:val=&quot;61B33961&quot;/&gt;&lt;wsp:rsid wsp:val=&quot;61C55830&quot;/&gt;&lt;wsp:rsid wsp:val=&quot;61E215D8&quot;/&gt;&lt;wsp:rsid wsp:val=&quot;621B3775&quot;/&gt;&lt;wsp:rsid wsp:val=&quot;62364782&quot;/&gt;&lt;wsp:rsid wsp:val=&quot;623E425F&quot;/&gt;&lt;wsp:rsid wsp:val=&quot;624D0DB3&quot;/&gt;&lt;wsp:rsid wsp:val=&quot;626F31C2&quot;/&gt;&lt;wsp:rsid wsp:val=&quot;62B465A8&quot;/&gt;&lt;wsp:rsid wsp:val=&quot;62C14CB5&quot;/&gt;&lt;wsp:rsid wsp:val=&quot;630E2CED&quot;/&gt;&lt;wsp:rsid wsp:val=&quot;634223EB&quot;/&gt;&lt;wsp:rsid wsp:val=&quot;6394356A&quot;/&gt;&lt;wsp:rsid wsp:val=&quot;63A460CF&quot;/&gt;&lt;wsp:rsid wsp:val=&quot;63A522B5&quot;/&gt;&lt;wsp:rsid wsp:val=&quot;63C61B2C&quot;/&gt;&lt;wsp:rsid wsp:val=&quot;63D40BE9&quot;/&gt;&lt;wsp:rsid wsp:val=&quot;63FE31B3&quot;/&gt;&lt;wsp:rsid wsp:val=&quot;64102431&quot;/&gt;&lt;wsp:rsid wsp:val=&quot;646A2992&quot;/&gt;&lt;wsp:rsid wsp:val=&quot;648268B2&quot;/&gt;&lt;wsp:rsid wsp:val=&quot;64A5243A&quot;/&gt;&lt;wsp:rsid wsp:val=&quot;64F17317&quot;/&gt;&lt;wsp:rsid wsp:val=&quot;64F531DE&quot;/&gt;&lt;wsp:rsid wsp:val=&quot;650A3CB2&quot;/&gt;&lt;wsp:rsid wsp:val=&quot;65373578&quot;/&gt;&lt;wsp:rsid wsp:val=&quot;65B04360&quot;/&gt;&lt;wsp:rsid wsp:val=&quot;65FB3751&quot;/&gt;&lt;wsp:rsid wsp:val=&quot;66043CB8&quot;/&gt;&lt;wsp:rsid wsp:val=&quot;66761F34&quot;/&gt;&lt;wsp:rsid wsp:val=&quot;66B57B3B&quot;/&gt;&lt;wsp:rsid wsp:val=&quot;671F124A&quot;/&gt;&lt;wsp:rsid wsp:val=&quot;6724179D&quot;/&gt;&lt;wsp:rsid wsp:val=&quot;677A33C6&quot;/&gt;&lt;wsp:rsid wsp:val=&quot;67A749AA&quot;/&gt;&lt;wsp:rsid wsp:val=&quot;67AD755E&quot;/&gt;&lt;wsp:rsid wsp:val=&quot;67CD366A&quot;/&gt;&lt;wsp:rsid wsp:val=&quot;681F6961&quot;/&gt;&lt;wsp:rsid wsp:val=&quot;68280EF1&quot;/&gt;&lt;wsp:rsid wsp:val=&quot;68610A2F&quot;/&gt;&lt;wsp:rsid wsp:val=&quot;6866323E&quot;/&gt;&lt;wsp:rsid wsp:val=&quot;68805514&quot;/&gt;&lt;wsp:rsid wsp:val=&quot;69181B7F&quot;/&gt;&lt;wsp:rsid wsp:val=&quot;69316E2F&quot;/&gt;&lt;wsp:rsid wsp:val=&quot;694E2071&quot;/&gt;&lt;wsp:rsid wsp:val=&quot;69766163&quot;/&gt;&lt;wsp:rsid wsp:val=&quot;697A3B33&quot;/&gt;&lt;wsp:rsid wsp:val=&quot;698C6385&quot;/&gt;&lt;wsp:rsid wsp:val=&quot;69D44760&quot;/&gt;&lt;wsp:rsid wsp:val=&quot;69E64209&quot;/&gt;&lt;wsp:rsid wsp:val=&quot;6A325F84&quot;/&gt;&lt;wsp:rsid wsp:val=&quot;6A520EC7&quot;/&gt;&lt;wsp:rsid wsp:val=&quot;6A5A7AF3&quot;/&gt;&lt;wsp:rsid wsp:val=&quot;6A816762&quot;/&gt;&lt;wsp:rsid wsp:val=&quot;6AF87E20&quot;/&gt;&lt;wsp:rsid wsp:val=&quot;6B322639&quot;/&gt;&lt;wsp:rsid wsp:val=&quot;6B6F5467&quot;/&gt;&lt;wsp:rsid wsp:val=&quot;6BB876CB&quot;/&gt;&lt;wsp:rsid wsp:val=&quot;6BF60E00&quot;/&gt;&lt;wsp:rsid wsp:val=&quot;6BFF1941&quot;/&gt;&lt;wsp:rsid wsp:val=&quot;6C0057A1&quot;/&gt;&lt;wsp:rsid wsp:val=&quot;6C636C38&quot;/&gt;&lt;wsp:rsid wsp:val=&quot;6C8D65A5&quot;/&gt;&lt;wsp:rsid wsp:val=&quot;6CDB4725&quot;/&gt;&lt;wsp:rsid wsp:val=&quot;6CE42A28&quot;/&gt;&lt;wsp:rsid wsp:val=&quot;6D09759D&quot;/&gt;&lt;wsp:rsid wsp:val=&quot;6D5B5E32&quot;/&gt;&lt;wsp:rsid wsp:val=&quot;6DB34098&quot;/&gt;&lt;wsp:rsid wsp:val=&quot;6DB545B6&quot;/&gt;&lt;wsp:rsid wsp:val=&quot;6DD55BAC&quot;/&gt;&lt;wsp:rsid wsp:val=&quot;6DE02FB4&quot;/&gt;&lt;wsp:rsid wsp:val=&quot;6E35478E&quot;/&gt;&lt;wsp:rsid wsp:val=&quot;6E514CED&quot;/&gt;&lt;wsp:rsid wsp:val=&quot;6E625E8D&quot;/&gt;&lt;wsp:rsid wsp:val=&quot;6EB563D5&quot;/&gt;&lt;wsp:rsid wsp:val=&quot;6EC80BE7&quot;/&gt;&lt;wsp:rsid wsp:val=&quot;6ED92677&quot;/&gt;&lt;wsp:rsid wsp:val=&quot;6F1E4F37&quot;/&gt;&lt;wsp:rsid wsp:val=&quot;6F225983&quot;/&gt;&lt;wsp:rsid wsp:val=&quot;6F4A66DB&quot;/&gt;&lt;wsp:rsid wsp:val=&quot;6F82478D&quot;/&gt;&lt;wsp:rsid wsp:val=&quot;6FFC5590&quot;/&gt;&lt;wsp:rsid wsp:val=&quot;7007619F&quot;/&gt;&lt;wsp:rsid wsp:val=&quot;70103A27&quot;/&gt;&lt;wsp:rsid wsp:val=&quot;706D1DD0&quot;/&gt;&lt;wsp:rsid wsp:val=&quot;70856B87&quot;/&gt;&lt;wsp:rsid wsp:val=&quot;70D527EE&quot;/&gt;&lt;wsp:rsid wsp:val=&quot;70E14698&quot;/&gt;&lt;wsp:rsid wsp:val=&quot;715B5300&quot;/&gt;&lt;wsp:rsid wsp:val=&quot;71642BB3&quot;/&gt;&lt;wsp:rsid wsp:val=&quot;717F72CC&quot;/&gt;&lt;wsp:rsid wsp:val=&quot;71D27F8A&quot;/&gt;&lt;wsp:rsid wsp:val=&quot;71F7560E&quot;/&gt;&lt;wsp:rsid wsp:val=&quot;71FF5286&quot;/&gt;&lt;wsp:rsid wsp:val=&quot;72364AB3&quot;/&gt;&lt;wsp:rsid wsp:val=&quot;72553024&quot;/&gt;&lt;wsp:rsid wsp:val=&quot;73122968&quot;/&gt;&lt;wsp:rsid wsp:val=&quot;731F5D5E&quot;/&gt;&lt;wsp:rsid wsp:val=&quot;732561C7&quot;/&gt;&lt;wsp:rsid wsp:val=&quot;73382FAF&quot;/&gt;&lt;wsp:rsid wsp:val=&quot;734C38CC&quot;/&gt;&lt;wsp:rsid wsp:val=&quot;739A2FA5&quot;/&gt;&lt;wsp:rsid wsp:val=&quot;73C51AD5&quot;/&gt;&lt;wsp:rsid wsp:val=&quot;73EF4D14&quot;/&gt;&lt;wsp:rsid wsp:val=&quot;73F35CCE&quot;/&gt;&lt;wsp:rsid wsp:val=&quot;74014D4A&quot;/&gt;&lt;wsp:rsid wsp:val=&quot;741E793C&quot;/&gt;&lt;wsp:rsid wsp:val=&quot;745E3944&quot;/&gt;&lt;wsp:rsid wsp:val=&quot;747D4C15&quot;/&gt;&lt;wsp:rsid wsp:val=&quot;74975272&quot;/&gt;&lt;wsp:rsid wsp:val=&quot;74C36207&quot;/&gt;&lt;wsp:rsid wsp:val=&quot;75436590&quot;/&gt;&lt;wsp:rsid wsp:val=&quot;761B0680&quot;/&gt;&lt;wsp:rsid wsp:val=&quot;761C6913&quot;/&gt;&lt;wsp:rsid wsp:val=&quot;761E760B&quot;/&gt;&lt;wsp:rsid wsp:val=&quot;7635099D&quot;/&gt;&lt;wsp:rsid wsp:val=&quot;76952B30&quot;/&gt;&lt;wsp:rsid wsp:val=&quot;77623D91&quot;/&gt;&lt;wsp:rsid wsp:val=&quot;77762421&quot;/&gt;&lt;wsp:rsid wsp:val=&quot;77B56B1F&quot;/&gt;&lt;wsp:rsid wsp:val=&quot;77C34D48&quot;/&gt;&lt;wsp:rsid wsp:val=&quot;77F410E5&quot;/&gt;&lt;wsp:rsid wsp:val=&quot;780C4CA8&quot;/&gt;&lt;wsp:rsid wsp:val=&quot;780F09F4&quot;/&gt;&lt;wsp:rsid wsp:val=&quot;781D669A&quot;/&gt;&lt;wsp:rsid wsp:val=&quot;78842B44&quot;/&gt;&lt;wsp:rsid wsp:val=&quot;788516F0&quot;/&gt;&lt;wsp:rsid wsp:val=&quot;78A90480&quot;/&gt;&lt;wsp:rsid wsp:val=&quot;78D97A47&quot;/&gt;&lt;wsp:rsid wsp:val=&quot;78F662F8&quot;/&gt;&lt;wsp:rsid wsp:val=&quot;79537DD9&quot;/&gt;&lt;wsp:rsid wsp:val=&quot;799C1E8B&quot;/&gt;&lt;wsp:rsid wsp:val=&quot;7A117CFD&quot;/&gt;&lt;wsp:rsid wsp:val=&quot;7A364017&quot;/&gt;&lt;wsp:rsid wsp:val=&quot;7A4B6B81&quot;/&gt;&lt;wsp:rsid wsp:val=&quot;7A8265E1&quot;/&gt;&lt;wsp:rsid wsp:val=&quot;7A8368F0&quot;/&gt;&lt;wsp:rsid wsp:val=&quot;7AB12F89&quot;/&gt;&lt;wsp:rsid wsp:val=&quot;7AD46E75&quot;/&gt;&lt;wsp:rsid wsp:val=&quot;7AFB30F4&quot;/&gt;&lt;wsp:rsid wsp:val=&quot;7B5F0160&quot;/&gt;&lt;wsp:rsid wsp:val=&quot;7B683E90&quot;/&gt;&lt;wsp:rsid wsp:val=&quot;7B686D42&quot;/&gt;&lt;wsp:rsid wsp:val=&quot;7B841746&quot;/&gt;&lt;wsp:rsid wsp:val=&quot;7B9151EC&quot;/&gt;&lt;wsp:rsid wsp:val=&quot;7BA25F20&quot;/&gt;&lt;wsp:rsid wsp:val=&quot;7BCB41E6&quot;/&gt;&lt;wsp:rsid wsp:val=&quot;7BD0454F&quot;/&gt;&lt;wsp:rsid wsp:val=&quot;7C356F62&quot;/&gt;&lt;wsp:rsid wsp:val=&quot;7C5C6E33&quot;/&gt;&lt;wsp:rsid wsp:val=&quot;7C6C5AC7&quot;/&gt;&lt;wsp:rsid wsp:val=&quot;7CB07638&quot;/&gt;&lt;wsp:rsid wsp:val=&quot;7CC6544B&quot;/&gt;&lt;wsp:rsid wsp:val=&quot;7D0239FF&quot;/&gt;&lt;wsp:rsid wsp:val=&quot;7D292D1B&quot;/&gt;&lt;wsp:rsid wsp:val=&quot;7D2C1E1B&quot;/&gt;&lt;wsp:rsid wsp:val=&quot;7D5E40CD&quot;/&gt;&lt;wsp:rsid wsp:val=&quot;7D8843FA&quot;/&gt;&lt;wsp:rsid wsp:val=&quot;7D937A3B&quot;/&gt;&lt;wsp:rsid wsp:val=&quot;7DAC1103&quot;/&gt;&lt;wsp:rsid wsp:val=&quot;7DCD56F2&quot;/&gt;&lt;wsp:rsid wsp:val=&quot;7E577071&quot;/&gt;&lt;wsp:rsid wsp:val=&quot;7E9D7E83&quot;/&gt;&lt;wsp:rsid wsp:val=&quot;7EB06B62&quot;/&gt;&lt;wsp:rsid wsp:val=&quot;7EE32D92&quot;/&gt;&lt;wsp:rsid wsp:val=&quot;7F001CE7&quot;/&gt;&lt;wsp:rsid wsp:val=&quot;7F723C0F&quot;/&gt;&lt;wsp:rsid wsp:val=&quot;7F902601&quot;/&gt;&lt;wsp:rsid wsp:val=&quot;7FE47E50&quot;/&gt;&lt;/wsp:rsids&gt;&lt;/w:docPr&gt;&lt;w:body&gt;&lt;wx:sect&gt;&lt;w:p wsp:rsidR=&quot;00000000&quot; wsp:rsidRDefault=&quot;00C15D97&quot; wsp:rsidP=&quot;00C15D97&quot;&gt;&lt;m:oMathPara&gt;&lt;m:oMath&gt;&lt;m:sSub&gt;&lt;m:sSubPr&gt;&lt;m:ctrlPr&gt;&lt;w:rPr&gt;&lt;w:rFonts w:ascii=&quot;Cambria Math&quot; w:h-ansi=&quot;Cambria Math&quot; w:cs=&quot;锟斤拷锟斤拷&quot;/&gt;&lt;wx:font wx:val=&quot;Cambria Math&quot;/&gt;&lt;w:b-cs/&gt;&lt;w:i/&gt;&lt;w:color w:val=&quot;000000&quot;/&gt;&lt;w:sz w:val=&quot;24&quot;/&gt;&lt;w:sz-cs w:val=&quot;21&quot;/&gt;idP=&quot;0idP=&quot;0idP=&quot;0idP=&quot;0idP=&quot;0idP=&quot;0idP=&quot;0idP=&quot;0&lt;/w:rPr&gt;&quot;0&lt;/m:ctrlPr&gt;&lt;/m:sSubPr&gt;&lt;m:e&gt;&lt;m:r&gt;&lt;w:rPr&gt;&lt;w:rFonts w:ascii=&quot;Cambria Math&quot; w:h-ansi=&quot;Cambria Math&quot; w:cs=&quot;锟斤拷锟斤拷&quot; w:hint=&quot;fareast&quot;/&gt;&lt;wx:font wx:val=&quot;Cambria Math&quot;/&gt;&lt;w:i/&gt;&lt;w:color w:val=&quot;000000&quot;/&gt;&lt;w:keridP=&quot;0n w:vaidP=&quot;0l=&quot;0&quot;/idP=&quot;0&gt;&lt;w:szidP=&quot;0 w:validP=&quot;0=&quot;24&quot;/idP=&quot;0&gt;&lt;/w:ridP=&quot;0Pr&gt;&lt;m:idP=&quot;0t&gt;V&lt;/m:t&gt;&lt;/m:r&gt;&lt;/m&quot;0:e&gt;&lt;m:sub&gt;&lt;m:r&gt;&lt;w:rPr&gt;&lt;w:rFonts w:ascii=&quot;Cambria Math&quot; w:h-ansi=&quot;Cambria Math&quot; w:cs=&quot;锟斤拷锟斤拷&quot;/&gt;&lt;wx:font wx:val=&quot;Cambria Math&quot;/&gt;&lt;w:i/&gt;&lt;w:color w:vaidP=&quot;0l=&quot;000000&quot;/&gt;idP=&quot;0&lt;w:kern w:vaidP=&quot;0l=&quot;0&quot;/&gt;&lt;w:szidP=&quot;0 w:val=&quot;24&quot;/idP=&quot;0&gt;&lt;/w:rPr&gt;&lt;m:idP=&quot;0t&gt;4&lt;/m:t&gt;&lt;/midP=&quot;0:r&gt;&lt;/m:sub&gt;&lt;idP=&quot;0/m:sSub&gt;&lt;/m:oMath&gt;&lt;/m:oMathP&quot;0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path/>
                  <v:fill on="f" focussize="0,0"/>
                  <v:stroke/>
                  <v:imagedata r:id="rId20" chromakey="#FFFFFF" o:title=""/>
                  <o:lock v:ext="edit" aspectratio="t"/>
                  <w10:wrap type="none"/>
                  <w10:anchorlock/>
                </v:shape>
              </w:pict>
            </w:r>
            <w:r>
              <w:rPr>
                <w:rFonts w:hint="eastAsia" w:cs="宋体"/>
                <w:bCs/>
                <w:color w:val="000000"/>
                <w:sz w:val="24"/>
                <w:szCs w:val="21"/>
              </w:rPr>
              <w:instrText xml:space="preserve"> </w:instrText>
            </w:r>
            <w:r>
              <w:rPr>
                <w:rFonts w:hint="eastAsia" w:cs="宋体"/>
                <w:bCs/>
                <w:color w:val="000000"/>
                <w:sz w:val="24"/>
                <w:szCs w:val="21"/>
              </w:rPr>
              <w:fldChar w:fldCharType="end"/>
            </w:r>
            <w:r>
              <w:rPr>
                <w:rFonts w:hint="eastAsia" w:cs="宋体"/>
                <w:bCs/>
                <w:color w:val="000000"/>
                <w:sz w:val="24"/>
                <w:szCs w:val="21"/>
              </w:rPr>
              <w:t>取正常生产1h的废水量，即</w:t>
            </w:r>
            <w:r>
              <w:rPr>
                <w:bCs/>
                <w:color w:val="000000"/>
                <w:sz w:val="24"/>
                <w:szCs w:val="21"/>
              </w:rPr>
              <w:t>197.38m³</w:t>
            </w:r>
            <w:r>
              <w:rPr>
                <w:rFonts w:hint="eastAsia" w:cs="宋体"/>
                <w:bCs/>
                <w:color w:val="000000"/>
                <w:sz w:val="24"/>
                <w:szCs w:val="21"/>
              </w:rPr>
              <w:t>；</w:t>
            </w:r>
          </w:p>
          <w:p>
            <w:pPr>
              <w:autoSpaceDE w:val="0"/>
              <w:autoSpaceDN w:val="0"/>
              <w:adjustRightInd w:val="0"/>
              <w:spacing w:line="360" w:lineRule="auto"/>
              <w:ind w:firstLine="480" w:firstLineChars="200"/>
              <w:rPr>
                <w:rFonts w:cs="宋体"/>
                <w:bCs/>
                <w:color w:val="000000"/>
                <w:sz w:val="24"/>
                <w:szCs w:val="21"/>
              </w:rPr>
            </w:pPr>
            <w:r>
              <w:rPr>
                <w:rFonts w:cs="宋体"/>
                <w:bCs/>
                <w:i/>
                <w:color w:val="000000"/>
                <w:sz w:val="24"/>
                <w:szCs w:val="21"/>
              </w:rPr>
              <w:t>V</w:t>
            </w:r>
            <w:r>
              <w:rPr>
                <w:rFonts w:cs="宋体"/>
                <w:bCs/>
                <w:i/>
                <w:color w:val="000000"/>
                <w:sz w:val="24"/>
                <w:szCs w:val="21"/>
                <w:vertAlign w:val="subscript"/>
              </w:rPr>
              <w:t>5</w:t>
            </w:r>
            <w:r>
              <w:rPr>
                <w:rFonts w:hint="eastAsia" w:cs="宋体"/>
                <w:bCs/>
                <w:color w:val="000000"/>
                <w:sz w:val="24"/>
                <w:szCs w:val="21"/>
              </w:rPr>
              <w:fldChar w:fldCharType="begin"/>
            </w:r>
            <w:r>
              <w:rPr>
                <w:rFonts w:hint="eastAsia" w:cs="宋体"/>
                <w:bCs/>
                <w:color w:val="000000"/>
                <w:sz w:val="24"/>
                <w:szCs w:val="21"/>
              </w:rPr>
              <w:instrText xml:space="preserve"> QUOTE </w:instrText>
            </w:r>
            <w:r>
              <w:rPr>
                <w:rFonts w:cs="宋体"/>
                <w:bCs/>
                <w:color w:val="000000"/>
                <w:sz w:val="24"/>
                <w:szCs w:val="21"/>
              </w:rPr>
              <w:pict>
                <v:shape id="_x0000_i1028" o:spt="75" type="#_x0000_t75" style="height:15.1pt;width:12.25pt;" fill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1&quot;/&gt;&lt;w:doNotEmbedSystemFonts/&gt;&lt;w:stylePaneFormatFilter w:val=&quot;3F01&quot;/&gt;&lt;w:documentProtection w:edit=&quot;tracked-changes&quot; w:enforcement=&quot;off&quot;/&gt;&lt;w:defaultTabStop w:val=&quot;420&quot;/&gt;&lt;w:doNotHyphenateCaps/&gt;&lt;w:drawingGridVerticalSpacing w:val=&quot;156&quot;/&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sp:rsids&gt;&lt;wsp:rsidRoot wsp:val=&quot;00172A27&quot;/&gt;&lt;wsp:rsid wsp:val=&quot;00002B8F&quot;/&gt;&lt;wsp:rsid wsp:val=&quot;000060B3&quot;/&gt;&lt;wsp:rsid wsp:val=&quot;0004364B&quot;/&gt;&lt;wsp:rsid wsp:val=&quot;00050021&quot;/&gt;&lt;wsp:rsid wsp:val=&quot;00061B1F&quot;/&gt;&lt;wsp:rsid wsp:val=&quot;000733C4&quot;/&gt;&lt;wsp:rsid wsp:val=&quot;00074783&quot;/&gt;&lt;wsp:rsid wsp:val=&quot;0008070B&quot;/&gt;&lt;wsp:rsid wsp:val=&quot;000810AC&quot;/&gt;&lt;wsp:rsid wsp:val=&quot;00081A02&quot;/&gt;&lt;wsp:rsid wsp:val=&quot;00082231&quot;/&gt;&lt;wsp:rsid wsp:val=&quot;00092D38&quot;/&gt;&lt;wsp:rsid wsp:val=&quot;0009377B&quot;/&gt;&lt;wsp:rsid wsp:val=&quot;000A20C9&quot;/&gt;&lt;wsp:rsid wsp:val=&quot;000B058F&quot;/&gt;&lt;wsp:rsid wsp:val=&quot;000B4467&quot;/&gt;&lt;wsp:rsid wsp:val=&quot;000B4DB9&quot;/&gt;&lt;wsp:rsid wsp:val=&quot;000C09AC&quot;/&gt;&lt;wsp:rsid wsp:val=&quot;000C767F&quot;/&gt;&lt;wsp:rsid wsp:val=&quot;000D5A44&quot;/&gt;&lt;wsp:rsid wsp:val=&quot;000E3ED2&quot;/&gt;&lt;wsp:rsid wsp:val=&quot;00112027&quot;/&gt;&lt;wsp:rsid wsp:val=&quot;001124EB&quot;/&gt;&lt;wsp:rsid wsp:val=&quot;00131F42&quot;/&gt;&lt;wsp:rsid wsp:val=&quot;00134091&quot;/&gt;&lt;wsp:rsid wsp:val=&quot;0013418C&quot;/&gt;&lt;wsp:rsid wsp:val=&quot;001357F1&quot;/&gt;&lt;wsp:rsid wsp:val=&quot;00140FA8&quot;/&gt;&lt;wsp:rsid wsp:val=&quot;00142FEB&quot;/&gt;&lt;wsp:rsid wsp:val=&quot;00143A2D&quot;/&gt;&lt;wsp:rsid wsp:val=&quot;00145A41&quot;/&gt;&lt;wsp:rsid wsp:val=&quot;00151675&quot;/&gt;&lt;wsp:rsid wsp:val=&quot;00157435&quot;/&gt;&lt;wsp:rsid wsp:val=&quot;00173FBA&quot;/&gt;&lt;wsp:rsid wsp:val=&quot;0017504D&quot;/&gt;&lt;wsp:rsid wsp:val=&quot;0017671A&quot;/&gt;&lt;wsp:rsid wsp:val=&quot;00177422&quot;/&gt;&lt;wsp:rsid wsp:val=&quot;00184590&quot;/&gt;&lt;wsp:rsid wsp:val=&quot;001870D1&quot;/&gt;&lt;wsp:rsid wsp:val=&quot;0018781E&quot;/&gt;&lt;wsp:rsid wsp:val=&quot;0019262D&quot;/&gt;&lt;wsp:rsid wsp:val=&quot;001944D2&quot;/&gt;&lt;wsp:rsid wsp:val=&quot;001A1B35&quot;/&gt;&lt;wsp:rsid wsp:val=&quot;001A48A2&quot;/&gt;&lt;wsp:rsid wsp:val=&quot;001A6F61&quot;/&gt;&lt;wsp:rsid wsp:val=&quot;001B4BA8&quot;/&gt;&lt;wsp:rsid wsp:val=&quot;001B72B8&quot;/&gt;&lt;wsp:rsid wsp:val=&quot;001C5F0F&quot;/&gt;&lt;wsp:rsid wsp:val=&quot;001C69B3&quot;/&gt;&lt;wsp:rsid wsp:val=&quot;001D5595&quot;/&gt;&lt;wsp:rsid wsp:val=&quot;001D7874&quot;/&gt;&lt;wsp:rsid wsp:val=&quot;001D7F22&quot;/&gt;&lt;wsp:rsid wsp:val=&quot;001F0F17&quot;/&gt;&lt;wsp:rsid wsp:val=&quot;001F3347&quot;/&gt;&lt;wsp:rsid wsp:val=&quot;001F69E4&quot;/&gt;&lt;wsp:rsid wsp:val=&quot;002125B4&quot;/&gt;&lt;wsp:rsid wsp:val=&quot;002155B8&quot;/&gt;&lt;wsp:rsid wsp:val=&quot;00224839&quot;/&gt;&lt;wsp:rsid wsp:val=&quot;002249B2&quot;/&gt;&lt;wsp:rsid wsp:val=&quot;00226574&quot;/&gt;&lt;wsp:rsid wsp:val=&quot;002278EC&quot;/&gt;&lt;wsp:rsid wsp:val=&quot;0023280E&quot;/&gt;&lt;wsp:rsid wsp:val=&quot;002377D1&quot;/&gt;&lt;wsp:rsid wsp:val=&quot;002506BC&quot;/&gt;&lt;wsp:rsid wsp:val=&quot;00254345&quot;/&gt;&lt;wsp:rsid wsp:val=&quot;0026206E&quot;/&gt;&lt;wsp:rsid wsp:val=&quot;002625E3&quot;/&gt;&lt;wsp:rsid wsp:val=&quot;00264557&quot;/&gt;&lt;wsp:rsid wsp:val=&quot;002805AB&quot;/&gt;&lt;wsp:rsid wsp:val=&quot;00284204&quot;/&gt;&lt;wsp:rsid wsp:val=&quot;00291773&quot;/&gt;&lt;wsp:rsid wsp:val=&quot;002A168C&quot;/&gt;&lt;wsp:rsid wsp:val=&quot;002A3DC7&quot;/&gt;&lt;wsp:rsid wsp:val=&quot;002B49E2&quot;/&gt;&lt;wsp:rsid wsp:val=&quot;002B7B00&quot;/&gt;&lt;wsp:rsid wsp:val=&quot;002B7C44&quot;/&gt;&lt;wsp:rsid wsp:val=&quot;002C2B17&quot;/&gt;&lt;wsp:rsid wsp:val=&quot;002D3DD0&quot;/&gt;&lt;wsp:rsid wsp:val=&quot;002E1F3A&quot;/&gt;&lt;wsp:rsid wsp:val=&quot;002E298A&quot;/&gt;&lt;wsp:rsid wsp:val=&quot;00301978&quot;/&gt;&lt;wsp:rsid wsp:val=&quot;0030332C&quot;/&gt;&lt;wsp:rsid wsp:val=&quot;003051C2&quot;/&gt;&lt;wsp:rsid wsp:val=&quot;00312296&quot;/&gt;&lt;wsp:rsid wsp:val=&quot;00314F0E&quot;/&gt;&lt;wsp:rsid wsp:val=&quot;00321D8E&quot;/&gt;&lt;wsp:rsid wsp:val=&quot;00325928&quot;/&gt;&lt;wsp:rsid wsp:val=&quot;00332863&quot;/&gt;&lt;wsp:rsid wsp:val=&quot;00333261&quot;/&gt;&lt;wsp:rsid wsp:val=&quot;0033684D&quot;/&gt;&lt;wsp:rsid wsp:val=&quot;00337B42&quot;/&gt;&lt;wsp:rsid wsp:val=&quot;00341B42&quot;/&gt;&lt;wsp:rsid wsp:val=&quot;0034348F&quot;/&gt;&lt;wsp:rsid wsp:val=&quot;00343C2B&quot;/&gt;&lt;wsp:rsid wsp:val=&quot;0034596F&quot;/&gt;&lt;wsp:rsid wsp:val=&quot;00356653&quot;/&gt;&lt;wsp:rsid wsp:val=&quot;0035743F&quot;/&gt;&lt;wsp:rsid wsp:val=&quot;00357BE2&quot;/&gt;&lt;wsp:rsid wsp:val=&quot;0036170C&quot;/&gt;&lt;wsp:rsid wsp:val=&quot;00366E0F&quot;/&gt;&lt;wsp:rsid wsp:val=&quot;00375832&quot;/&gt;&lt;wsp:rsid wsp:val=&quot;00381A72&quot;/&gt;&lt;wsp:rsid wsp:val=&quot;00384676&quot;/&gt;&lt;wsp:rsid wsp:val=&quot;00384BC6&quot;/&gt;&lt;wsp:rsid wsp:val=&quot;00390857&quot;/&gt;&lt;wsp:rsid wsp:val=&quot;003930BB&quot;/&gt;&lt;wsp:rsid wsp:val=&quot;003A4BF3&quot;/&gt;&lt;wsp:rsid wsp:val=&quot;003B420D&quot;/&gt;&lt;wsp:rsid wsp:val=&quot;003B72F6&quot;/&gt;&lt;wsp:rsid wsp:val=&quot;003C6C16&quot;/&gt;&lt;wsp:rsid wsp:val=&quot;003D76AB&quot;/&gt;&lt;wsp:rsid wsp:val=&quot;003D794D&quot;/&gt;&lt;wsp:rsid wsp:val=&quot;003E2F5A&quot;/&gt;&lt;wsp:rsid wsp:val=&quot;003E3058&quot;/&gt;&lt;wsp:rsid wsp:val=&quot;003E76A9&quot;/&gt;&lt;wsp:rsid wsp:val=&quot;003E7BEE&quot;/&gt;&lt;wsp:rsid wsp:val=&quot;003F0809&quot;/&gt;&lt;wsp:rsid wsp:val=&quot;003F4C47&quot;/&gt;&lt;wsp:rsid wsp:val=&quot;003F6A8C&quot;/&gt;&lt;wsp:rsid wsp:val=&quot;003F755C&quot;/&gt;&lt;wsp:rsid wsp:val=&quot;00406F01&quot;/&gt;&lt;wsp:rsid wsp:val=&quot;00412988&quot;/&gt;&lt;wsp:rsid wsp:val=&quot;00416D50&quot;/&gt;&lt;wsp:rsid wsp:val=&quot;00416FD5&quot;/&gt;&lt;wsp:rsid wsp:val=&quot;00417772&quot;/&gt;&lt;wsp:rsid wsp:val=&quot;00420E6A&quot;/&gt;&lt;wsp:rsid wsp:val=&quot;00425A9E&quot;/&gt;&lt;wsp:rsid wsp:val=&quot;00426D6B&quot;/&gt;&lt;wsp:rsid wsp:val=&quot;00431E6C&quot;/&gt;&lt;wsp:rsid wsp:val=&quot;00433CE7&quot;/&gt;&lt;wsp:rsid wsp:val=&quot;004436E8&quot;/&gt;&lt;wsp:rsid wsp:val=&quot;00452738&quot;/&gt;&lt;wsp:rsid wsp:val=&quot;00456091&quot;/&gt;&lt;wsp:rsid wsp:val=&quot;00466321&quot;/&gt;&lt;wsp:rsid wsp:val=&quot;0046661F&quot;/&gt;&lt;wsp:rsid wsp:val=&quot;00484B9B&quot;/&gt;&lt;wsp:rsid wsp:val=&quot;004855F6&quot;/&gt;&lt;wsp:rsid wsp:val=&quot;0048661E&quot;/&gt;&lt;wsp:rsid wsp:val=&quot;00494670&quot;/&gt;&lt;wsp:rsid wsp:val=&quot;004A3823&quot;/&gt;&lt;wsp:rsid wsp:val=&quot;004B0015&quot;/&gt;&lt;wsp:rsid wsp:val=&quot;004C21EF&quot;/&gt;&lt;wsp:rsid wsp:val=&quot;004E6946&quot;/&gt;&lt;wsp:rsid wsp:val=&quot;004F1AD8&quot;/&gt;&lt;wsp:rsid wsp:val=&quot;005039CB&quot;/&gt;&lt;wsp:rsid wsp:val=&quot;0050558F&quot;/&gt;&lt;wsp:rsid wsp:val=&quot;00506286&quot;/&gt;&lt;wsp:rsid wsp:val=&quot;00510813&quot;/&gt;&lt;wsp:rsid wsp:val=&quot;00511990&quot;/&gt;&lt;wsp:rsid wsp:val=&quot;00511DE0&quot;/&gt;&lt;wsp:rsid wsp:val=&quot;00514870&quot;/&gt;&lt;wsp:rsid wsp:val=&quot;00514B9B&quot;/&gt;&lt;wsp:rsid wsp:val=&quot;00517F02&quot;/&gt;&lt;wsp:rsid wsp:val=&quot;00524303&quot;/&gt;&lt;wsp:rsid wsp:val=&quot;005258A2&quot;/&gt;&lt;wsp:rsid wsp:val=&quot;005401AE&quot;/&gt;&lt;wsp:rsid wsp:val=&quot;00542E07&quot;/&gt;&lt;wsp:rsid wsp:val=&quot;00545424&quot;/&gt;&lt;wsp:rsid wsp:val=&quot;00554A7B&quot;/&gt;&lt;wsp:rsid wsp:val=&quot;0055572C&quot;/&gt;&lt;wsp:rsid wsp:val=&quot;0056106A&quot;/&gt;&lt;wsp:rsid wsp:val=&quot;005720AE&quot;/&gt;&lt;wsp:rsid wsp:val=&quot;00582527&quot;/&gt;&lt;wsp:rsid wsp:val=&quot;00594D77&quot;/&gt;&lt;wsp:rsid wsp:val=&quot;005969E4&quot;/&gt;&lt;wsp:rsid wsp:val=&quot;005A06B7&quot;/&gt;&lt;wsp:rsid wsp:val=&quot;005A1759&quot;/&gt;&lt;wsp:rsid wsp:val=&quot;005A68A7&quot;/&gt;&lt;wsp:rsid wsp:val=&quot;005B0AFA&quot;/&gt;&lt;wsp:rsid wsp:val=&quot;005C04F5&quot;/&gt;&lt;wsp:rsid wsp:val=&quot;005D36AB&quot;/&gt;&lt;wsp:rsid wsp:val=&quot;005D3A8B&quot;/&gt;&lt;wsp:rsid wsp:val=&quot;005D5B30&quot;/&gt;&lt;wsp:rsid wsp:val=&quot;00610B09&quot;/&gt;&lt;wsp:rsid wsp:val=&quot;00617CC3&quot;/&gt;&lt;wsp:rsid wsp:val=&quot;006377A6&quot;/&gt;&lt;wsp:rsid wsp:val=&quot;00637A3D&quot;/&gt;&lt;wsp:rsid wsp:val=&quot;006411EF&quot;/&gt;&lt;wsp:rsid wsp:val=&quot;006748B8&quot;/&gt;&lt;wsp:rsid wsp:val=&quot;006775C3&quot;/&gt;&lt;wsp:rsid wsp:val=&quot;0069290A&quot;/&gt;&lt;wsp:rsid wsp:val=&quot;0069775A&quot;/&gt;&lt;wsp:rsid wsp:val=&quot;00697813&quot;/&gt;&lt;wsp:rsid wsp:val=&quot;006A3EE8&quot;/&gt;&lt;wsp:rsid wsp:val=&quot;006A72BF&quot;/&gt;&lt;wsp:rsid wsp:val=&quot;006B03F2&quot;/&gt;&lt;wsp:rsid wsp:val=&quot;006B37DC&quot;/&gt;&lt;wsp:rsid wsp:val=&quot;006B4F68&quot;/&gt;&lt;wsp:rsid wsp:val=&quot;006C0592&quot;/&gt;&lt;wsp:rsid wsp:val=&quot;006C272E&quot;/&gt;&lt;wsp:rsid wsp:val=&quot;006C5479&quot;/&gt;&lt;wsp:rsid wsp:val=&quot;006D13B5&quot;/&gt;&lt;wsp:rsid wsp:val=&quot;006E12FF&quot;/&gt;&lt;wsp:rsid wsp:val=&quot;006E607E&quot;/&gt;&lt;wsp:rsid wsp:val=&quot;00701EB3&quot;/&gt;&lt;wsp:rsid wsp:val=&quot;00706C5D&quot;/&gt;&lt;wsp:rsid wsp:val=&quot;0071224C&quot;/&gt;&lt;wsp:rsid wsp:val=&quot;007212C5&quot;/&gt;&lt;wsp:rsid wsp:val=&quot;0072135A&quot;/&gt;&lt;wsp:rsid wsp:val=&quot;00732922&quot;/&gt;&lt;wsp:rsid wsp:val=&quot;007331E7&quot;/&gt;&lt;wsp:rsid wsp:val=&quot;007505F6&quot;/&gt;&lt;wsp:rsid wsp:val=&quot;0075162E&quot;/&gt;&lt;wsp:rsid wsp:val=&quot;00754034&quot;/&gt;&lt;wsp:rsid wsp:val=&quot;00756556&quot;/&gt;&lt;wsp:rsid wsp:val=&quot;007618C4&quot;/&gt;&lt;wsp:rsid wsp:val=&quot;00767968&quot;/&gt;&lt;wsp:rsid wsp:val=&quot;00767980&quot;/&gt;&lt;wsp:rsid wsp:val=&quot;00770B19&quot;/&gt;&lt;wsp:rsid wsp:val=&quot;0077463F&quot;/&gt;&lt;wsp:rsid wsp:val=&quot;007836EA&quot;/&gt;&lt;wsp:rsid wsp:val=&quot;00784CDA&quot;/&gt;&lt;wsp:rsid wsp:val=&quot;00785117&quot;/&gt;&lt;wsp:rsid wsp:val=&quot;0078564F&quot;/&gt;&lt;wsp:rsid wsp:val=&quot;007906C4&quot;/&gt;&lt;wsp:rsid wsp:val=&quot;007940EA&quot;/&gt;&lt;wsp:rsid wsp:val=&quot;007967E8&quot;/&gt;&lt;wsp:rsid wsp:val=&quot;007A2170&quot;/&gt;&lt;wsp:rsid wsp:val=&quot;007A22BF&quot;/&gt;&lt;wsp:rsid wsp:val=&quot;007A3323&quot;/&gt;&lt;wsp:rsid wsp:val=&quot;007B72B8&quot;/&gt;&lt;wsp:rsid wsp:val=&quot;007B7A58&quot;/&gt;&lt;wsp:rsid wsp:val=&quot;007C21B5&quot;/&gt;&lt;wsp:rsid wsp:val=&quot;007E4BD2&quot;/&gt;&lt;wsp:rsid wsp:val=&quot;007F1DAD&quot;/&gt;&lt;wsp:rsid wsp:val=&quot;00801393&quot;/&gt;&lt;wsp:rsid wsp:val=&quot;00802F88&quot;/&gt;&lt;wsp:rsid wsp:val=&quot;0081293E&quot;/&gt;&lt;wsp:rsid wsp:val=&quot;00815465&quot;/&gt;&lt;wsp:rsid wsp:val=&quot;00817E9A&quot;/&gt;&lt;wsp:rsid wsp:val=&quot;008306BD&quot;/&gt;&lt;wsp:rsid wsp:val=&quot;00831A80&quot;/&gt;&lt;wsp:rsid wsp:val=&quot;00833743&quot;/&gt;&lt;wsp:rsid wsp:val=&quot;008340A4&quot;/&gt;&lt;wsp:rsid wsp:val=&quot;00860650&quot;/&gt;&lt;wsp:rsid wsp:val=&quot;0086181C&quot;/&gt;&lt;wsp:rsid wsp:val=&quot;0087135F&quot;/&gt;&lt;wsp:rsid wsp:val=&quot;00872D94&quot;/&gt;&lt;wsp:rsid wsp:val=&quot;00880364&quot;/&gt;&lt;wsp:rsid wsp:val=&quot;00887126&quot;/&gt;&lt;wsp:rsid wsp:val=&quot;00891592&quot;/&gt;&lt;wsp:rsid wsp:val=&quot;00891E9E&quot;/&gt;&lt;wsp:rsid wsp:val=&quot;00893BB8&quot;/&gt;&lt;wsp:rsid wsp:val=&quot;008A2F68&quot;/&gt;&lt;wsp:rsid wsp:val=&quot;008B4FA6&quot;/&gt;&lt;wsp:rsid wsp:val=&quot;008B5282&quot;/&gt;&lt;wsp:rsid wsp:val=&quot;008B7139&quot;/&gt;&lt;wsp:rsid wsp:val=&quot;008B7C17&quot;/&gt;&lt;wsp:rsid wsp:val=&quot;008C2D01&quot;/&gt;&lt;wsp:rsid wsp:val=&quot;008C40E6&quot;/&gt;&lt;wsp:rsid wsp:val=&quot;008D0F7A&quot;/&gt;&lt;wsp:rsid wsp:val=&quot;008D68E4&quot;/&gt;&lt;wsp:rsid wsp:val=&quot;008E0506&quot;/&gt;&lt;wsp:rsid wsp:val=&quot;008E0CFF&quot;/&gt;&lt;wsp:rsid wsp:val=&quot;008E5D6B&quot;/&gt;&lt;wsp:rsid wsp:val=&quot;008E76F0&quot;/&gt;&lt;wsp:rsid wsp:val=&quot;008F15FE&quot;/&gt;&lt;wsp:rsid wsp:val=&quot;008F2D29&quot;/&gt;&lt;wsp:rsid wsp:val=&quot;008F5187&quot;/&gt;&lt;wsp:rsid wsp:val=&quot;008F60D8&quot;/&gt;&lt;wsp:rsid wsp:val=&quot;00902727&quot;/&gt;&lt;wsp:rsid wsp:val=&quot;0090312B&quot;/&gt;&lt;wsp:rsid wsp:val=&quot;0091736D&quot;/&gt;&lt;wsp:rsid wsp:val=&quot;00921F5A&quot;/&gt;&lt;wsp:rsid wsp:val=&quot;00925AB1&quot;/&gt;&lt;wsp:rsid wsp:val=&quot;0093037A&quot;/&gt;&lt;wsp:rsid wsp:val=&quot;0094154D&quot;/&gt;&lt;wsp:rsid wsp:val=&quot;00950971&quot;/&gt;&lt;wsp:rsid wsp:val=&quot;0095155F&quot;/&gt;&lt;wsp:rsid wsp:val=&quot;00954429&quot;/&gt;&lt;wsp:rsid wsp:val=&quot;009563CE&quot;/&gt;&lt;wsp:rsid wsp:val=&quot;0096551F&quot;/&gt;&lt;wsp:rsid wsp:val=&quot;00976328&quot;/&gt;&lt;wsp:rsid wsp:val=&quot;0097680D&quot;/&gt;&lt;wsp:rsid wsp:val=&quot;009778D2&quot;/&gt;&lt;wsp:rsid wsp:val=&quot;00982438&quot;/&gt;&lt;wsp:rsid wsp:val=&quot;0098404C&quot;/&gt;&lt;wsp:rsid wsp:val=&quot;00984C45&quot;/&gt;&lt;wsp:rsid wsp:val=&quot;00985283&quot;/&gt;&lt;wsp:rsid wsp:val=&quot;00995992&quot;/&gt;&lt;wsp:rsid wsp:val=&quot;00997616&quot;/&gt;&lt;wsp:rsid wsp:val=&quot;00997F3F&quot;/&gt;&lt;wsp:rsid wsp:val=&quot;009A03E5&quot;/&gt;&lt;wsp:rsid wsp:val=&quot;009A0F3B&quot;/&gt;&lt;wsp:rsid wsp:val=&quot;009A1BB4&quot;/&gt;&lt;wsp:rsid wsp:val=&quot;009A2628&quot;/&gt;&lt;wsp:rsid wsp:val=&quot;009A3200&quot;/&gt;&lt;wsp:rsid wsp:val=&quot;009A3D24&quot;/&gt;&lt;wsp:rsid wsp:val=&quot;009B0897&quot;/&gt;&lt;wsp:rsid wsp:val=&quot;009B7BD9&quot;/&gt;&lt;wsp:rsid wsp:val=&quot;009C7DD5&quot;/&gt;&lt;wsp:rsid wsp:val=&quot;009E227D&quot;/&gt;&lt;wsp:rsid wsp:val=&quot;009E5019&quot;/&gt;&lt;wsp:rsid wsp:val=&quot;00A008CA&quot;/&gt;&lt;wsp:rsid wsp:val=&quot;00A04F1B&quot;/&gt;&lt;wsp:rsid wsp:val=&quot;00A0501B&quot;/&gt;&lt;wsp:rsid wsp:val=&quot;00A1120A&quot;/&gt;&lt;wsp:rsid wsp:val=&quot;00A11740&quot;/&gt;&lt;wsp:rsid wsp:val=&quot;00A14947&quot;/&gt;&lt;wsp:rsid wsp:val=&quot;00A32A83&quot;/&gt;&lt;wsp:rsid wsp:val=&quot;00A368DB&quot;/&gt;&lt;wsp:rsid wsp:val=&quot;00A423AA&quot;/&gt;&lt;wsp:rsid wsp:val=&quot;00A53EC6&quot;/&gt;&lt;wsp:rsid wsp:val=&quot;00A55C0F&quot;/&gt;&lt;wsp:rsid wsp:val=&quot;00A8713F&quot;/&gt;&lt;wsp:rsid wsp:val=&quot;00A90BA1&quot;/&gt;&lt;wsp:rsid wsp:val=&quot;00A97A9A&quot;/&gt;&lt;wsp:rsid wsp:val=&quot;00AA0671&quot;/&gt;&lt;wsp:rsid wsp:val=&quot;00AA2531&quot;/&gt;&lt;wsp:rsid wsp:val=&quot;00AB078A&quot;/&gt;&lt;wsp:rsid wsp:val=&quot;00AB1E09&quot;/&gt;&lt;wsp:rsid wsp:val=&quot;00AB5330&quot;/&gt;&lt;wsp:rsid wsp:val=&quot;00AB7747&quot;/&gt;&lt;wsp:rsid wsp:val=&quot;00AC14CE&quot;/&gt;&lt;wsp:rsid wsp:val=&quot;00AC2A56&quot;/&gt;&lt;wsp:rsid wsp:val=&quot;00AD055E&quot;/&gt;&lt;wsp:rsid wsp:val=&quot;00AD47A7&quot;/&gt;&lt;wsp:rsid wsp:val=&quot;00AE5D95&quot;/&gt;&lt;wsp:rsid wsp:val=&quot;00AF0CBF&quot;/&gt;&lt;wsp:rsid wsp:val=&quot;00AF257F&quot;/&gt;&lt;wsp:rsid wsp:val=&quot;00AF33CF&quot;/&gt;&lt;wsp:rsid wsp:val=&quot;00AF4D50&quot;/&gt;&lt;wsp:rsid wsp:val=&quot;00AF6179&quot;/&gt;&lt;wsp:rsid wsp:val=&quot;00B11741&quot;/&gt;&lt;wsp:rsid wsp:val=&quot;00B1295A&quot;/&gt;&lt;wsp:rsid wsp:val=&quot;00B20A45&quot;/&gt;&lt;wsp:rsid wsp:val=&quot;00B22C5C&quot;/&gt;&lt;wsp:rsid wsp:val=&quot;00B24F30&quot;/&gt;&lt;wsp:rsid wsp:val=&quot;00B31ABF&quot;/&gt;&lt;wsp:rsid wsp:val=&quot;00B33BE3&quot;/&gt;&lt;wsp:rsid wsp:val=&quot;00B53B5D&quot;/&gt;&lt;wsp:rsid wsp:val=&quot;00B6055E&quot;/&gt;&lt;wsp:rsid wsp:val=&quot;00B6317D&quot;/&gt;&lt;wsp:rsid wsp:val=&quot;00B7723F&quot;/&gt;&lt;wsp:rsid wsp:val=&quot;00B80534&quot;/&gt;&lt;wsp:rsid wsp:val=&quot;00B8433C&quot;/&gt;&lt;wsp:rsid wsp:val=&quot;00B87491&quot;/&gt;&lt;wsp:rsid wsp:val=&quot;00BA29E9&quot;/&gt;&lt;wsp:rsid wsp:val=&quot;00BA411F&quot;/&gt;&lt;wsp:rsid wsp:val=&quot;00BA59AB&quot;/&gt;&lt;wsp:rsid wsp:val=&quot;00BA7142&quot;/&gt;&lt;wsp:rsid wsp:val=&quot;00BB1281&quot;/&gt;&lt;wsp:rsid wsp:val=&quot;00BB150D&quot;/&gt;&lt;wsp:rsid wsp:val=&quot;00BB237C&quot;/&gt;&lt;wsp:rsid wsp:val=&quot;00BB41A3&quot;/&gt;&lt;wsp:rsid wsp:val=&quot;00BC32DC&quot;/&gt;&lt;wsp:rsid wsp:val=&quot;00BC35B6&quot;/&gt;&lt;wsp:rsid wsp:val=&quot;00BC6061&quot;/&gt;&lt;wsp:rsid wsp:val=&quot;00BC6A3E&quot;/&gt;&lt;wsp:rsid wsp:val=&quot;00BD1B51&quot;/&gt;&lt;wsp:rsid wsp:val=&quot;00BD4596&quot;/&gt;&lt;wsp:rsid wsp:val=&quot;00BE1405&quot;/&gt;&lt;wsp:rsid wsp:val=&quot;00BE312D&quot;/&gt;&lt;wsp:rsid wsp:val=&quot;00BF1C20&quot;/&gt;&lt;wsp:rsid wsp:val=&quot;00C10578&quot;/&gt;&lt;wsp:rsid wsp:val=&quot;00C135BC&quot;/&gt;&lt;wsp:rsid wsp:val=&quot;00C15C95&quot;/&gt;&lt;wsp:rsid wsp:val=&quot;00C2596A&quot;/&gt;&lt;wsp:rsid wsp:val=&quot;00C27537&quot;/&gt;&lt;wsp:rsid wsp:val=&quot;00C328FE&quot;/&gt;&lt;wsp:rsid wsp:val=&quot;00C33507&quot;/&gt;&lt;wsp:rsid wsp:val=&quot;00C34894&quot;/&gt;&lt;wsp:rsid wsp:val=&quot;00C35762&quot;/&gt;&lt;wsp:rsid wsp:val=&quot;00C4409D&quot;/&gt;&lt;wsp:rsid wsp:val=&quot;00C44E72&quot;/&gt;&lt;wsp:rsid wsp:val=&quot;00C4581E&quot;/&gt;&lt;wsp:rsid wsp:val=&quot;00C45A06&quot;/&gt;&lt;wsp:rsid wsp:val=&quot;00C47E5B&quot;/&gt;&lt;wsp:rsid wsp:val=&quot;00C61ADE&quot;/&gt;&lt;wsp:rsid wsp:val=&quot;00C61E4B&quot;/&gt;&lt;wsp:rsid wsp:val=&quot;00C64BFF&quot;/&gt;&lt;wsp:rsid wsp:val=&quot;00C704E9&quot;/&gt;&lt;wsp:rsid wsp:val=&quot;00C763C9&quot;/&gt;&lt;wsp:rsid wsp:val=&quot;00C7661A&quot;/&gt;&lt;wsp:rsid wsp:val=&quot;00C80057&quot;/&gt;&lt;wsp:rsid wsp:val=&quot;00C82232&quot;/&gt;&lt;wsp:rsid wsp:val=&quot;00C82913&quot;/&gt;&lt;wsp:rsid wsp:val=&quot;00C916A2&quot;/&gt;&lt;wsp:rsid wsp:val=&quot;00C972B1&quot;/&gt;&lt;wsp:rsid wsp:val=&quot;00CA2CCE&quot;/&gt;&lt;wsp:rsid wsp:val=&quot;00CA43FD&quot;/&gt;&lt;wsp:rsid wsp:val=&quot;00CA7EF8&quot;/&gt;&lt;wsp:rsid wsp:val=&quot;00CC489B&quot;/&gt;&lt;wsp:rsid wsp:val=&quot;00CD2BCD&quot;/&gt;&lt;wsp:rsid wsp:val=&quot;00CD2FA6&quot;/&gt;&lt;wsp:rsid wsp:val=&quot;00CD3A4C&quot;/&gt;&lt;wsp:rsid wsp:val=&quot;00CE10E9&quot;/&gt;&lt;wsp:rsid wsp:val=&quot;00CE2910&quot;/&gt;&lt;wsp:rsid wsp:val=&quot;00CE5393&quot;/&gt;&lt;wsp:rsid wsp:val=&quot;00CF36BE&quot;/&gt;&lt;wsp:rsid wsp:val=&quot;00CF6000&quot;/&gt;&lt;wsp:rsid wsp:val=&quot;00D003F3&quot;/&gt;&lt;wsp:rsid wsp:val=&quot;00D0364F&quot;/&gt;&lt;wsp:rsid wsp:val=&quot;00D06834&quot;/&gt;&lt;wsp:rsid wsp:val=&quot;00D257B2&quot;/&gt;&lt;wsp:rsid wsp:val=&quot;00D25947&quot;/&gt;&lt;wsp:rsid wsp:val=&quot;00D308ED&quot;/&gt;&lt;wsp:rsid wsp:val=&quot;00D36D86&quot;/&gt;&lt;wsp:rsid wsp:val=&quot;00D428AA&quot;/&gt;&lt;wsp:rsid wsp:val=&quot;00D50A34&quot;/&gt;&lt;wsp:rsid wsp:val=&quot;00D53EFA&quot;/&gt;&lt;wsp:rsid wsp:val=&quot;00D83B2F&quot;/&gt;&lt;wsp:rsid wsp:val=&quot;00D92D5C&quot;/&gt;&lt;wsp:rsid wsp:val=&quot;00D94A7C&quot;/&gt;&lt;wsp:rsid wsp:val=&quot;00D95896&quot;/&gt;&lt;wsp:rsid wsp:val=&quot;00DB2983&quot;/&gt;&lt;wsp:rsid wsp:val=&quot;00DC1257&quot;/&gt;&lt;wsp:rsid wsp:val=&quot;00DC3DC0&quot;/&gt;&lt;wsp:rsid wsp:val=&quot;00DC5B2B&quot;/&gt;&lt;wsp:rsid wsp:val=&quot;00DD318D&quot;/&gt;&lt;wsp:rsid wsp:val=&quot;00DD36CB&quot;/&gt;&lt;wsp:rsid wsp:val=&quot;00DD7B97&quot;/&gt;&lt;wsp:rsid wsp:val=&quot;00DE58CB&quot;/&gt;&lt;wsp:rsid wsp:val=&quot;00DF2E12&quot;/&gt;&lt;wsp:rsid wsp:val=&quot;00DF514A&quot;/&gt;&lt;wsp:rsid wsp:val=&quot;00DF6690&quot;/&gt;&lt;wsp:rsid wsp:val=&quot;00DF6804&quot;/&gt;&lt;wsp:rsid wsp:val=&quot;00E0358D&quot;/&gt;&lt;wsp:rsid wsp:val=&quot;00E04323&quot;/&gt;&lt;wsp:rsid wsp:val=&quot;00E070A2&quot;/&gt;&lt;wsp:rsid wsp:val=&quot;00E2656A&quot;/&gt;&lt;wsp:rsid wsp:val=&quot;00E412D0&quot;/&gt;&lt;wsp:rsid wsp:val=&quot;00E4208C&quot;/&gt;&lt;wsp:rsid wsp:val=&quot;00E56322&quot;/&gt;&lt;wsp:rsid wsp:val=&quot;00E60982&quot;/&gt;&lt;wsp:rsid wsp:val=&quot;00E62C62&quot;/&gt;&lt;wsp:rsid wsp:val=&quot;00E654C1&quot;/&gt;&lt;wsp:rsid wsp:val=&quot;00E65D97&quot;/&gt;&lt;wsp:rsid wsp:val=&quot;00E72A5A&quot;/&gt;&lt;wsp:rsid wsp:val=&quot;00E73354&quot;/&gt;&lt;wsp:rsid wsp:val=&quot;00E9242D&quot;/&gt;&lt;wsp:rsid wsp:val=&quot;00EB5255&quot;/&gt;&lt;wsp:rsid wsp:val=&quot;00EB5C47&quot;/&gt;&lt;wsp:rsid wsp:val=&quot;00ED0639&quot;/&gt;&lt;wsp:rsid wsp:val=&quot;00ED4113&quot;/&gt;&lt;wsp:rsid wsp:val=&quot;00EE0B1A&quot;/&gt;&lt;wsp:rsid wsp:val=&quot;00EF4755&quot;/&gt;&lt;wsp:rsid wsp:val=&quot;00EF7135&quot;/&gt;&lt;wsp:rsid wsp:val=&quot;00F027DB&quot;/&gt;&lt;wsp:rsid wsp:val=&quot;00F047EE&quot;/&gt;&lt;wsp:rsid wsp:val=&quot;00F14A7A&quot;/&gt;&lt;wsp:rsid wsp:val=&quot;00F22985&quot;/&gt;&lt;wsp:rsid wsp:val=&quot;00F3383E&quot;/&gt;&lt;wsp:rsid wsp:val=&quot;00F415DA&quot;/&gt;&lt;wsp:rsid wsp:val=&quot;00F465A7&quot;/&gt;&lt;wsp:rsid wsp:val=&quot;00F47691&quot;/&gt;&lt;wsp:rsid wsp:val=&quot;00F50B7C&quot;/&gt;&lt;wsp:rsid wsp:val=&quot;00F550E6&quot;/&gt;&lt;wsp:rsid wsp:val=&quot;00F74345&quot;/&gt;&lt;wsp:rsid wsp:val=&quot;00F751E3&quot;/&gt;&lt;wsp:rsid wsp:val=&quot;00F80A0A&quot;/&gt;&lt;wsp:rsid wsp:val=&quot;00F82B19&quot;/&gt;&lt;wsp:rsid wsp:val=&quot;00F9212D&quot;/&gt;&lt;wsp:rsid wsp:val=&quot;00F965DA&quot;/&gt;&lt;wsp:rsid wsp:val=&quot;00FA406A&quot;/&gt;&lt;wsp:rsid wsp:val=&quot;00FB4BE9&quot;/&gt;&lt;wsp:rsid wsp:val=&quot;00FB503A&quot;/&gt;&lt;wsp:rsid wsp:val=&quot;00FB516C&quot;/&gt;&lt;wsp:rsid wsp:val=&quot;00FC5C13&quot;/&gt;&lt;wsp:rsid wsp:val=&quot;00FD0236&quot;/&gt;&lt;wsp:rsid wsp:val=&quot;00FD18F4&quot;/&gt;&lt;wsp:rsid wsp:val=&quot;00FD54DB&quot;/&gt;&lt;wsp:rsid wsp:val=&quot;00FD619F&quot;/&gt;&lt;wsp:rsid wsp:val=&quot;00FF20BC&quot;/&gt;&lt;wsp:rsid wsp:val=&quot;01290F7E&quot;/&gt;&lt;wsp:rsid wsp:val=&quot;015D1E09&quot;/&gt;&lt;wsp:rsid wsp:val=&quot;01E87118&quot;/&gt;&lt;wsp:rsid wsp:val=&quot;0218552F&quot;/&gt;&lt;wsp:rsid wsp:val=&quot;025361AE&quot;/&gt;&lt;wsp:rsid wsp:val=&quot;02697903&quot;/&gt;&lt;wsp:rsid wsp:val=&quot;02F96569&quot;/&gt;&lt;wsp:rsid wsp:val=&quot;037A0D1E&quot;/&gt;&lt;wsp:rsid wsp:val=&quot;039A1FC0&quot;/&gt;&lt;wsp:rsid wsp:val=&quot;03C03384&quot;/&gt;&lt;wsp:rsid wsp:val=&quot;03EA7B21&quot;/&gt;&lt;wsp:rsid wsp:val=&quot;04567FC7&quot;/&gt;&lt;wsp:rsid wsp:val=&quot;04642EFB&quot;/&gt;&lt;wsp:rsid wsp:val=&quot;048B1812&quot;/&gt;&lt;wsp:rsid wsp:val=&quot;04907E86&quot;/&gt;&lt;wsp:rsid wsp:val=&quot;054F0F59&quot;/&gt;&lt;wsp:rsid wsp:val=&quot;056C36CA&quot;/&gt;&lt;wsp:rsid wsp:val=&quot;059A5307&quot;/&gt;&lt;wsp:rsid wsp:val=&quot;05CB22B8&quot;/&gt;&lt;wsp:rsid wsp:val=&quot;05E21B0A&quot;/&gt;&lt;wsp:rsid wsp:val=&quot;05F83EAE&quot;/&gt;&lt;wsp:rsid wsp:val=&quot;063E7D85&quot;/&gt;&lt;wsp:rsid wsp:val=&quot;06613FB4&quot;/&gt;&lt;wsp:rsid wsp:val=&quot;06B36009&quot;/&gt;&lt;wsp:rsid wsp:val=&quot;06C471E4&quot;/&gt;&lt;wsp:rsid wsp:val=&quot;06CC630A&quot;/&gt;&lt;wsp:rsid wsp:val=&quot;07023993&quot;/&gt;&lt;wsp:rsid wsp:val=&quot;07293586&quot;/&gt;&lt;wsp:rsid wsp:val=&quot;07295285&quot;/&gt;&lt;wsp:rsid wsp:val=&quot;074053AA&quot;/&gt;&lt;wsp:rsid wsp:val=&quot;07636392&quot;/&gt;&lt;wsp:rsid wsp:val=&quot;07770C56&quot;/&gt;&lt;wsp:rsid wsp:val=&quot;07CC2DE3&quot;/&gt;&lt;wsp:rsid wsp:val=&quot;080F5E3B&quot;/&gt;&lt;wsp:rsid wsp:val=&quot;0818196E&quot;/&gt;&lt;wsp:rsid wsp:val=&quot;087152CF&quot;/&gt;&lt;wsp:rsid wsp:val=&quot;092217DD&quot;/&gt;&lt;wsp:rsid wsp:val=&quot;09342E0D&quot;/&gt;&lt;wsp:rsid wsp:val=&quot;0934383A&quot;/&gt;&lt;wsp:rsid wsp:val=&quot;093A7294&quot;/&gt;&lt;wsp:rsid wsp:val=&quot;09893F4C&quot;/&gt;&lt;wsp:rsid wsp:val=&quot;09D62FEF&quot;/&gt;&lt;wsp:rsid wsp:val=&quot;09E035A2&quot;/&gt;&lt;wsp:rsid wsp:val=&quot;09E203D4&quot;/&gt;&lt;wsp:rsid wsp:val=&quot;0A105D5F&quot;/&gt;&lt;wsp:rsid wsp:val=&quot;0A263993&quot;/&gt;&lt;wsp:rsid wsp:val=&quot;0A2D3AC2&quot;/&gt;&lt;wsp:rsid wsp:val=&quot;0A70257D&quot;/&gt;&lt;wsp:rsid wsp:val=&quot;0A8B1CA2&quot;/&gt;&lt;wsp:rsid wsp:val=&quot;0AA755DF&quot;/&gt;&lt;wsp:rsid wsp:val=&quot;0AC64AD7&quot;/&gt;&lt;wsp:rsid wsp:val=&quot;0AF42E58&quot;/&gt;&lt;wsp:rsid wsp:val=&quot;0B0E0708&quot;/&gt;&lt;wsp:rsid wsp:val=&quot;0B0E5950&quot;/&gt;&lt;wsp:rsid wsp:val=&quot;0B120D44&quot;/&gt;&lt;wsp:rsid wsp:val=&quot;0B6C2CB7&quot;/&gt;&lt;wsp:rsid wsp:val=&quot;0BD27BF6&quot;/&gt;&lt;wsp:rsid wsp:val=&quot;0BE44814&quot;/&gt;&lt;wsp:rsid wsp:val=&quot;0C1C4A8B&quot;/&gt;&lt;wsp:rsid wsp:val=&quot;0C3B3C7D&quot;/&gt;&lt;wsp:rsid wsp:val=&quot;0C586940&quot;/&gt;&lt;wsp:rsid wsp:val=&quot;0CAB2EAE&quot;/&gt;&lt;wsp:rsid wsp:val=&quot;0CBC6728&quot;/&gt;&lt;wsp:rsid wsp:val=&quot;0CD61310&quot;/&gt;&lt;wsp:rsid wsp:val=&quot;0D0575D5&quot;/&gt;&lt;wsp:rsid wsp:val=&quot;0D621C7D&quot;/&gt;&lt;wsp:rsid wsp:val=&quot;0DA30E9A&quot;/&gt;&lt;wsp:rsid wsp:val=&quot;0E1F3E0E&quot;/&gt;&lt;wsp:rsid wsp:val=&quot;0E234BDE&quot;/&gt;&lt;wsp:rsid wsp:val=&quot;0E573683&quot;/&gt;&lt;wsp:rsid wsp:val=&quot;0E73034D&quot;/&gt;&lt;wsp:rsid wsp:val=&quot;0E7865F4&quot;/&gt;&lt;wsp:rsid wsp:val=&quot;0E927F36&quot;/&gt;&lt;wsp:rsid wsp:val=&quot;0EBF51C2&quot;/&gt;&lt;wsp:rsid wsp:val=&quot;0F13775A&quot;/&gt;&lt;wsp:rsid wsp:val=&quot;0F19589C&quot;/&gt;&lt;wsp:rsid wsp:val=&quot;0F3B63B4&quot;/&gt;&lt;wsp:rsid wsp:val=&quot;0F5F45FE&quot;/&gt;&lt;wsp:rsid wsp:val=&quot;0F9A112B&quot;/&gt;&lt;wsp:rsid wsp:val=&quot;104064BB&quot;/&gt;&lt;wsp:rsid wsp:val=&quot;106D2F64&quot;/&gt;&lt;wsp:rsid wsp:val=&quot;108A53B2&quot;/&gt;&lt;wsp:rsid wsp:val=&quot;10B63710&quot;/&gt;&lt;wsp:rsid wsp:val=&quot;10F10820&quot;/&gt;&lt;wsp:rsid wsp:val=&quot;111605EC&quot;/&gt;&lt;wsp:rsid wsp:val=&quot;111C2F7A&quot;/&gt;&lt;wsp:rsid wsp:val=&quot;11665CA1&quot;/&gt;&lt;wsp:rsid wsp:val=&quot;11772A66&quot;/&gt;&lt;wsp:rsid wsp:val=&quot;11C01443&quot;/&gt;&lt;wsp:rsid wsp:val=&quot;120F5AE3&quot;/&gt;&lt;wsp:rsid wsp:val=&quot;123C3C07&quot;/&gt;&lt;wsp:rsid wsp:val=&quot;1279626B&quot;/&gt;&lt;wsp:rsid wsp:val=&quot;12871A45&quot;/&gt;&lt;wsp:rsid wsp:val=&quot;12C12E2C&quot;/&gt;&lt;wsp:rsid wsp:val=&quot;12FD48CE&quot;/&gt;&lt;wsp:rsid wsp:val=&quot;13951726&quot;/&gt;&lt;wsp:rsid wsp:val=&quot;143320C1&quot;/&gt;&lt;wsp:rsid wsp:val=&quot;14396509&quot;/&gt;&lt;wsp:rsid wsp:val=&quot;14DD2C3C&quot;/&gt;&lt;wsp:rsid wsp:val=&quot;14E16BE7&quot;/&gt;&lt;wsp:rsid wsp:val=&quot;15A11F3B&quot;/&gt;&lt;wsp:rsid wsp:val=&quot;15E67E0E&quot;/&gt;&lt;wsp:rsid wsp:val=&quot;16087E1D&quot;/&gt;&lt;wsp:rsid wsp:val=&quot;16CA4982&quot;/&gt;&lt;wsp:rsid wsp:val=&quot;16D16777&quot;/&gt;&lt;wsp:rsid wsp:val=&quot;1726002F&quot;/&gt;&lt;wsp:rsid wsp:val=&quot;17271A20&quot;/&gt;&lt;wsp:rsid wsp:val=&quot;17545C0C&quot;/&gt;&lt;wsp:rsid wsp:val=&quot;17701D14&quot;/&gt;&lt;wsp:rsid wsp:val=&quot;17735226&quot;/&gt;&lt;wsp:rsid wsp:val=&quot;17EE3F4E&quot;/&gt;&lt;wsp:rsid wsp:val=&quot;187A33BE&quot;/&gt;&lt;wsp:rsid wsp:val=&quot;189F624C&quot;/&gt;&lt;wsp:rsid wsp:val=&quot;192640DD&quot;/&gt;&lt;wsp:rsid wsp:val=&quot;19626972&quot;/&gt;&lt;wsp:rsid wsp:val=&quot;1A1C66C0&quot;/&gt;&lt;wsp:rsid wsp:val=&quot;1A402445&quot;/&gt;&lt;wsp:rsid wsp:val=&quot;1A42393B&quot;/&gt;&lt;wsp:rsid wsp:val=&quot;1A4D4D07&quot;/&gt;&lt;wsp:rsid wsp:val=&quot;1A866206&quot;/&gt;&lt;wsp:rsid wsp:val=&quot;1AAD45DE&quot;/&gt;&lt;wsp:rsid wsp:val=&quot;1B046F80&quot;/&gt;&lt;wsp:rsid wsp:val=&quot;1B2E4CF7&quot;/&gt;&lt;wsp:rsid wsp:val=&quot;1B3267B5&quot;/&gt;&lt;wsp:rsid wsp:val=&quot;1B40161D&quot;/&gt;&lt;wsp:rsid wsp:val=&quot;1B4021C6&quot;/&gt;&lt;wsp:rsid wsp:val=&quot;1B441859&quot;/&gt;&lt;wsp:rsid wsp:val=&quot;1B510FC3&quot;/&gt;&lt;wsp:rsid wsp:val=&quot;1B563749&quot;/&gt;&lt;wsp:rsid wsp:val=&quot;1B5B6495&quot;/&gt;&lt;wsp:rsid wsp:val=&quot;1B6606B1&quot;/&gt;&lt;wsp:rsid wsp:val=&quot;1B824D88&quot;/&gt;&lt;wsp:rsid wsp:val=&quot;1B8A7C8B&quot;/&gt;&lt;wsp:rsid wsp:val=&quot;1C176EFB&quot;/&gt;&lt;wsp:rsid wsp:val=&quot;1C5E7925&quot;/&gt;&lt;wsp:rsid wsp:val=&quot;1C6C3AC3&quot;/&gt;&lt;wsp:rsid wsp:val=&quot;1C8938FF&quot;/&gt;&lt;wsp:rsid wsp:val=&quot;1CBD236E&quot;/&gt;&lt;wsp:rsid wsp:val=&quot;1CFD070F&quot;/&gt;&lt;wsp:rsid wsp:val=&quot;1D155248&quot;/&gt;&lt;wsp:rsid wsp:val=&quot;1D2C7FD9&quot;/&gt;&lt;wsp:rsid wsp:val=&quot;1D5F6196&quot;/&gt;&lt;wsp:rsid wsp:val=&quot;1D6132A5&quot;/&gt;&lt;wsp:rsid wsp:val=&quot;1D8E56D5&quot;/&gt;&lt;wsp:rsid wsp:val=&quot;1DE751F7&quot;/&gt;&lt;wsp:rsid wsp:val=&quot;1E7A43DA&quot;/&gt;&lt;wsp:rsid wsp:val=&quot;1F6B2DBC&quot;/&gt;&lt;wsp:rsid wsp:val=&quot;1FE7539E&quot;/&gt;&lt;wsp:rsid wsp:val=&quot;20671BE0&quot;/&gt;&lt;wsp:rsid wsp:val=&quot;20963CB8&quot;/&gt;&lt;wsp:rsid wsp:val=&quot;20A81A1B&quot;/&gt;&lt;wsp:rsid wsp:val=&quot;20B07FB6&quot;/&gt;&lt;wsp:rsid wsp:val=&quot;20B646FB&quot;/&gt;&lt;wsp:rsid wsp:val=&quot;21387DBA&quot;/&gt;&lt;wsp:rsid wsp:val=&quot;213B74B1&quot;/&gt;&lt;wsp:rsid wsp:val=&quot;213F54F3&quot;/&gt;&lt;wsp:rsid wsp:val=&quot;215A2310&quot;/&gt;&lt;wsp:rsid wsp:val=&quot;216C0E52&quot;/&gt;&lt;wsp:rsid wsp:val=&quot;21CA2ECA&quot;/&gt;&lt;wsp:rsid wsp:val=&quot;21DE318A&quot;/&gt;&lt;wsp:rsid wsp:val=&quot;21EF5B80&quot;/&gt;&lt;wsp:rsid wsp:val=&quot;22576990&quot;/&gt;&lt;wsp:rsid wsp:val=&quot;22622EFD&quot;/&gt;&lt;wsp:rsid wsp:val=&quot;227463C6&quot;/&gt;&lt;wsp:rsid wsp:val=&quot;22F47480&quot;/&gt;&lt;wsp:rsid wsp:val=&quot;23527940&quot;/&gt;&lt;wsp:rsid wsp:val=&quot;23600250&quot;/&gt;&lt;wsp:rsid wsp:val=&quot;23DE1C48&quot;/&gt;&lt;wsp:rsid wsp:val=&quot;23FB6F41&quot;/&gt;&lt;wsp:rsid wsp:val=&quot;240160E8&quot;/&gt;&lt;wsp:rsid wsp:val=&quot;240210CD&quot;/&gt;&lt;wsp:rsid wsp:val=&quot;24BF09F7&quot;/&gt;&lt;wsp:rsid wsp:val=&quot;252D53FE&quot;/&gt;&lt;wsp:rsid wsp:val=&quot;254566B7&quot;/&gt;&lt;wsp:rsid wsp:val=&quot;25691E44&quot;/&gt;&lt;wsp:rsid wsp:val=&quot;25B1762D&quot;/&gt;&lt;wsp:rsid wsp:val=&quot;25EC2D81&quot;/&gt;&lt;wsp:rsid wsp:val=&quot;260F4F75&quot;/&gt;&lt;wsp:rsid wsp:val=&quot;26462A5F&quot;/&gt;&lt;wsp:rsid wsp:val=&quot;26F47ABA&quot;/&gt;&lt;wsp:rsid wsp:val=&quot;27032D45&quot;/&gt;&lt;wsp:rsid wsp:val=&quot;277057A2&quot;/&gt;&lt;wsp:rsid wsp:val=&quot;27904770&quot;/&gt;&lt;wsp:rsid wsp:val=&quot;27F54C9D&quot;/&gt;&lt;wsp:rsid wsp:val=&quot;288C0F7C&quot;/&gt;&lt;wsp:rsid wsp:val=&quot;28B44355&quot;/&gt;&lt;wsp:rsid wsp:val=&quot;28F5491F&quot;/&gt;&lt;wsp:rsid wsp:val=&quot;29032630&quot;/&gt;&lt;wsp:rsid wsp:val=&quot;29206EB8&quot;/&gt;&lt;wsp:rsid wsp:val=&quot;294C0E25&quot;/&gt;&lt;wsp:rsid wsp:val=&quot;29595666&quot;/&gt;&lt;wsp:rsid wsp:val=&quot;296A72A4&quot;/&gt;&lt;wsp:rsid wsp:val=&quot;29874881&quot;/&gt;&lt;wsp:rsid wsp:val=&quot;29AE7C0F&quot;/&gt;&lt;wsp:rsid wsp:val=&quot;29E325E0&quot;/&gt;&lt;wsp:rsid wsp:val=&quot;2A452503&quot;/&gt;&lt;wsp:rsid wsp:val=&quot;2A705676&quot;/&gt;&lt;wsp:rsid wsp:val=&quot;2AFC1CBF&quot;/&gt;&lt;wsp:rsid wsp:val=&quot;2B310F4C&quot;/&gt;&lt;wsp:rsid wsp:val=&quot;2BA936A8&quot;/&gt;&lt;wsp:rsid wsp:val=&quot;2BD1517F&quot;/&gt;&lt;wsp:rsid wsp:val=&quot;2BF229BE&quot;/&gt;&lt;wsp:rsid wsp:val=&quot;2C2E2B46&quot;/&gt;&lt;wsp:rsid wsp:val=&quot;2C315A5A&quot;/&gt;&lt;wsp:rsid wsp:val=&quot;2C331511&quot;/&gt;&lt;wsp:rsid wsp:val=&quot;2C371E9F&quot;/&gt;&lt;wsp:rsid wsp:val=&quot;2C4B1C25&quot;/&gt;&lt;wsp:rsid wsp:val=&quot;2CFC1A8F&quot;/&gt;&lt;wsp:rsid wsp:val=&quot;2D3155C9&quot;/&gt;&lt;wsp:rsid wsp:val=&quot;2D473B57&quot;/&gt;&lt;wsp:rsid wsp:val=&quot;2D816CFF&quot;/&gt;&lt;wsp:rsid wsp:val=&quot;2D8C7779&quot;/&gt;&lt;wsp:rsid wsp:val=&quot;2D9E56F5&quot;/&gt;&lt;wsp:rsid wsp:val=&quot;2E641899&quot;/&gt;&lt;wsp:rsid wsp:val=&quot;2E667F96&quot;/&gt;&lt;wsp:rsid wsp:val=&quot;2E8226AB&quot;/&gt;&lt;wsp:rsid wsp:val=&quot;2E9459BC&quot;/&gt;&lt;wsp:rsid wsp:val=&quot;2EC25C3B&quot;/&gt;&lt;wsp:rsid wsp:val=&quot;2EF32135&quot;/&gt;&lt;wsp:rsid wsp:val=&quot;2F29510F&quot;/&gt;&lt;wsp:rsid wsp:val=&quot;2FAA4B64&quot;/&gt;&lt;wsp:rsid wsp:val=&quot;2FC63BC7&quot;/&gt;&lt;wsp:rsid wsp:val=&quot;2FD065E6&quot;/&gt;&lt;wsp:rsid wsp:val=&quot;2FD96870&quot;/&gt;&lt;wsp:rsid wsp:val=&quot;303F6918&quot;/&gt;&lt;wsp:rsid wsp:val=&quot;304D3E0A&quot;/&gt;&lt;wsp:rsid wsp:val=&quot;30580BC9&quot;/&gt;&lt;wsp:rsid wsp:val=&quot;311E2ED7&quot;/&gt;&lt;wsp:rsid wsp:val=&quot;315619EE&quot;/&gt;&lt;wsp:rsid wsp:val=&quot;315C449C&quot;/&gt;&lt;wsp:rsid wsp:val=&quot;31B82709&quot;/&gt;&lt;wsp:rsid wsp:val=&quot;31D05482&quot;/&gt;&lt;wsp:rsid wsp:val=&quot;31E838BD&quot;/&gt;&lt;wsp:rsid wsp:val=&quot;320046C2&quot;/&gt;&lt;wsp:rsid wsp:val=&quot;32176BC6&quot;/&gt;&lt;wsp:rsid wsp:val=&quot;32285FED&quot;/&gt;&lt;wsp:rsid wsp:val=&quot;32400B34&quot;/&gt;&lt;wsp:rsid wsp:val=&quot;32487CC9&quot;/&gt;&lt;wsp:rsid wsp:val=&quot;32990C4B&quot;/&gt;&lt;wsp:rsid wsp:val=&quot;329E6876&quot;/&gt;&lt;wsp:rsid wsp:val=&quot;32A24394&quot;/&gt;&lt;wsp:rsid wsp:val=&quot;32B253BA&quot;/&gt;&lt;wsp:rsid wsp:val=&quot;32F41CDA&quot;/&gt;&lt;wsp:rsid wsp:val=&quot;333015F2&quot;/&gt;&lt;wsp:rsid wsp:val=&quot;334B6320&quot;/&gt;&lt;wsp:rsid wsp:val=&quot;33D934D4&quot;/&gt;&lt;wsp:rsid wsp:val=&quot;33FE2F6A&quot;/&gt;&lt;wsp:rsid wsp:val=&quot;340E07E5&quot;/&gt;&lt;wsp:rsid wsp:val=&quot;340E7385&quot;/&gt;&lt;wsp:rsid wsp:val=&quot;34235BF7&quot;/&gt;&lt;wsp:rsid wsp:val=&quot;35804B08&quot;/&gt;&lt;wsp:rsid wsp:val=&quot;358C5FA8&quot;/&gt;&lt;wsp:rsid wsp:val=&quot;35C15DF1&quot;/&gt;&lt;wsp:rsid wsp:val=&quot;35C3307A&quot;/&gt;&lt;wsp:rsid wsp:val=&quot;36074A7F&quot;/&gt;&lt;wsp:rsid wsp:val=&quot;363061D5&quot;/&gt;&lt;wsp:rsid wsp:val=&quot;36923549&quot;/&gt;&lt;wsp:rsid wsp:val=&quot;369A386C&quot;/&gt;&lt;wsp:rsid wsp:val=&quot;36B75FBF&quot;/&gt;&lt;wsp:rsid wsp:val=&quot;36BD0C45&quot;/&gt;&lt;wsp:rsid wsp:val=&quot;370D3562&quot;/&gt;&lt;wsp:rsid wsp:val=&quot;37E00298&quot;/&gt;&lt;wsp:rsid wsp:val=&quot;38B302F9&quot;/&gt;&lt;wsp:rsid wsp:val=&quot;38E210B2&quot;/&gt;&lt;wsp:rsid wsp:val=&quot;38F12CD3&quot;/&gt;&lt;wsp:rsid wsp:val=&quot;38F94775&quot;/&gt;&lt;wsp:rsid wsp:val=&quot;38FD2FD2&quot;/&gt;&lt;wsp:rsid wsp:val=&quot;38FF1793&quot;/&gt;&lt;wsp:rsid wsp:val=&quot;39013433&quot;/&gt;&lt;wsp:rsid wsp:val=&quot;392971ED&quot;/&gt;&lt;wsp:rsid wsp:val=&quot;39325651&quot;/&gt;&lt;wsp:rsid wsp:val=&quot;398B744E&quot;/&gt;&lt;wsp:rsid wsp:val=&quot;399D5F12&quot;/&gt;&lt;wsp:rsid wsp:val=&quot;39CB2FBF&quot;/&gt;&lt;wsp:rsid wsp:val=&quot;3A4670B5&quot;/&gt;&lt;wsp:rsid wsp:val=&quot;3A872856&quot;/&gt;&lt;wsp:rsid wsp:val=&quot;3AFA4CAF&quot;/&gt;&lt;wsp:rsid wsp:val=&quot;3B3763D1&quot;/&gt;&lt;wsp:rsid wsp:val=&quot;3B3D2F93&quot;/&gt;&lt;wsp:rsid wsp:val=&quot;3C2F6E1E&quot;/&gt;&lt;wsp:rsid wsp:val=&quot;3C3C31E8&quot;/&gt;&lt;wsp:rsid wsp:val=&quot;3C4F64BA&quot;/&gt;&lt;wsp:rsid wsp:val=&quot;3CA56B60&quot;/&gt;&lt;wsp:rsid wsp:val=&quot;3CDA245A&quot;/&gt;&lt;wsp:rsid wsp:val=&quot;3D1E06B7&quot;/&gt;&lt;wsp:rsid wsp:val=&quot;3DB043C0&quot;/&gt;&lt;wsp:rsid wsp:val=&quot;3DEF79C7&quot;/&gt;&lt;wsp:rsid wsp:val=&quot;3E144AB4&quot;/&gt;&lt;wsp:rsid wsp:val=&quot;3E7E4657&quot;/&gt;&lt;wsp:rsid wsp:val=&quot;3E991470&quot;/&gt;&lt;wsp:rsid wsp:val=&quot;3EDA0523&quot;/&gt;&lt;wsp:rsid wsp:val=&quot;3EF84CDF&quot;/&gt;&lt;wsp:rsid wsp:val=&quot;3F1D06AA&quot;/&gt;&lt;wsp:rsid wsp:val=&quot;3F546392&quot;/&gt;&lt;wsp:rsid wsp:val=&quot;3FC92E0A&quot;/&gt;&lt;wsp:rsid wsp:val=&quot;40383A65&quot;/&gt;&lt;wsp:rsid wsp:val=&quot;407A6407&quot;/&gt;&lt;wsp:rsid wsp:val=&quot;41684E1C&quot;/&gt;&lt;wsp:rsid wsp:val=&quot;416D1BFB&quot;/&gt;&lt;wsp:rsid wsp:val=&quot;4200449D&quot;/&gt;&lt;wsp:rsid wsp:val=&quot;423A3BCC&quot;/&gt;&lt;wsp:rsid wsp:val=&quot;424E57D2&quot;/&gt;&lt;wsp:rsid wsp:val=&quot;42757DB3&quot;/&gt;&lt;wsp:rsid wsp:val=&quot;42A26C2F&quot;/&gt;&lt;wsp:rsid wsp:val=&quot;42B26C49&quot;/&gt;&lt;wsp:rsid wsp:val=&quot;42FA2AB5&quot;/&gt;&lt;wsp:rsid wsp:val=&quot;433A6FE6&quot;/&gt;&lt;wsp:rsid wsp:val=&quot;433D64FA&quot;/&gt;&lt;wsp:rsid wsp:val=&quot;43480868&quot;/&gt;&lt;wsp:rsid wsp:val=&quot;4350713C&quot;/&gt;&lt;wsp:rsid wsp:val=&quot;435962BD&quot;/&gt;&lt;wsp:rsid wsp:val=&quot;436653E0&quot;/&gt;&lt;wsp:rsid wsp:val=&quot;43B10158&quot;/&gt;&lt;wsp:rsid wsp:val=&quot;43B34117&quot;/&gt;&lt;wsp:rsid wsp:val=&quot;43C4431A&quot;/&gt;&lt;wsp:rsid wsp:val=&quot;44265840&quot;/&gt;&lt;wsp:rsid wsp:val=&quot;44540DDC&quot;/&gt;&lt;wsp:rsid wsp:val=&quot;44B537D0&quot;/&gt;&lt;wsp:rsid wsp:val=&quot;44B951CC&quot;/&gt;&lt;wsp:rsid wsp:val=&quot;44C83FFA&quot;/&gt;&lt;wsp:rsid wsp:val=&quot;44CD14E0&quot;/&gt;&lt;wsp:rsid wsp:val=&quot;44F20B0B&quot;/&gt;&lt;wsp:rsid wsp:val=&quot;452E5F4C&quot;/&gt;&lt;wsp:rsid wsp:val=&quot;45612018&quot;/&gt;&lt;wsp:rsid wsp:val=&quot;45715A90&quot;/&gt;&lt;wsp:rsid wsp:val=&quot;458946E9&quot;/&gt;&lt;wsp:rsid wsp:val=&quot;45A47C0E&quot;/&gt;&lt;wsp:rsid wsp:val=&quot;45EA1B26&quot;/&gt;&lt;wsp:rsid wsp:val=&quot;46100E71&quot;/&gt;&lt;wsp:rsid wsp:val=&quot;462E76DF&quot;/&gt;&lt;wsp:rsid wsp:val=&quot;464A7373&quot;/&gt;&lt;wsp:rsid wsp:val=&quot;46577FD6&quot;/&gt;&lt;wsp:rsid wsp:val=&quot;46D955A7&quot;/&gt;&lt;wsp:rsid wsp:val=&quot;46E65CFB&quot;/&gt;&lt;wsp:rsid wsp:val=&quot;47133957&quot;/&gt;&lt;wsp:rsid wsp:val=&quot;476D03CA&quot;/&gt;&lt;wsp:rsid wsp:val=&quot;476D10A2&quot;/&gt;&lt;wsp:rsid wsp:val=&quot;47A07E0C&quot;/&gt;&lt;wsp:rsid wsp:val=&quot;47AC2656&quot;/&gt;&lt;wsp:rsid wsp:val=&quot;47E66256&quot;/&gt;&lt;wsp:rsid wsp:val=&quot;4870272E&quot;/&gt;&lt;wsp:rsid wsp:val=&quot;48821C16&quot;/&gt;&lt;wsp:rsid wsp:val=&quot;48930938&quot;/&gt;&lt;wsp:rsid wsp:val=&quot;489370E2&quot;/&gt;&lt;wsp:rsid wsp:val=&quot;48C02DEC&quot;/&gt;&lt;wsp:rsid wsp:val=&quot;493F7844&quot;/&gt;&lt;wsp:rsid wsp:val=&quot;49C634A9&quot;/&gt;&lt;wsp:rsid wsp:val=&quot;49D031AF&quot;/&gt;&lt;wsp:rsid wsp:val=&quot;49DC7715&quot;/&gt;&lt;wsp:rsid wsp:val=&quot;4A023139&quot;/&gt;&lt;wsp:rsid wsp:val=&quot;4A505359&quot;/&gt;&lt;wsp:rsid wsp:val=&quot;4A7B576F&quot;/&gt;&lt;wsp:rsid wsp:val=&quot;4AF561A9&quot;/&gt;&lt;wsp:rsid wsp:val=&quot;4C45370E&quot;/&gt;&lt;wsp:rsid wsp:val=&quot;4C4A0649&quot;/&gt;&lt;wsp:rsid wsp:val=&quot;4C5C47F8&quot;/&gt;&lt;wsp:rsid wsp:val=&quot;4C7E5ECA&quot;/&gt;&lt;wsp:rsid wsp:val=&quot;4C876AA5&quot;/&gt;&lt;wsp:rsid wsp:val=&quot;4CA44B8F&quot;/&gt;&lt;wsp:rsid wsp:val=&quot;4CBE21F7&quot;/&gt;&lt;wsp:rsid wsp:val=&quot;4CED0BE3&quot;/&gt;&lt;wsp:rsid wsp:val=&quot;4D0E00FB&quot;/&gt;&lt;wsp:rsid wsp:val=&quot;4D176606&quot;/&gt;&lt;wsp:rsid wsp:val=&quot;4D214C67&quot;/&gt;&lt;wsp:rsid wsp:val=&quot;4DEC4FB0&quot;/&gt;&lt;wsp:rsid wsp:val=&quot;4E075D8A&quot;/&gt;&lt;wsp:rsid wsp:val=&quot;4EBC7AB1&quot;/&gt;&lt;wsp:rsid wsp:val=&quot;4EC00FAD&quot;/&gt;&lt;wsp:rsid wsp:val=&quot;4F0E040F&quot;/&gt;&lt;wsp:rsid wsp:val=&quot;4F9843DC&quot;/&gt;&lt;wsp:rsid wsp:val=&quot;4FA34CA0&quot;/&gt;&lt;wsp:rsid wsp:val=&quot;4FBA00C1&quot;/&gt;&lt;wsp:rsid wsp:val=&quot;4FC62A8C&quot;/&gt;&lt;wsp:rsid wsp:val=&quot;4FE20F0D&quot;/&gt;&lt;wsp:rsid wsp:val=&quot;4FE51552&quot;/&gt;&lt;wsp:rsid wsp:val=&quot;501B02F3&quot;/&gt;&lt;wsp:rsid wsp:val=&quot;50504C4B&quot;/&gt;&lt;wsp:rsid wsp:val=&quot;509C6E7C&quot;/&gt;&lt;wsp:rsid wsp:val=&quot;509E53F3&quot;/&gt;&lt;wsp:rsid wsp:val=&quot;51165A18&quot;/&gt;&lt;wsp:rsid wsp:val=&quot;51453215&quot;/&gt;&lt;wsp:rsid wsp:val=&quot;51475BCA&quot;/&gt;&lt;wsp:rsid wsp:val=&quot;5162104E&quot;/&gt;&lt;wsp:rsid wsp:val=&quot;5199753B&quot;/&gt;&lt;wsp:rsid wsp:val=&quot;51B2280A&quot;/&gt;&lt;wsp:rsid wsp:val=&quot;52151F1E&quot;/&gt;&lt;wsp:rsid wsp:val=&quot;522F6979&quot;/&gt;&lt;wsp:rsid wsp:val=&quot;52630848&quot;/&gt;&lt;wsp:rsid wsp:val=&quot;52A700EA&quot;/&gt;&lt;wsp:rsid wsp:val=&quot;532335FF&quot;/&gt;&lt;wsp:rsid wsp:val=&quot;53662188&quot;/&gt;&lt;wsp:rsid wsp:val=&quot;53A039CC&quot;/&gt;&lt;wsp:rsid wsp:val=&quot;53A1505A&quot;/&gt;&lt;wsp:rsid wsp:val=&quot;54063E08&quot;/&gt;&lt;wsp:rsid wsp:val=&quot;540B2DA8&quot;/&gt;&lt;wsp:rsid wsp:val=&quot;54107FD8&quot;/&gt;&lt;wsp:rsid wsp:val=&quot;54316065&quot;/&gt;&lt;wsp:rsid wsp:val=&quot;543437E8&quot;/&gt;&lt;wsp:rsid wsp:val=&quot;54F73313&quot;/&gt;&lt;wsp:rsid wsp:val=&quot;54F80955&quot;/&gt;&lt;wsp:rsid wsp:val=&quot;550453E9&quot;/&gt;&lt;wsp:rsid wsp:val=&quot;555144CA&quot;/&gt;&lt;wsp:rsid wsp:val=&quot;555170A7&quot;/&gt;&lt;wsp:rsid wsp:val=&quot;55647FBB&quot;/&gt;&lt;wsp:rsid wsp:val=&quot;557A08E3&quot;/&gt;&lt;wsp:rsid wsp:val=&quot;55801176&quot;/&gt;&lt;wsp:rsid wsp:val=&quot;5587536D&quot;/&gt;&lt;wsp:rsid wsp:val=&quot;559B174B&quot;/&gt;&lt;wsp:rsid wsp:val=&quot;559C7FD4&quot;/&gt;&lt;wsp:rsid wsp:val=&quot;55CE0CF4&quot;/&gt;&lt;wsp:rsid wsp:val=&quot;55E22FC9&quot;/&gt;&lt;wsp:rsid wsp:val=&quot;55F71F29&quot;/&gt;&lt;wsp:rsid wsp:val=&quot;56014AC9&quot;/&gt;&lt;wsp:rsid wsp:val=&quot;569D054D&quot;/&gt;&lt;wsp:rsid wsp:val=&quot;56B22A9C&quot;/&gt;&lt;wsp:rsid wsp:val=&quot;571F0A8A&quot;/&gt;&lt;wsp:rsid wsp:val=&quot;573065FF&quot;/&gt;&lt;wsp:rsid wsp:val=&quot;576D6DB8&quot;/&gt;&lt;wsp:rsid wsp:val=&quot;577500FA&quot;/&gt;&lt;wsp:rsid wsp:val=&quot;57B72A76&quot;/&gt;&lt;wsp:rsid wsp:val=&quot;57C3426C&quot;/&gt;&lt;wsp:rsid wsp:val=&quot;57CE1F93&quot;/&gt;&lt;wsp:rsid wsp:val=&quot;57D06F89&quot;/&gt;&lt;wsp:rsid wsp:val=&quot;57E31CC5&quot;/&gt;&lt;wsp:rsid wsp:val=&quot;585C345E&quot;/&gt;&lt;wsp:rsid wsp:val=&quot;588743D1&quot;/&gt;&lt;wsp:rsid wsp:val=&quot;5887701A&quot;/&gt;&lt;wsp:rsid wsp:val=&quot;58E510FA&quot;/&gt;&lt;wsp:rsid wsp:val=&quot;5953003B&quot;/&gt;&lt;wsp:rsid wsp:val=&quot;59C0439F&quot;/&gt;&lt;wsp:rsid wsp:val=&quot;5A1A3704&quot;/&gt;&lt;wsp:rsid wsp:val=&quot;5A426891&quot;/&gt;&lt;wsp:rsid wsp:val=&quot;5A666D5A&quot;/&gt;&lt;wsp:rsid wsp:val=&quot;5ABE2233&quot;/&gt;&lt;wsp:rsid wsp:val=&quot;5B653BED&quot;/&gt;&lt;wsp:rsid wsp:val=&quot;5B8B3CD5&quot;/&gt;&lt;wsp:rsid wsp:val=&quot;5B9318E1&quot;/&gt;&lt;wsp:rsid wsp:val=&quot;5B9D2CA7&quot;/&gt;&lt;wsp:rsid wsp:val=&quot;5BD5362F&quot;/&gt;&lt;wsp:rsid wsp:val=&quot;5BDF5D95&quot;/&gt;&lt;wsp:rsid wsp:val=&quot;5BFE7528&quot;/&gt;&lt;wsp:rsid wsp:val=&quot;5D0E538A&quot;/&gt;&lt;wsp:rsid wsp:val=&quot;5D2C2159&quot;/&gt;&lt;wsp:rsid wsp:val=&quot;5D3D3258&quot;/&gt;&lt;wsp:rsid wsp:val=&quot;5D7554B2&quot;/&gt;&lt;wsp:rsid wsp:val=&quot;5DB879D0&quot;/&gt;&lt;wsp:rsid wsp:val=&quot;5DCD1D16&quot;/&gt;&lt;wsp:rsid wsp:val=&quot;5DE3698D&quot;/&gt;&lt;wsp:rsid wsp:val=&quot;5E2467F1&quot;/&gt;&lt;wsp:rsid wsp:val=&quot;5E411833&quot;/&gt;&lt;wsp:rsid wsp:val=&quot;5F1A2B43&quot;/&gt;&lt;wsp:rsid wsp:val=&quot;5F1B274D&quot;/&gt;&lt;wsp:rsid wsp:val=&quot;5F481FAB&quot;/&gt;&lt;wsp:rsid wsp:val=&quot;5F8C7496&quot;/&gt;&lt;wsp:rsid wsp:val=&quot;5FB837BB&quot;/&gt;&lt;wsp:rsid wsp:val=&quot;60625073&quot;/&gt;&lt;wsp:rsid wsp:val=&quot;60CC405A&quot;/&gt;&lt;wsp:rsid wsp:val=&quot;61270AE7&quot;/&gt;&lt;wsp:rsid wsp:val=&quot;6133248A&quot;/&gt;&lt;wsp:rsid wsp:val=&quot;61B33961&quot;/&gt;&lt;wsp:rsid wsp:val=&quot;61C55830&quot;/&gt;&lt;wsp:rsid wsp:val=&quot;61E215D8&quot;/&gt;&lt;wsp:rsid wsp:val=&quot;621B3775&quot;/&gt;&lt;wsp:rsid wsp:val=&quot;62364782&quot;/&gt;&lt;wsp:rsid wsp:val=&quot;623E425F&quot;/&gt;&lt;wsp:rsid wsp:val=&quot;624D0DB3&quot;/&gt;&lt;wsp:rsid wsp:val=&quot;626F31C2&quot;/&gt;&lt;wsp:rsid wsp:val=&quot;62B465A8&quot;/&gt;&lt;wsp:rsid wsp:val=&quot;62C14CB5&quot;/&gt;&lt;wsp:rsid wsp:val=&quot;630E2CED&quot;/&gt;&lt;wsp:rsid wsp:val=&quot;634223EB&quot;/&gt;&lt;wsp:rsid wsp:val=&quot;6394356A&quot;/&gt;&lt;wsp:rsid wsp:val=&quot;63A460CF&quot;/&gt;&lt;wsp:rsid wsp:val=&quot;63A522B5&quot;/&gt;&lt;wsp:rsid wsp:val=&quot;63C61B2C&quot;/&gt;&lt;wsp:rsid wsp:val=&quot;63D40BE9&quot;/&gt;&lt;wsp:rsid wsp:val=&quot;63FE31B3&quot;/&gt;&lt;wsp:rsid wsp:val=&quot;64102431&quot;/&gt;&lt;wsp:rsid wsp:val=&quot;646A2992&quot;/&gt;&lt;wsp:rsid wsp:val=&quot;648268B2&quot;/&gt;&lt;wsp:rsid wsp:val=&quot;64A5243A&quot;/&gt;&lt;wsp:rsid wsp:val=&quot;64F17317&quot;/&gt;&lt;wsp:rsid wsp:val=&quot;64F531DE&quot;/&gt;&lt;wsp:rsid wsp:val=&quot;650A3CB2&quot;/&gt;&lt;wsp:rsid wsp:val=&quot;65373578&quot;/&gt;&lt;wsp:rsid wsp:val=&quot;65B04360&quot;/&gt;&lt;wsp:rsid wsp:val=&quot;65FB3751&quot;/&gt;&lt;wsp:rsid wsp:val=&quot;66043CB8&quot;/&gt;&lt;wsp:rsid wsp:val=&quot;66761F34&quot;/&gt;&lt;wsp:rsid wsp:val=&quot;66B57B3B&quot;/&gt;&lt;wsp:rsid wsp:val=&quot;671F124A&quot;/&gt;&lt;wsp:rsid wsp:val=&quot;6724179D&quot;/&gt;&lt;wsp:rsid wsp:val=&quot;677A33C6&quot;/&gt;&lt;wsp:rsid wsp:val=&quot;67A749AA&quot;/&gt;&lt;wsp:rsid wsp:val=&quot;67AD755E&quot;/&gt;&lt;wsp:rsid wsp:val=&quot;67CD366A&quot;/&gt;&lt;wsp:rsid wsp:val=&quot;681F6961&quot;/&gt;&lt;wsp:rsid wsp:val=&quot;68280EF1&quot;/&gt;&lt;wsp:rsid wsp:val=&quot;68610A2F&quot;/&gt;&lt;wsp:rsid wsp:val=&quot;6866323E&quot;/&gt;&lt;wsp:rsid wsp:val=&quot;68805514&quot;/&gt;&lt;wsp:rsid wsp:val=&quot;69181B7F&quot;/&gt;&lt;wsp:rsid wsp:val=&quot;69316E2F&quot;/&gt;&lt;wsp:rsid wsp:val=&quot;694E2071&quot;/&gt;&lt;wsp:rsid wsp:val=&quot;69766163&quot;/&gt;&lt;wsp:rsid wsp:val=&quot;697A3B33&quot;/&gt;&lt;wsp:rsid wsp:val=&quot;698C6385&quot;/&gt;&lt;wsp:rsid wsp:val=&quot;69D44760&quot;/&gt;&lt;wsp:rsid wsp:val=&quot;69E64209&quot;/&gt;&lt;wsp:rsid wsp:val=&quot;6A325F84&quot;/&gt;&lt;wsp:rsid wsp:val=&quot;6A520EC7&quot;/&gt;&lt;wsp:rsid wsp:val=&quot;6A5A7AF3&quot;/&gt;&lt;wsp:rsid wsp:val=&quot;6A816762&quot;/&gt;&lt;wsp:rsid wsp:val=&quot;6AF87E20&quot;/&gt;&lt;wsp:rsid wsp:val=&quot;6B322639&quot;/&gt;&lt;wsp:rsid wsp:val=&quot;6B6F5467&quot;/&gt;&lt;wsp:rsid wsp:val=&quot;6BB876CB&quot;/&gt;&lt;wsp:rsid wsp:val=&quot;6BF60E00&quot;/&gt;&lt;wsp:rsid wsp:val=&quot;6BFF1941&quot;/&gt;&lt;wsp:rsid wsp:val=&quot;6C0057A1&quot;/&gt;&lt;wsp:rsid wsp:val=&quot;6C636C38&quot;/&gt;&lt;wsp:rsid wsp:val=&quot;6C8D65A5&quot;/&gt;&lt;wsp:rsid wsp:val=&quot;6CDB4725&quot;/&gt;&lt;wsp:rsid wsp:val=&quot;6CE42A28&quot;/&gt;&lt;wsp:rsid wsp:val=&quot;6D09759D&quot;/&gt;&lt;wsp:rsid wsp:val=&quot;6D5B5E32&quot;/&gt;&lt;wsp:rsid wsp:val=&quot;6DB34098&quot;/&gt;&lt;wsp:rsid wsp:val=&quot;6DB545B6&quot;/&gt;&lt;wsp:rsid wsp:val=&quot;6DD55BAC&quot;/&gt;&lt;wsp:rsid wsp:val=&quot;6DE02FB4&quot;/&gt;&lt;wsp:rsid wsp:val=&quot;6E35478E&quot;/&gt;&lt;wsp:rsid wsp:val=&quot;6E514CED&quot;/&gt;&lt;wsp:rsid wsp:val=&quot;6E625E8D&quot;/&gt;&lt;wsp:rsid wsp:val=&quot;6EB563D5&quot;/&gt;&lt;wsp:rsid wsp:val=&quot;6EC80BE7&quot;/&gt;&lt;wsp:rsid wsp:val=&quot;6ED92677&quot;/&gt;&lt;wsp:rsid wsp:val=&quot;6F1E4F37&quot;/&gt;&lt;wsp:rsid wsp:val=&quot;6F225983&quot;/&gt;&lt;wsp:rsid wsp:val=&quot;6F4A66DB&quot;/&gt;&lt;wsp:rsid wsp:val=&quot;6F82478D&quot;/&gt;&lt;wsp:rsid wsp:val=&quot;6FFC5590&quot;/&gt;&lt;wsp:rsid wsp:val=&quot;7007619F&quot;/&gt;&lt;wsp:rsid wsp:val=&quot;70103A27&quot;/&gt;&lt;wsp:rsid wsp:val=&quot;706D1DD0&quot;/&gt;&lt;wsp:rsid wsp:val=&quot;70856B87&quot;/&gt;&lt;wsp:rsid wsp:val=&quot;70D527EE&quot;/&gt;&lt;wsp:rsid wsp:val=&quot;70E14698&quot;/&gt;&lt;wsp:rsid wsp:val=&quot;715B5300&quot;/&gt;&lt;wsp:rsid wsp:val=&quot;71642BB3&quot;/&gt;&lt;wsp:rsid wsp:val=&quot;717F72CC&quot;/&gt;&lt;wsp:rsid wsp:val=&quot;71D27F8A&quot;/&gt;&lt;wsp:rsid wsp:val=&quot;71F7560E&quot;/&gt;&lt;wsp:rsid wsp:val=&quot;71FF5286&quot;/&gt;&lt;wsp:rsid wsp:val=&quot;72364AB3&quot;/&gt;&lt;wsp:rsid wsp:val=&quot;72553024&quot;/&gt;&lt;wsp:rsid wsp:val=&quot;73122968&quot;/&gt;&lt;wsp:rsid wsp:val=&quot;731F5D5E&quot;/&gt;&lt;wsp:rsid wsp:val=&quot;732561C7&quot;/&gt;&lt;wsp:rsid wsp:val=&quot;73382FAF&quot;/&gt;&lt;wsp:rsid wsp:val=&quot;734C38CC&quot;/&gt;&lt;wsp:rsid wsp:val=&quot;739A2FA5&quot;/&gt;&lt;wsp:rsid wsp:val=&quot;73C51AD5&quot;/&gt;&lt;wsp:rsid wsp:val=&quot;73EF4D14&quot;/&gt;&lt;wsp:rsid wsp:val=&quot;73F35CCE&quot;/&gt;&lt;wsp:rsid wsp:val=&quot;74014D4A&quot;/&gt;&lt;wsp:rsid wsp:val=&quot;741E793C&quot;/&gt;&lt;wsp:rsid wsp:val=&quot;745E3944&quot;/&gt;&lt;wsp:rsid wsp:val=&quot;747D4C15&quot;/&gt;&lt;wsp:rsid wsp:val=&quot;74975272&quot;/&gt;&lt;wsp:rsid wsp:val=&quot;74C36207&quot;/&gt;&lt;wsp:rsid wsp:val=&quot;75436590&quot;/&gt;&lt;wsp:rsid wsp:val=&quot;761B0680&quot;/&gt;&lt;wsp:rsid wsp:val=&quot;761C6913&quot;/&gt;&lt;wsp:rsid wsp:val=&quot;761E760B&quot;/&gt;&lt;wsp:rsid wsp:val=&quot;7635099D&quot;/&gt;&lt;wsp:rsid wsp:val=&quot;76952B30&quot;/&gt;&lt;wsp:rsid wsp:val=&quot;77623D91&quot;/&gt;&lt;wsp:rsid wsp:val=&quot;77762421&quot;/&gt;&lt;wsp:rsid wsp:val=&quot;77B56B1F&quot;/&gt;&lt;wsp:rsid wsp:val=&quot;77C34D48&quot;/&gt;&lt;wsp:rsid wsp:val=&quot;77F410E5&quot;/&gt;&lt;wsp:rsid wsp:val=&quot;780C4CA8&quot;/&gt;&lt;wsp:rsid wsp:val=&quot;780F09F4&quot;/&gt;&lt;wsp:rsid wsp:val=&quot;781D669A&quot;/&gt;&lt;wsp:rsid wsp:val=&quot;78842B44&quot;/&gt;&lt;wsp:rsid wsp:val=&quot;788516F0&quot;/&gt;&lt;wsp:rsid wsp:val=&quot;78A90480&quot;/&gt;&lt;wsp:rsid wsp:val=&quot;78D97A47&quot;/&gt;&lt;wsp:rsid wsp:val=&quot;78F662F8&quot;/&gt;&lt;wsp:rsid wsp:val=&quot;79537DD9&quot;/&gt;&lt;wsp:rsid wsp:val=&quot;799C1E8B&quot;/&gt;&lt;wsp:rsid wsp:val=&quot;7A117CFD&quot;/&gt;&lt;wsp:rsid wsp:val=&quot;7A364017&quot;/&gt;&lt;wsp:rsid wsp:val=&quot;7A4B6B81&quot;/&gt;&lt;wsp:rsid wsp:val=&quot;7A8265E1&quot;/&gt;&lt;wsp:rsid wsp:val=&quot;7A8368F0&quot;/&gt;&lt;wsp:rsid wsp:val=&quot;7AB12F89&quot;/&gt;&lt;wsp:rsid wsp:val=&quot;7AD46E75&quot;/&gt;&lt;wsp:rsid wsp:val=&quot;7AFB30F4&quot;/&gt;&lt;wsp:rsid wsp:val=&quot;7B5F0160&quot;/&gt;&lt;wsp:rsid wsp:val=&quot;7B683E90&quot;/&gt;&lt;wsp:rsid wsp:val=&quot;7B686D42&quot;/&gt;&lt;wsp:rsid wsp:val=&quot;7B841746&quot;/&gt;&lt;wsp:rsid wsp:val=&quot;7B9151EC&quot;/&gt;&lt;wsp:rsid wsp:val=&quot;7BA25F20&quot;/&gt;&lt;wsp:rsid wsp:val=&quot;7BCB41E6&quot;/&gt;&lt;wsp:rsid wsp:val=&quot;7BD0454F&quot;/&gt;&lt;wsp:rsid wsp:val=&quot;7C356F62&quot;/&gt;&lt;wsp:rsid wsp:val=&quot;7C5C6E33&quot;/&gt;&lt;wsp:rsid wsp:val=&quot;7C6C5AC7&quot;/&gt;&lt;wsp:rsid wsp:val=&quot;7CB07638&quot;/&gt;&lt;wsp:rsid wsp:val=&quot;7CC6544B&quot;/&gt;&lt;wsp:rsid wsp:val=&quot;7D0239FF&quot;/&gt;&lt;wsp:rsid wsp:val=&quot;7D292D1B&quot;/&gt;&lt;wsp:rsid wsp:val=&quot;7D2C1E1B&quot;/&gt;&lt;wsp:rsid wsp:val=&quot;7D5E40CD&quot;/&gt;&lt;wsp:rsid wsp:val=&quot;7D8843FA&quot;/&gt;&lt;wsp:rsid wsp:val=&quot;7D937A3B&quot;/&gt;&lt;wsp:rsid wsp:val=&quot;7DAC1103&quot;/&gt;&lt;wsp:rsid wsp:val=&quot;7DCD56F2&quot;/&gt;&lt;wsp:rsid wsp:val=&quot;7E577071&quot;/&gt;&lt;wsp:rsid wsp:val=&quot;7E9D7E83&quot;/&gt;&lt;wsp:rsid wsp:val=&quot;7EB06B62&quot;/&gt;&lt;wsp:rsid wsp:val=&quot;7EE32D92&quot;/&gt;&lt;wsp:rsid wsp:val=&quot;7F001CE7&quot;/&gt;&lt;wsp:rsid wsp:val=&quot;7F723C0F&quot;/&gt;&lt;wsp:rsid wsp:val=&quot;7F902601&quot;/&gt;&lt;wsp:rsid wsp:val=&quot;7FE47E50&quot;/&gt;&lt;/wsp:rsids&gt;&lt;/w:docPr&gt;&lt;w:body&gt;&lt;wx:sect&gt;&lt;w:p wsp:rsidR=&quot;00000000&quot; wsp:rsidRDefault=&quot;00333261&quot; wsp:rsidP=&quot;00333261&quot;&gt;&lt;m:oMathPara&gt;&lt;m:oMath&gt;&lt;m:sSub&gt;&lt;m:sSubPr&gt;&lt;m:ctrlPr&gt;&lt;w:rPr&gt;&lt;w:rFonts w:ascii=&quot;Cambria Math&quot; w:h-ansi=&quot;Cambria Math&quot; w:cs=&quot;锟斤拷锟斤拷&quot;/&gt;&lt;wx:font wx:val=&quot;Cambria Math&quot;/&gt;&lt;w:b-cs/&gt;&lt;w:i/&gt;&lt;w:color w:val=&quot;000000&quot;/&gt;&lt;w:sz w:val=&quot;24&quot;/&gt;&lt;w:sz-cs w:val=&quot;21&quot;/&gt;idP=&quot;0idP=&quot;0idP=&quot;0idP=&quot;0idP=&quot;0idP=&quot;0idP=&quot;0idP=&quot;0&lt;/w:rPr&gt;&quot;0&lt;/m:ctrlPr&gt;&lt;/m:sSubPr&gt;&lt;m:e&gt;&lt;m:r&gt;&lt;w:rPr&gt;&lt;w:rFonts w:ascii=&quot;Cambria Math&quot; w:h-ansi=&quot;Cambria Math&quot; w:cs=&quot;锟斤拷锟斤拷&quot; w:hint=&quot;fareast&quot;/&gt;&lt;wx:font wx:val=&quot;Cambria Math&quot;/&gt;&lt;w:i/&gt;&lt;w:color w:val=&quot;000000&quot;/&gt;&lt;w:keridP=&quot;0n w:vaidP=&quot;0l=&quot;0&quot;/idP=&quot;0&gt;&lt;w:szidP=&quot;0 w:validP=&quot;0=&quot;24&quot;/idP=&quot;0&gt;&lt;/w:ridP=&quot;0Pr&gt;&lt;m:idP=&quot;0t&gt;V&lt;/m:t&gt;&lt;/m:r&gt;&lt;/m&quot;0:e&gt;&lt;m:sub&gt;&lt;m:r&gt;&lt;w:rPr&gt;&lt;w:rFonts w:ascii=&quot;Cambria Math&quot; w:h-ansi=&quot;Cambria Math&quot; w:cs=&quot;锟斤拷锟斤拷&quot;/&gt;&lt;wx:font wx:val=&quot;Cambria Math&quot;/&gt;&lt;w:i/&gt;&lt;w:color w:vaidP=&quot;0l=&quot;000000&quot;/&gt;idP=&quot;0&lt;w:kern w:vaidP=&quot;0l=&quot;0&quot;/&gt;&lt;w:szidP=&quot;0 w:val=&quot;24&quot;/idP=&quot;0&gt;&lt;/w:rPr&gt;&lt;m:idP=&quot;0t&gt;5&lt;/m:t&gt;&lt;/midP=&quot;0:r&gt;&lt;/m:sub&gt;&lt;idP=&quot;0/m:sSub&gt;&lt;/m:oMath&gt;&lt;/m:oMathP&quot;0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path/>
                  <v:fill on="f" focussize="0,0"/>
                  <v:stroke/>
                  <v:imagedata r:id="rId21" chromakey="#FFFFFF" o:title=""/>
                  <o:lock v:ext="edit" aspectratio="t"/>
                  <w10:wrap type="none"/>
                  <w10:anchorlock/>
                </v:shape>
              </w:pict>
            </w:r>
            <w:r>
              <w:rPr>
                <w:rFonts w:hint="eastAsia" w:cs="宋体"/>
                <w:bCs/>
                <w:color w:val="000000"/>
                <w:sz w:val="24"/>
                <w:szCs w:val="21"/>
              </w:rPr>
              <w:instrText xml:space="preserve"> </w:instrText>
            </w:r>
            <w:r>
              <w:rPr>
                <w:rFonts w:hint="eastAsia" w:cs="宋体"/>
                <w:bCs/>
                <w:color w:val="000000"/>
                <w:sz w:val="24"/>
                <w:szCs w:val="21"/>
              </w:rPr>
              <w:fldChar w:fldCharType="end"/>
            </w:r>
            <w:r>
              <w:rPr>
                <w:rFonts w:hint="eastAsia" w:cs="宋体"/>
                <w:bCs/>
                <w:color w:val="000000"/>
                <w:sz w:val="24"/>
                <w:szCs w:val="21"/>
              </w:rPr>
              <w:t>——发生事故时可能进入该收集系统的降雨量，m</w:t>
            </w:r>
            <w:r>
              <w:rPr>
                <w:rFonts w:hint="eastAsia" w:cs="宋体"/>
                <w:bCs/>
                <w:color w:val="000000"/>
                <w:sz w:val="24"/>
                <w:szCs w:val="21"/>
                <w:vertAlign w:val="superscript"/>
              </w:rPr>
              <w:t>3</w:t>
            </w:r>
            <w:r>
              <w:rPr>
                <w:rFonts w:hint="eastAsia" w:cs="宋体"/>
                <w:bCs/>
                <w:color w:val="000000"/>
                <w:sz w:val="24"/>
                <w:szCs w:val="21"/>
              </w:rPr>
              <w:t>；本项目砂石生产线、物料堆场均搭设有顶棚，降雨通过截流沟导入雨水管网，本项目取0。</w:t>
            </w:r>
          </w:p>
          <w:p>
            <w:pPr>
              <w:autoSpaceDE w:val="0"/>
              <w:autoSpaceDN w:val="0"/>
              <w:adjustRightInd w:val="0"/>
              <w:spacing w:line="360" w:lineRule="auto"/>
              <w:ind w:firstLine="480" w:firstLineChars="200"/>
              <w:rPr>
                <w:rFonts w:cs="宋体"/>
                <w:bCs/>
                <w:color w:val="000000"/>
                <w:sz w:val="24"/>
                <w:szCs w:val="21"/>
              </w:rPr>
            </w:pPr>
            <w:r>
              <w:rPr>
                <w:rFonts w:hint="eastAsia" w:cs="宋体"/>
                <w:bCs/>
                <w:color w:val="000000"/>
                <w:sz w:val="24"/>
                <w:szCs w:val="21"/>
              </w:rPr>
              <w:t>综上，本项目事故应急池有效体积</w:t>
            </w:r>
            <w:r>
              <w:rPr>
                <w:rFonts w:hint="eastAsia" w:cs="宋体"/>
                <w:i/>
                <w:color w:val="000000"/>
                <w:kern w:val="0"/>
                <w:sz w:val="24"/>
              </w:rPr>
              <w:t>V</w:t>
            </w:r>
            <w:r>
              <w:rPr>
                <w:rFonts w:hint="eastAsia" w:cs="宋体"/>
                <w:i/>
                <w:color w:val="000000"/>
                <w:kern w:val="0"/>
                <w:sz w:val="24"/>
                <w:vertAlign w:val="subscript"/>
              </w:rPr>
              <w:t>总</w:t>
            </w:r>
            <w:r>
              <w:rPr>
                <w:rFonts w:hint="eastAsia" w:cs="宋体"/>
                <w:bCs/>
                <w:color w:val="000000"/>
                <w:sz w:val="24"/>
                <w:szCs w:val="21"/>
              </w:rPr>
              <w:fldChar w:fldCharType="begin"/>
            </w:r>
            <w:r>
              <w:rPr>
                <w:rFonts w:hint="eastAsia" w:cs="宋体"/>
                <w:bCs/>
                <w:color w:val="000000"/>
                <w:sz w:val="24"/>
                <w:szCs w:val="21"/>
              </w:rPr>
              <w:instrText xml:space="preserve"> QUOTE </w:instrText>
            </w:r>
            <w:r>
              <w:rPr>
                <w:rFonts w:cs="宋体"/>
                <w:bCs/>
                <w:color w:val="000000"/>
                <w:sz w:val="24"/>
                <w:szCs w:val="21"/>
              </w:rPr>
              <w:pict>
                <v:shape id="_x0000_i1029" o:spt="75" type="#_x0000_t75" style="height:32.4pt;width:15.1pt;" fill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1&quot;/&gt;&lt;w:doNotEmbedSystemFonts/&gt;&lt;w:stylePaneFormatFilter w:val=&quot;3F01&quot;/&gt;&lt;w:documentProtection w:edit=&quot;tracked-changes&quot; w:enforcement=&quot;off&quot;/&gt;&lt;w:defaultTabStop w:val=&quot;420&quot;/&gt;&lt;w:doNotHyphenateCaps/&gt;&lt;w:drawingGridVerticalSpacing w:val=&quot;156&quot;/&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sp:rsids&gt;&lt;wsp:rsidRoot wsp:val=&quot;00172A27&quot;/&gt;&lt;wsp:rsid wsp:val=&quot;00002B8F&quot;/&gt;&lt;wsp:rsid wsp:val=&quot;000060B3&quot;/&gt;&lt;wsp:rsid wsp:val=&quot;0004364B&quot;/&gt;&lt;wsp:rsid wsp:val=&quot;00050021&quot;/&gt;&lt;wsp:rsid wsp:val=&quot;00061B1F&quot;/&gt;&lt;wsp:rsid wsp:val=&quot;000733C4&quot;/&gt;&lt;wsp:rsid wsp:val=&quot;00074783&quot;/&gt;&lt;wsp:rsid wsp:val=&quot;0008070B&quot;/&gt;&lt;wsp:rsid wsp:val=&quot;000810AC&quot;/&gt;&lt;wsp:rsid wsp:val=&quot;00081A02&quot;/&gt;&lt;wsp:rsid wsp:val=&quot;00082231&quot;/&gt;&lt;wsp:rsid wsp:val=&quot;00092D38&quot;/&gt;&lt;wsp:rsid wsp:val=&quot;0009377B&quot;/&gt;&lt;wsp:rsid wsp:val=&quot;000A20C9&quot;/&gt;&lt;wsp:rsid wsp:val=&quot;000B058F&quot;/&gt;&lt;wsp:rsid wsp:val=&quot;000B4467&quot;/&gt;&lt;wsp:rsid wsp:val=&quot;000B4DB9&quot;/&gt;&lt;wsp:rsid wsp:val=&quot;000C09AC&quot;/&gt;&lt;wsp:rsid wsp:val=&quot;000C767F&quot;/&gt;&lt;wsp:rsid wsp:val=&quot;000D5A44&quot;/&gt;&lt;wsp:rsid wsp:val=&quot;000E3ED2&quot;/&gt;&lt;wsp:rsid wsp:val=&quot;00112027&quot;/&gt;&lt;wsp:rsid wsp:val=&quot;001124EB&quot;/&gt;&lt;wsp:rsid wsp:val=&quot;00131F42&quot;/&gt;&lt;wsp:rsid wsp:val=&quot;00134091&quot;/&gt;&lt;wsp:rsid wsp:val=&quot;0013418C&quot;/&gt;&lt;wsp:rsid wsp:val=&quot;001357F1&quot;/&gt;&lt;wsp:rsid wsp:val=&quot;00140FA8&quot;/&gt;&lt;wsp:rsid wsp:val=&quot;00142FEB&quot;/&gt;&lt;wsp:rsid wsp:val=&quot;00143A2D&quot;/&gt;&lt;wsp:rsid wsp:val=&quot;00145A41&quot;/&gt;&lt;wsp:rsid wsp:val=&quot;00151675&quot;/&gt;&lt;wsp:rsid wsp:val=&quot;00157435&quot;/&gt;&lt;wsp:rsid wsp:val=&quot;00173FBA&quot;/&gt;&lt;wsp:rsid wsp:val=&quot;0017504D&quot;/&gt;&lt;wsp:rsid wsp:val=&quot;0017671A&quot;/&gt;&lt;wsp:rsid wsp:val=&quot;00177422&quot;/&gt;&lt;wsp:rsid wsp:val=&quot;00184590&quot;/&gt;&lt;wsp:rsid wsp:val=&quot;001870D1&quot;/&gt;&lt;wsp:rsid wsp:val=&quot;0018781E&quot;/&gt;&lt;wsp:rsid wsp:val=&quot;0019262D&quot;/&gt;&lt;wsp:rsid wsp:val=&quot;001944D2&quot;/&gt;&lt;wsp:rsid wsp:val=&quot;001A1B35&quot;/&gt;&lt;wsp:rsid wsp:val=&quot;001A48A2&quot;/&gt;&lt;wsp:rsid wsp:val=&quot;001A6F61&quot;/&gt;&lt;wsp:rsid wsp:val=&quot;001B4BA8&quot;/&gt;&lt;wsp:rsid wsp:val=&quot;001B72B8&quot;/&gt;&lt;wsp:rsid wsp:val=&quot;001C5F0F&quot;/&gt;&lt;wsp:rsid wsp:val=&quot;001C69B3&quot;/&gt;&lt;wsp:rsid wsp:val=&quot;001D5595&quot;/&gt;&lt;wsp:rsid wsp:val=&quot;001D7874&quot;/&gt;&lt;wsp:rsid wsp:val=&quot;001D7F22&quot;/&gt;&lt;wsp:rsid wsp:val=&quot;001F0F17&quot;/&gt;&lt;wsp:rsid wsp:val=&quot;001F3347&quot;/&gt;&lt;wsp:rsid wsp:val=&quot;001F69E4&quot;/&gt;&lt;wsp:rsid wsp:val=&quot;002125B4&quot;/&gt;&lt;wsp:rsid wsp:val=&quot;002155B8&quot;/&gt;&lt;wsp:rsid wsp:val=&quot;00224839&quot;/&gt;&lt;wsp:rsid wsp:val=&quot;002249B2&quot;/&gt;&lt;wsp:rsid wsp:val=&quot;00226574&quot;/&gt;&lt;wsp:rsid wsp:val=&quot;002278EC&quot;/&gt;&lt;wsp:rsid wsp:val=&quot;0023280E&quot;/&gt;&lt;wsp:rsid wsp:val=&quot;002377D1&quot;/&gt;&lt;wsp:rsid wsp:val=&quot;002506BC&quot;/&gt;&lt;wsp:rsid wsp:val=&quot;00254345&quot;/&gt;&lt;wsp:rsid wsp:val=&quot;0026206E&quot;/&gt;&lt;wsp:rsid wsp:val=&quot;002625E3&quot;/&gt;&lt;wsp:rsid wsp:val=&quot;00264557&quot;/&gt;&lt;wsp:rsid wsp:val=&quot;002805AB&quot;/&gt;&lt;wsp:rsid wsp:val=&quot;00284204&quot;/&gt;&lt;wsp:rsid wsp:val=&quot;00291773&quot;/&gt;&lt;wsp:rsid wsp:val=&quot;002A168C&quot;/&gt;&lt;wsp:rsid wsp:val=&quot;002A3DC7&quot;/&gt;&lt;wsp:rsid wsp:val=&quot;002B49E2&quot;/&gt;&lt;wsp:rsid wsp:val=&quot;002B7B00&quot;/&gt;&lt;wsp:rsid wsp:val=&quot;002B7C44&quot;/&gt;&lt;wsp:rsid wsp:val=&quot;002C2B17&quot;/&gt;&lt;wsp:rsid wsp:val=&quot;002D3DD0&quot;/&gt;&lt;wsp:rsid wsp:val=&quot;002E1F3A&quot;/&gt;&lt;wsp:rsid wsp:val=&quot;002E298A&quot;/&gt;&lt;wsp:rsid wsp:val=&quot;00301978&quot;/&gt;&lt;wsp:rsid wsp:val=&quot;0030332C&quot;/&gt;&lt;wsp:rsid wsp:val=&quot;003051C2&quot;/&gt;&lt;wsp:rsid wsp:val=&quot;00312296&quot;/&gt;&lt;wsp:rsid wsp:val=&quot;00314F0E&quot;/&gt;&lt;wsp:rsid wsp:val=&quot;00321D8E&quot;/&gt;&lt;wsp:rsid wsp:val=&quot;00325928&quot;/&gt;&lt;wsp:rsid wsp:val=&quot;00332863&quot;/&gt;&lt;wsp:rsid wsp:val=&quot;0033684D&quot;/&gt;&lt;wsp:rsid wsp:val=&quot;00337B42&quot;/&gt;&lt;wsp:rsid wsp:val=&quot;00341B42&quot;/&gt;&lt;wsp:rsid wsp:val=&quot;0034348F&quot;/&gt;&lt;wsp:rsid wsp:val=&quot;00343C2B&quot;/&gt;&lt;wsp:rsid wsp:val=&quot;0034596F&quot;/&gt;&lt;wsp:rsid wsp:val=&quot;00356653&quot;/&gt;&lt;wsp:rsid wsp:val=&quot;0035743F&quot;/&gt;&lt;wsp:rsid wsp:val=&quot;00357BE2&quot;/&gt;&lt;wsp:rsid wsp:val=&quot;0036170C&quot;/&gt;&lt;wsp:rsid wsp:val=&quot;00366E0F&quot;/&gt;&lt;wsp:rsid wsp:val=&quot;00375832&quot;/&gt;&lt;wsp:rsid wsp:val=&quot;00381A72&quot;/&gt;&lt;wsp:rsid wsp:val=&quot;00384676&quot;/&gt;&lt;wsp:rsid wsp:val=&quot;00384BC6&quot;/&gt;&lt;wsp:rsid wsp:val=&quot;00390857&quot;/&gt;&lt;wsp:rsid wsp:val=&quot;003930BB&quot;/&gt;&lt;wsp:rsid wsp:val=&quot;003A4BF3&quot;/&gt;&lt;wsp:rsid wsp:val=&quot;003B420D&quot;/&gt;&lt;wsp:rsid wsp:val=&quot;003B72F6&quot;/&gt;&lt;wsp:rsid wsp:val=&quot;003C6C16&quot;/&gt;&lt;wsp:rsid wsp:val=&quot;003D76AB&quot;/&gt;&lt;wsp:rsid wsp:val=&quot;003D794D&quot;/&gt;&lt;wsp:rsid wsp:val=&quot;003E2F5A&quot;/&gt;&lt;wsp:rsid wsp:val=&quot;003E3058&quot;/&gt;&lt;wsp:rsid wsp:val=&quot;003E76A9&quot;/&gt;&lt;wsp:rsid wsp:val=&quot;003E7BEE&quot;/&gt;&lt;wsp:rsid wsp:val=&quot;003F0809&quot;/&gt;&lt;wsp:rsid wsp:val=&quot;003F4C47&quot;/&gt;&lt;wsp:rsid wsp:val=&quot;003F6A8C&quot;/&gt;&lt;wsp:rsid wsp:val=&quot;003F755C&quot;/&gt;&lt;wsp:rsid wsp:val=&quot;00406F01&quot;/&gt;&lt;wsp:rsid wsp:val=&quot;00412988&quot;/&gt;&lt;wsp:rsid wsp:val=&quot;00416D50&quot;/&gt;&lt;wsp:rsid wsp:val=&quot;00416FD5&quot;/&gt;&lt;wsp:rsid wsp:val=&quot;00417772&quot;/&gt;&lt;wsp:rsid wsp:val=&quot;00420E6A&quot;/&gt;&lt;wsp:rsid wsp:val=&quot;00425A9E&quot;/&gt;&lt;wsp:rsid wsp:val=&quot;00426D6B&quot;/&gt;&lt;wsp:rsid wsp:val=&quot;00431E6C&quot;/&gt;&lt;wsp:rsid wsp:val=&quot;00433CE7&quot;/&gt;&lt;wsp:rsid wsp:val=&quot;004352FB&quot;/&gt;&lt;wsp:rsid wsp:val=&quot;004436E8&quot;/&gt;&lt;wsp:rsid wsp:val=&quot;00452738&quot;/&gt;&lt;wsp:rsid wsp:val=&quot;00456091&quot;/&gt;&lt;wsp:rsid wsp:val=&quot;00466321&quot;/&gt;&lt;wsp:rsid wsp:val=&quot;0046661F&quot;/&gt;&lt;wsp:rsid wsp:val=&quot;00484B9B&quot;/&gt;&lt;wsp:rsid wsp:val=&quot;004855F6&quot;/&gt;&lt;wsp:rsid wsp:val=&quot;0048661E&quot;/&gt;&lt;wsp:rsid wsp:val=&quot;00494670&quot;/&gt;&lt;wsp:rsid wsp:val=&quot;004A3823&quot;/&gt;&lt;wsp:rsid wsp:val=&quot;004B0015&quot;/&gt;&lt;wsp:rsid wsp:val=&quot;004C21EF&quot;/&gt;&lt;wsp:rsid wsp:val=&quot;004E6946&quot;/&gt;&lt;wsp:rsid wsp:val=&quot;004F1AD8&quot;/&gt;&lt;wsp:rsid wsp:val=&quot;005039CB&quot;/&gt;&lt;wsp:rsid wsp:val=&quot;0050558F&quot;/&gt;&lt;wsp:rsid wsp:val=&quot;00506286&quot;/&gt;&lt;wsp:rsid wsp:val=&quot;00510813&quot;/&gt;&lt;wsp:rsid wsp:val=&quot;00511990&quot;/&gt;&lt;wsp:rsid wsp:val=&quot;00511DE0&quot;/&gt;&lt;wsp:rsid wsp:val=&quot;00514870&quot;/&gt;&lt;wsp:rsid wsp:val=&quot;00514B9B&quot;/&gt;&lt;wsp:rsid wsp:val=&quot;00517F02&quot;/&gt;&lt;wsp:rsid wsp:val=&quot;00524303&quot;/&gt;&lt;wsp:rsid wsp:val=&quot;005258A2&quot;/&gt;&lt;wsp:rsid wsp:val=&quot;005401AE&quot;/&gt;&lt;wsp:rsid wsp:val=&quot;00542E07&quot;/&gt;&lt;wsp:rsid wsp:val=&quot;00545424&quot;/&gt;&lt;wsp:rsid wsp:val=&quot;00554A7B&quot;/&gt;&lt;wsp:rsid wsp:val=&quot;0055572C&quot;/&gt;&lt;wsp:rsid wsp:val=&quot;0056106A&quot;/&gt;&lt;wsp:rsid wsp:val=&quot;005720AE&quot;/&gt;&lt;wsp:rsid wsp:val=&quot;00582527&quot;/&gt;&lt;wsp:rsid wsp:val=&quot;00594D77&quot;/&gt;&lt;wsp:rsid wsp:val=&quot;005969E4&quot;/&gt;&lt;wsp:rsid wsp:val=&quot;005A06B7&quot;/&gt;&lt;wsp:rsid wsp:val=&quot;005A1759&quot;/&gt;&lt;wsp:rsid wsp:val=&quot;005A68A7&quot;/&gt;&lt;wsp:rsid wsp:val=&quot;005B0AFA&quot;/&gt;&lt;wsp:rsid wsp:val=&quot;005C04F5&quot;/&gt;&lt;wsp:rsid wsp:val=&quot;005D36AB&quot;/&gt;&lt;wsp:rsid wsp:val=&quot;005D3A8B&quot;/&gt;&lt;wsp:rsid wsp:val=&quot;005D5B30&quot;/&gt;&lt;wsp:rsid wsp:val=&quot;00610B09&quot;/&gt;&lt;wsp:rsid wsp:val=&quot;00617CC3&quot;/&gt;&lt;wsp:rsid wsp:val=&quot;006377A6&quot;/&gt;&lt;wsp:rsid wsp:val=&quot;00637A3D&quot;/&gt;&lt;wsp:rsid wsp:val=&quot;006411EF&quot;/&gt;&lt;wsp:rsid wsp:val=&quot;006748B8&quot;/&gt;&lt;wsp:rsid wsp:val=&quot;006775C3&quot;/&gt;&lt;wsp:rsid wsp:val=&quot;0069290A&quot;/&gt;&lt;wsp:rsid wsp:val=&quot;0069775A&quot;/&gt;&lt;wsp:rsid wsp:val=&quot;00697813&quot;/&gt;&lt;wsp:rsid wsp:val=&quot;006A3EE8&quot;/&gt;&lt;wsp:rsid wsp:val=&quot;006A72BF&quot;/&gt;&lt;wsp:rsid wsp:val=&quot;006B03F2&quot;/&gt;&lt;wsp:rsid wsp:val=&quot;006B37DC&quot;/&gt;&lt;wsp:rsid wsp:val=&quot;006B4F68&quot;/&gt;&lt;wsp:rsid wsp:val=&quot;006C0592&quot;/&gt;&lt;wsp:rsid wsp:val=&quot;006C272E&quot;/&gt;&lt;wsp:rsid wsp:val=&quot;006C5479&quot;/&gt;&lt;wsp:rsid wsp:val=&quot;006D13B5&quot;/&gt;&lt;wsp:rsid wsp:val=&quot;006E12FF&quot;/&gt;&lt;wsp:rsid wsp:val=&quot;006E607E&quot;/&gt;&lt;wsp:rsid wsp:val=&quot;00701EB3&quot;/&gt;&lt;wsp:rsid wsp:val=&quot;00706C5D&quot;/&gt;&lt;wsp:rsid wsp:val=&quot;0071224C&quot;/&gt;&lt;wsp:rsid wsp:val=&quot;007212C5&quot;/&gt;&lt;wsp:rsid wsp:val=&quot;0072135A&quot;/&gt;&lt;wsp:rsid wsp:val=&quot;00732922&quot;/&gt;&lt;wsp:rsid wsp:val=&quot;007331E7&quot;/&gt;&lt;wsp:rsid wsp:val=&quot;007505F6&quot;/&gt;&lt;wsp:rsid wsp:val=&quot;0075162E&quot;/&gt;&lt;wsp:rsid wsp:val=&quot;00754034&quot;/&gt;&lt;wsp:rsid wsp:val=&quot;00756556&quot;/&gt;&lt;wsp:rsid wsp:val=&quot;007618C4&quot;/&gt;&lt;wsp:rsid wsp:val=&quot;00767968&quot;/&gt;&lt;wsp:rsid wsp:val=&quot;00767980&quot;/&gt;&lt;wsp:rsid wsp:val=&quot;00770B19&quot;/&gt;&lt;wsp:rsid wsp:val=&quot;0077463F&quot;/&gt;&lt;wsp:rsid wsp:val=&quot;007836EA&quot;/&gt;&lt;wsp:rsid wsp:val=&quot;00784CDA&quot;/&gt;&lt;wsp:rsid wsp:val=&quot;00785117&quot;/&gt;&lt;wsp:rsid wsp:val=&quot;0078564F&quot;/&gt;&lt;wsp:rsid wsp:val=&quot;007906C4&quot;/&gt;&lt;wsp:rsid wsp:val=&quot;007940EA&quot;/&gt;&lt;wsp:rsid wsp:val=&quot;007967E8&quot;/&gt;&lt;wsp:rsid wsp:val=&quot;007A2170&quot;/&gt;&lt;wsp:rsid wsp:val=&quot;007A22BF&quot;/&gt;&lt;wsp:rsid wsp:val=&quot;007A3323&quot;/&gt;&lt;wsp:rsid wsp:val=&quot;007B72B8&quot;/&gt;&lt;wsp:rsid wsp:val=&quot;007B7A58&quot;/&gt;&lt;wsp:rsid wsp:val=&quot;007C21B5&quot;/&gt;&lt;wsp:rsid wsp:val=&quot;007E4BD2&quot;/&gt;&lt;wsp:rsid wsp:val=&quot;007F1DAD&quot;/&gt;&lt;wsp:rsid wsp:val=&quot;00801393&quot;/&gt;&lt;wsp:rsid wsp:val=&quot;00802F88&quot;/&gt;&lt;wsp:rsid wsp:val=&quot;0081293E&quot;/&gt;&lt;wsp:rsid wsp:val=&quot;00815465&quot;/&gt;&lt;wsp:rsid wsp:val=&quot;00817E9A&quot;/&gt;&lt;wsp:rsid wsp:val=&quot;008306BD&quot;/&gt;&lt;wsp:rsid wsp:val=&quot;00831A80&quot;/&gt;&lt;wsp:rsid wsp:val=&quot;00833743&quot;/&gt;&lt;wsp:rsid wsp:val=&quot;008340A4&quot;/&gt;&lt;wsp:rsid wsp:val=&quot;00860650&quot;/&gt;&lt;wsp:rsid wsp:val=&quot;0086181C&quot;/&gt;&lt;wsp:rsid wsp:val=&quot;0087135F&quot;/&gt;&lt;wsp:rsid wsp:val=&quot;00872D94&quot;/&gt;&lt;wsp:rsid wsp:val=&quot;00880364&quot;/&gt;&lt;wsp:rsid wsp:val=&quot;00887126&quot;/&gt;&lt;wsp:rsid wsp:val=&quot;00891592&quot;/&gt;&lt;wsp:rsid wsp:val=&quot;00891E9E&quot;/&gt;&lt;wsp:rsid wsp:val=&quot;00893BB8&quot;/&gt;&lt;wsp:rsid wsp:val=&quot;008A2F68&quot;/&gt;&lt;wsp:rsid wsp:val=&quot;008B4FA6&quot;/&gt;&lt;wsp:rsid wsp:val=&quot;008B5282&quot;/&gt;&lt;wsp:rsid wsp:val=&quot;008B7139&quot;/&gt;&lt;wsp:rsid wsp:val=&quot;008B7C17&quot;/&gt;&lt;wsp:rsid wsp:val=&quot;008C2D01&quot;/&gt;&lt;wsp:rsid wsp:val=&quot;008C40E6&quot;/&gt;&lt;wsp:rsid wsp:val=&quot;008D0F7A&quot;/&gt;&lt;wsp:rsid wsp:val=&quot;008D68E4&quot;/&gt;&lt;wsp:rsid wsp:val=&quot;008E0506&quot;/&gt;&lt;wsp:rsid wsp:val=&quot;008E0CFF&quot;/&gt;&lt;wsp:rsid wsp:val=&quot;008E5D6B&quot;/&gt;&lt;wsp:rsid wsp:val=&quot;008E76F0&quot;/&gt;&lt;wsp:rsid wsp:val=&quot;008F15FE&quot;/&gt;&lt;wsp:rsid wsp:val=&quot;008F2D29&quot;/&gt;&lt;wsp:rsid wsp:val=&quot;008F5187&quot;/&gt;&lt;wsp:rsid wsp:val=&quot;008F60D8&quot;/&gt;&lt;wsp:rsid wsp:val=&quot;00902727&quot;/&gt;&lt;wsp:rsid wsp:val=&quot;0090312B&quot;/&gt;&lt;wsp:rsid wsp:val=&quot;0091736D&quot;/&gt;&lt;wsp:rsid wsp:val=&quot;00921F5A&quot;/&gt;&lt;wsp:rsid wsp:val=&quot;00925AB1&quot;/&gt;&lt;wsp:rsid wsp:val=&quot;0093037A&quot;/&gt;&lt;wsp:rsid wsp:val=&quot;0094154D&quot;/&gt;&lt;wsp:rsid wsp:val=&quot;00950971&quot;/&gt;&lt;wsp:rsid wsp:val=&quot;0095155F&quot;/&gt;&lt;wsp:rsid wsp:val=&quot;00954429&quot;/&gt;&lt;wsp:rsid wsp:val=&quot;009563CE&quot;/&gt;&lt;wsp:rsid wsp:val=&quot;0096551F&quot;/&gt;&lt;wsp:rsid wsp:val=&quot;00976328&quot;/&gt;&lt;wsp:rsid wsp:val=&quot;0097680D&quot;/&gt;&lt;wsp:rsid wsp:val=&quot;009778D2&quot;/&gt;&lt;wsp:rsid wsp:val=&quot;00982438&quot;/&gt;&lt;wsp:rsid wsp:val=&quot;0098404C&quot;/&gt;&lt;wsp:rsid wsp:val=&quot;00984C45&quot;/&gt;&lt;wsp:rsid wsp:val=&quot;00985283&quot;/&gt;&lt;wsp:rsid wsp:val=&quot;00995992&quot;/&gt;&lt;wsp:rsid wsp:val=&quot;00997616&quot;/&gt;&lt;wsp:rsid wsp:val=&quot;00997F3F&quot;/&gt;&lt;wsp:rsid wsp:val=&quot;009A03E5&quot;/&gt;&lt;wsp:rsid wsp:val=&quot;009A0F3B&quot;/&gt;&lt;wsp:rsid wsp:val=&quot;009A1BB4&quot;/&gt;&lt;wsp:rsid wsp:val=&quot;009A2628&quot;/&gt;&lt;wsp:rsid wsp:val=&quot;009A3200&quot;/&gt;&lt;wsp:rsid wsp:val=&quot;009A3D24&quot;/&gt;&lt;wsp:rsid wsp:val=&quot;009B0897&quot;/&gt;&lt;wsp:rsid wsp:val=&quot;009B7BD9&quot;/&gt;&lt;wsp:rsid wsp:val=&quot;009C7DD5&quot;/&gt;&lt;wsp:rsid wsp:val=&quot;009E227D&quot;/&gt;&lt;wsp:rsid wsp:val=&quot;009E5019&quot;/&gt;&lt;wsp:rsid wsp:val=&quot;00A008CA&quot;/&gt;&lt;wsp:rsid wsp:val=&quot;00A04F1B&quot;/&gt;&lt;wsp:rsid wsp:val=&quot;00A0501B&quot;/&gt;&lt;wsp:rsid wsp:val=&quot;00A1120A&quot;/&gt;&lt;wsp:rsid wsp:val=&quot;00A11740&quot;/&gt;&lt;wsp:rsid wsp:val=&quot;00A14947&quot;/&gt;&lt;wsp:rsid wsp:val=&quot;00A32A83&quot;/&gt;&lt;wsp:rsid wsp:val=&quot;00A368DB&quot;/&gt;&lt;wsp:rsid wsp:val=&quot;00A423AA&quot;/&gt;&lt;wsp:rsid wsp:val=&quot;00A53EC6&quot;/&gt;&lt;wsp:rsid wsp:val=&quot;00A55C0F&quot;/&gt;&lt;wsp:rsid wsp:val=&quot;00A8713F&quot;/&gt;&lt;wsp:rsid wsp:val=&quot;00A90BA1&quot;/&gt;&lt;wsp:rsid wsp:val=&quot;00A97A9A&quot;/&gt;&lt;wsp:rsid wsp:val=&quot;00AA0671&quot;/&gt;&lt;wsp:rsid wsp:val=&quot;00AA2531&quot;/&gt;&lt;wsp:rsid wsp:val=&quot;00AB078A&quot;/&gt;&lt;wsp:rsid wsp:val=&quot;00AB1E09&quot;/&gt;&lt;wsp:rsid wsp:val=&quot;00AB5330&quot;/&gt;&lt;wsp:rsid wsp:val=&quot;00AB7747&quot;/&gt;&lt;wsp:rsid wsp:val=&quot;00AC14CE&quot;/&gt;&lt;wsp:rsid wsp:val=&quot;00AC2A56&quot;/&gt;&lt;wsp:rsid wsp:val=&quot;00AD055E&quot;/&gt;&lt;wsp:rsid wsp:val=&quot;00AD47A7&quot;/&gt;&lt;wsp:rsid wsp:val=&quot;00AE5D95&quot;/&gt;&lt;wsp:rsid wsp:val=&quot;00AF0CBF&quot;/&gt;&lt;wsp:rsid wsp:val=&quot;00AF257F&quot;/&gt;&lt;wsp:rsid wsp:val=&quot;00AF33CF&quot;/&gt;&lt;wsp:rsid wsp:val=&quot;00AF4D50&quot;/&gt;&lt;wsp:rsid wsp:val=&quot;00AF6179&quot;/&gt;&lt;wsp:rsid wsp:val=&quot;00B11741&quot;/&gt;&lt;wsp:rsid wsp:val=&quot;00B1295A&quot;/&gt;&lt;wsp:rsid wsp:val=&quot;00B20A45&quot;/&gt;&lt;wsp:rsid wsp:val=&quot;00B22C5C&quot;/&gt;&lt;wsp:rsid wsp:val=&quot;00B24F30&quot;/&gt;&lt;wsp:rsid wsp:val=&quot;00B31ABF&quot;/&gt;&lt;wsp:rsid wsp:val=&quot;00B33BE3&quot;/&gt;&lt;wsp:rsid wsp:val=&quot;00B53B5D&quot;/&gt;&lt;wsp:rsid wsp:val=&quot;00B6055E&quot;/&gt;&lt;wsp:rsid wsp:val=&quot;00B6317D&quot;/&gt;&lt;wsp:rsid wsp:val=&quot;00B7723F&quot;/&gt;&lt;wsp:rsid wsp:val=&quot;00B80534&quot;/&gt;&lt;wsp:rsid wsp:val=&quot;00B8433C&quot;/&gt;&lt;wsp:rsid wsp:val=&quot;00B87491&quot;/&gt;&lt;wsp:rsid wsp:val=&quot;00BA29E9&quot;/&gt;&lt;wsp:rsid wsp:val=&quot;00BA411F&quot;/&gt;&lt;wsp:rsid wsp:val=&quot;00BA59AB&quot;/&gt;&lt;wsp:rsid wsp:val=&quot;00BA7142&quot;/&gt;&lt;wsp:rsid wsp:val=&quot;00BB1281&quot;/&gt;&lt;wsp:rsid wsp:val=&quot;00BB150D&quot;/&gt;&lt;wsp:rsid wsp:val=&quot;00BB237C&quot;/&gt;&lt;wsp:rsid wsp:val=&quot;00BB41A3&quot;/&gt;&lt;wsp:rsid wsp:val=&quot;00BC32DC&quot;/&gt;&lt;wsp:rsid wsp:val=&quot;00BC35B6&quot;/&gt;&lt;wsp:rsid wsp:val=&quot;00BC6061&quot;/&gt;&lt;wsp:rsid wsp:val=&quot;00BC6A3E&quot;/&gt;&lt;wsp:rsid wsp:val=&quot;00BD1B51&quot;/&gt;&lt;wsp:rsid wsp:val=&quot;00BD4596&quot;/&gt;&lt;wsp:rsid wsp:val=&quot;00BE1405&quot;/&gt;&lt;wsp:rsid wsp:val=&quot;00BE312D&quot;/&gt;&lt;wsp:rsid wsp:val=&quot;00BF1C20&quot;/&gt;&lt;wsp:rsid wsp:val=&quot;00C10578&quot;/&gt;&lt;wsp:rsid wsp:val=&quot;00C135BC&quot;/&gt;&lt;wsp:rsid wsp:val=&quot;00C15C95&quot;/&gt;&lt;wsp:rsid wsp:val=&quot;00C2596A&quot;/&gt;&lt;wsp:rsid wsp:val=&quot;00C27537&quot;/&gt;&lt;wsp:rsid wsp:val=&quot;00C328FE&quot;/&gt;&lt;wsp:rsid wsp:val=&quot;00C33507&quot;/&gt;&lt;wsp:rsid wsp:val=&quot;00C34894&quot;/&gt;&lt;wsp:rsid wsp:val=&quot;00C35762&quot;/&gt;&lt;wsp:rsid wsp:val=&quot;00C4409D&quot;/&gt;&lt;wsp:rsid wsp:val=&quot;00C44E72&quot;/&gt;&lt;wsp:rsid wsp:val=&quot;00C4581E&quot;/&gt;&lt;wsp:rsid wsp:val=&quot;00C45A06&quot;/&gt;&lt;wsp:rsid wsp:val=&quot;00C47E5B&quot;/&gt;&lt;wsp:rsid wsp:val=&quot;00C61ADE&quot;/&gt;&lt;wsp:rsid wsp:val=&quot;00C61E4B&quot;/&gt;&lt;wsp:rsid wsp:val=&quot;00C64BFF&quot;/&gt;&lt;wsp:rsid wsp:val=&quot;00C704E9&quot;/&gt;&lt;wsp:rsid wsp:val=&quot;00C763C9&quot;/&gt;&lt;wsp:rsid wsp:val=&quot;00C7661A&quot;/&gt;&lt;wsp:rsid wsp:val=&quot;00C80057&quot;/&gt;&lt;wsp:rsid wsp:val=&quot;00C82232&quot;/&gt;&lt;wsp:rsid wsp:val=&quot;00C82913&quot;/&gt;&lt;wsp:rsid wsp:val=&quot;00C916A2&quot;/&gt;&lt;wsp:rsid wsp:val=&quot;00C972B1&quot;/&gt;&lt;wsp:rsid wsp:val=&quot;00CA2CCE&quot;/&gt;&lt;wsp:rsid wsp:val=&quot;00CA43FD&quot;/&gt;&lt;wsp:rsid wsp:val=&quot;00CA7EF8&quot;/&gt;&lt;wsp:rsid wsp:val=&quot;00CC489B&quot;/&gt;&lt;wsp:rsid wsp:val=&quot;00CD2BCD&quot;/&gt;&lt;wsp:rsid wsp:val=&quot;00CD2FA6&quot;/&gt;&lt;wsp:rsid wsp:val=&quot;00CD3A4C&quot;/&gt;&lt;wsp:rsid wsp:val=&quot;00CE10E9&quot;/&gt;&lt;wsp:rsid wsp:val=&quot;00CE2910&quot;/&gt;&lt;wsp:rsid wsp:val=&quot;00CE5393&quot;/&gt;&lt;wsp:rsid wsp:val=&quot;00CF36BE&quot;/&gt;&lt;wsp:rsid wsp:val=&quot;00CF6000&quot;/&gt;&lt;wsp:rsid wsp:val=&quot;00D003F3&quot;/&gt;&lt;wsp:rsid wsp:val=&quot;00D0364F&quot;/&gt;&lt;wsp:rsid wsp:val=&quot;00D06834&quot;/&gt;&lt;wsp:rsid wsp:val=&quot;00D257B2&quot;/&gt;&lt;wsp:rsid wsp:val=&quot;00D25947&quot;/&gt;&lt;wsp:rsid wsp:val=&quot;00D308ED&quot;/&gt;&lt;wsp:rsid wsp:val=&quot;00D36D86&quot;/&gt;&lt;wsp:rsid wsp:val=&quot;00D428AA&quot;/&gt;&lt;wsp:rsid wsp:val=&quot;00D50A34&quot;/&gt;&lt;wsp:rsid wsp:val=&quot;00D53EFA&quot;/&gt;&lt;wsp:rsid wsp:val=&quot;00D83B2F&quot;/&gt;&lt;wsp:rsid wsp:val=&quot;00D92D5C&quot;/&gt;&lt;wsp:rsid wsp:val=&quot;00D94A7C&quot;/&gt;&lt;wsp:rsid wsp:val=&quot;00D95896&quot;/&gt;&lt;wsp:rsid wsp:val=&quot;00DB2983&quot;/&gt;&lt;wsp:rsid wsp:val=&quot;00DC1257&quot;/&gt;&lt;wsp:rsid wsp:val=&quot;00DC3DC0&quot;/&gt;&lt;wsp:rsid wsp:val=&quot;00DC5B2B&quot;/&gt;&lt;wsp:rsid wsp:val=&quot;00DD318D&quot;/&gt;&lt;wsp:rsid wsp:val=&quot;00DD36CB&quot;/&gt;&lt;wsp:rsid wsp:val=&quot;00DD7B97&quot;/&gt;&lt;wsp:rsid wsp:val=&quot;00DE58CB&quot;/&gt;&lt;wsp:rsid wsp:val=&quot;00DF2E12&quot;/&gt;&lt;wsp:rsid wsp:val=&quot;00DF514A&quot;/&gt;&lt;wsp:rsid wsp:val=&quot;00DF6690&quot;/&gt;&lt;wsp:rsid wsp:val=&quot;00DF6804&quot;/&gt;&lt;wsp:rsid wsp:val=&quot;00E0358D&quot;/&gt;&lt;wsp:rsid wsp:val=&quot;00E04323&quot;/&gt;&lt;wsp:rsid wsp:val=&quot;00E070A2&quot;/&gt;&lt;wsp:rsid wsp:val=&quot;00E2656A&quot;/&gt;&lt;wsp:rsid wsp:val=&quot;00E412D0&quot;/&gt;&lt;wsp:rsid wsp:val=&quot;00E4208C&quot;/&gt;&lt;wsp:rsid wsp:val=&quot;00E56322&quot;/&gt;&lt;wsp:rsid wsp:val=&quot;00E60982&quot;/&gt;&lt;wsp:rsid wsp:val=&quot;00E62C62&quot;/&gt;&lt;wsp:rsid wsp:val=&quot;00E654C1&quot;/&gt;&lt;wsp:rsid wsp:val=&quot;00E65D97&quot;/&gt;&lt;wsp:rsid wsp:val=&quot;00E72A5A&quot;/&gt;&lt;wsp:rsid wsp:val=&quot;00E73354&quot;/&gt;&lt;wsp:rsid wsp:val=&quot;00E9242D&quot;/&gt;&lt;wsp:rsid wsp:val=&quot;00EB5255&quot;/&gt;&lt;wsp:rsid wsp:val=&quot;00EB5C47&quot;/&gt;&lt;wsp:rsid wsp:val=&quot;00ED0639&quot;/&gt;&lt;wsp:rsid wsp:val=&quot;00ED4113&quot;/&gt;&lt;wsp:rsid wsp:val=&quot;00EE0B1A&quot;/&gt;&lt;wsp:rsid wsp:val=&quot;00EF4755&quot;/&gt;&lt;wsp:rsid wsp:val=&quot;00EF7135&quot;/&gt;&lt;wsp:rsid wsp:val=&quot;00F027DB&quot;/&gt;&lt;wsp:rsid wsp:val=&quot;00F047EE&quot;/&gt;&lt;wsp:rsid wsp:val=&quot;00F14A7A&quot;/&gt;&lt;wsp:rsid wsp:val=&quot;00F22985&quot;/&gt;&lt;wsp:rsid wsp:val=&quot;00F3383E&quot;/&gt;&lt;wsp:rsid wsp:val=&quot;00F415DA&quot;/&gt;&lt;wsp:rsid wsp:val=&quot;00F465A7&quot;/&gt;&lt;wsp:rsid wsp:val=&quot;00F47691&quot;/&gt;&lt;wsp:rsid wsp:val=&quot;00F50B7C&quot;/&gt;&lt;wsp:rsid wsp:val=&quot;00F550E6&quot;/&gt;&lt;wsp:rsid wsp:val=&quot;00F74345&quot;/&gt;&lt;wsp:rsid wsp:val=&quot;00F751E3&quot;/&gt;&lt;wsp:rsid wsp:val=&quot;00F80A0A&quot;/&gt;&lt;wsp:rsid wsp:val=&quot;00F82B19&quot;/&gt;&lt;wsp:rsid wsp:val=&quot;00F9212D&quot;/&gt;&lt;wsp:rsid wsp:val=&quot;00F965DA&quot;/&gt;&lt;wsp:rsid wsp:val=&quot;00FA406A&quot;/&gt;&lt;wsp:rsid wsp:val=&quot;00FB4BE9&quot;/&gt;&lt;wsp:rsid wsp:val=&quot;00FB503A&quot;/&gt;&lt;wsp:rsid wsp:val=&quot;00FB516C&quot;/&gt;&lt;wsp:rsid wsp:val=&quot;00FC5C13&quot;/&gt;&lt;wsp:rsid wsp:val=&quot;00FD0236&quot;/&gt;&lt;wsp:rsid wsp:val=&quot;00FD18F4&quot;/&gt;&lt;wsp:rsid wsp:val=&quot;00FD54DB&quot;/&gt;&lt;wsp:rsid wsp:val=&quot;00FD619F&quot;/&gt;&lt;wsp:rsid wsp:val=&quot;00FF20BC&quot;/&gt;&lt;wsp:rsid wsp:val=&quot;01290F7E&quot;/&gt;&lt;wsp:rsid wsp:val=&quot;015D1E09&quot;/&gt;&lt;wsp:rsid wsp:val=&quot;01E87118&quot;/&gt;&lt;wsp:rsid wsp:val=&quot;0218552F&quot;/&gt;&lt;wsp:rsid wsp:val=&quot;025361AE&quot;/&gt;&lt;wsp:rsid wsp:val=&quot;02697903&quot;/&gt;&lt;wsp:rsid wsp:val=&quot;02F96569&quot;/&gt;&lt;wsp:rsid wsp:val=&quot;037A0D1E&quot;/&gt;&lt;wsp:rsid wsp:val=&quot;039A1FC0&quot;/&gt;&lt;wsp:rsid wsp:val=&quot;03C03384&quot;/&gt;&lt;wsp:rsid wsp:val=&quot;03EA7B21&quot;/&gt;&lt;wsp:rsid wsp:val=&quot;04567FC7&quot;/&gt;&lt;wsp:rsid wsp:val=&quot;04642EFB&quot;/&gt;&lt;wsp:rsid wsp:val=&quot;048B1812&quot;/&gt;&lt;wsp:rsid wsp:val=&quot;04907E86&quot;/&gt;&lt;wsp:rsid wsp:val=&quot;054F0F59&quot;/&gt;&lt;wsp:rsid wsp:val=&quot;056C36CA&quot;/&gt;&lt;wsp:rsid wsp:val=&quot;059A5307&quot;/&gt;&lt;wsp:rsid wsp:val=&quot;05CB22B8&quot;/&gt;&lt;wsp:rsid wsp:val=&quot;05E21B0A&quot;/&gt;&lt;wsp:rsid wsp:val=&quot;05F83EAE&quot;/&gt;&lt;wsp:rsid wsp:val=&quot;063E7D85&quot;/&gt;&lt;wsp:rsid wsp:val=&quot;06613FB4&quot;/&gt;&lt;wsp:rsid wsp:val=&quot;06B36009&quot;/&gt;&lt;wsp:rsid wsp:val=&quot;06C471E4&quot;/&gt;&lt;wsp:rsid wsp:val=&quot;06CC630A&quot;/&gt;&lt;wsp:rsid wsp:val=&quot;07023993&quot;/&gt;&lt;wsp:rsid wsp:val=&quot;07293586&quot;/&gt;&lt;wsp:rsid wsp:val=&quot;07295285&quot;/&gt;&lt;wsp:rsid wsp:val=&quot;074053AA&quot;/&gt;&lt;wsp:rsid wsp:val=&quot;07636392&quot;/&gt;&lt;wsp:rsid wsp:val=&quot;07770C56&quot;/&gt;&lt;wsp:rsid wsp:val=&quot;07CC2DE3&quot;/&gt;&lt;wsp:rsid wsp:val=&quot;080F5E3B&quot;/&gt;&lt;wsp:rsid wsp:val=&quot;0818196E&quot;/&gt;&lt;wsp:rsid wsp:val=&quot;087152CF&quot;/&gt;&lt;wsp:rsid wsp:val=&quot;092217DD&quot;/&gt;&lt;wsp:rsid wsp:val=&quot;09342E0D&quot;/&gt;&lt;wsp:rsid wsp:val=&quot;0934383A&quot;/&gt;&lt;wsp:rsid wsp:val=&quot;093A7294&quot;/&gt;&lt;wsp:rsid wsp:val=&quot;09893F4C&quot;/&gt;&lt;wsp:rsid wsp:val=&quot;09D62FEF&quot;/&gt;&lt;wsp:rsid wsp:val=&quot;09E035A2&quot;/&gt;&lt;wsp:rsid wsp:val=&quot;09E203D4&quot;/&gt;&lt;wsp:rsid wsp:val=&quot;0A105D5F&quot;/&gt;&lt;wsp:rsid wsp:val=&quot;0A263993&quot;/&gt;&lt;wsp:rsid wsp:val=&quot;0A2D3AC2&quot;/&gt;&lt;wsp:rsid wsp:val=&quot;0A70257D&quot;/&gt;&lt;wsp:rsid wsp:val=&quot;0A8B1CA2&quot;/&gt;&lt;wsp:rsid wsp:val=&quot;0AA755DF&quot;/&gt;&lt;wsp:rsid wsp:val=&quot;0AC64AD7&quot;/&gt;&lt;wsp:rsid wsp:val=&quot;0AF42E58&quot;/&gt;&lt;wsp:rsid wsp:val=&quot;0B0E0708&quot;/&gt;&lt;wsp:rsid wsp:val=&quot;0B0E5950&quot;/&gt;&lt;wsp:rsid wsp:val=&quot;0B120D44&quot;/&gt;&lt;wsp:rsid wsp:val=&quot;0B6C2CB7&quot;/&gt;&lt;wsp:rsid wsp:val=&quot;0BD27BF6&quot;/&gt;&lt;wsp:rsid wsp:val=&quot;0BE44814&quot;/&gt;&lt;wsp:rsid wsp:val=&quot;0C1C4A8B&quot;/&gt;&lt;wsp:rsid wsp:val=&quot;0C3B3C7D&quot;/&gt;&lt;wsp:rsid wsp:val=&quot;0C586940&quot;/&gt;&lt;wsp:rsid wsp:val=&quot;0CAB2EAE&quot;/&gt;&lt;wsp:rsid wsp:val=&quot;0CBC6728&quot;/&gt;&lt;wsp:rsid wsp:val=&quot;0CD61310&quot;/&gt;&lt;wsp:rsid wsp:val=&quot;0D0575D5&quot;/&gt;&lt;wsp:rsid wsp:val=&quot;0D621C7D&quot;/&gt;&lt;wsp:rsid wsp:val=&quot;0DA30E9A&quot;/&gt;&lt;wsp:rsid wsp:val=&quot;0E1F3E0E&quot;/&gt;&lt;wsp:rsid wsp:val=&quot;0E234BDE&quot;/&gt;&lt;wsp:rsid wsp:val=&quot;0E573683&quot;/&gt;&lt;wsp:rsid wsp:val=&quot;0E73034D&quot;/&gt;&lt;wsp:rsid wsp:val=&quot;0E7865F4&quot;/&gt;&lt;wsp:rsid wsp:val=&quot;0E927F36&quot;/&gt;&lt;wsp:rsid wsp:val=&quot;0EBF51C2&quot;/&gt;&lt;wsp:rsid wsp:val=&quot;0F13775A&quot;/&gt;&lt;wsp:rsid wsp:val=&quot;0F19589C&quot;/&gt;&lt;wsp:rsid wsp:val=&quot;0F3B63B4&quot;/&gt;&lt;wsp:rsid wsp:val=&quot;0F5F45FE&quot;/&gt;&lt;wsp:rsid wsp:val=&quot;0F9A112B&quot;/&gt;&lt;wsp:rsid wsp:val=&quot;104064BB&quot;/&gt;&lt;wsp:rsid wsp:val=&quot;106D2F64&quot;/&gt;&lt;wsp:rsid wsp:val=&quot;108A53B2&quot;/&gt;&lt;wsp:rsid wsp:val=&quot;10B63710&quot;/&gt;&lt;wsp:rsid wsp:val=&quot;10F10820&quot;/&gt;&lt;wsp:rsid wsp:val=&quot;111605EC&quot;/&gt;&lt;wsp:rsid wsp:val=&quot;111C2F7A&quot;/&gt;&lt;wsp:rsid wsp:val=&quot;11665CA1&quot;/&gt;&lt;wsp:rsid wsp:val=&quot;11772A66&quot;/&gt;&lt;wsp:rsid wsp:val=&quot;11C01443&quot;/&gt;&lt;wsp:rsid wsp:val=&quot;120F5AE3&quot;/&gt;&lt;wsp:rsid wsp:val=&quot;123C3C07&quot;/&gt;&lt;wsp:rsid wsp:val=&quot;1279626B&quot;/&gt;&lt;wsp:rsid wsp:val=&quot;12871A45&quot;/&gt;&lt;wsp:rsid wsp:val=&quot;12C12E2C&quot;/&gt;&lt;wsp:rsid wsp:val=&quot;12FD48CE&quot;/&gt;&lt;wsp:rsid wsp:val=&quot;13951726&quot;/&gt;&lt;wsp:rsid wsp:val=&quot;143320C1&quot;/&gt;&lt;wsp:rsid wsp:val=&quot;14396509&quot;/&gt;&lt;wsp:rsid wsp:val=&quot;14DD2C3C&quot;/&gt;&lt;wsp:rsid wsp:val=&quot;14E16BE7&quot;/&gt;&lt;wsp:rsid wsp:val=&quot;15A11F3B&quot;/&gt;&lt;wsp:rsid wsp:val=&quot;15E67E0E&quot;/&gt;&lt;wsp:rsid wsp:val=&quot;16087E1D&quot;/&gt;&lt;wsp:rsid wsp:val=&quot;16CA4982&quot;/&gt;&lt;wsp:rsid wsp:val=&quot;16D16777&quot;/&gt;&lt;wsp:rsid wsp:val=&quot;1726002F&quot;/&gt;&lt;wsp:rsid wsp:val=&quot;17271A20&quot;/&gt;&lt;wsp:rsid wsp:val=&quot;17545C0C&quot;/&gt;&lt;wsp:rsid wsp:val=&quot;17701D14&quot;/&gt;&lt;wsp:rsid wsp:val=&quot;17735226&quot;/&gt;&lt;wsp:rsid wsp:val=&quot;17EE3F4E&quot;/&gt;&lt;wsp:rsid wsp:val=&quot;187A33BE&quot;/&gt;&lt;wsp:rsid wsp:val=&quot;189F624C&quot;/&gt;&lt;wsp:rsid wsp:val=&quot;192640DD&quot;/&gt;&lt;wsp:rsid wsp:val=&quot;19626972&quot;/&gt;&lt;wsp:rsid wsp:val=&quot;1A1C66C0&quot;/&gt;&lt;wsp:rsid wsp:val=&quot;1A402445&quot;/&gt;&lt;wsp:rsid wsp:val=&quot;1A42393B&quot;/&gt;&lt;wsp:rsid wsp:val=&quot;1A4D4D07&quot;/&gt;&lt;wsp:rsid wsp:val=&quot;1A866206&quot;/&gt;&lt;wsp:rsid wsp:val=&quot;1AAD45DE&quot;/&gt;&lt;wsp:rsid wsp:val=&quot;1B046F80&quot;/&gt;&lt;wsp:rsid wsp:val=&quot;1B2E4CF7&quot;/&gt;&lt;wsp:rsid wsp:val=&quot;1B3267B5&quot;/&gt;&lt;wsp:rsid wsp:val=&quot;1B40161D&quot;/&gt;&lt;wsp:rsid wsp:val=&quot;1B4021C6&quot;/&gt;&lt;wsp:rsid wsp:val=&quot;1B441859&quot;/&gt;&lt;wsp:rsid wsp:val=&quot;1B510FC3&quot;/&gt;&lt;wsp:rsid wsp:val=&quot;1B563749&quot;/&gt;&lt;wsp:rsid wsp:val=&quot;1B5B6495&quot;/&gt;&lt;wsp:rsid wsp:val=&quot;1B6606B1&quot;/&gt;&lt;wsp:rsid wsp:val=&quot;1B824D88&quot;/&gt;&lt;wsp:rsid wsp:val=&quot;1B8A7C8B&quot;/&gt;&lt;wsp:rsid wsp:val=&quot;1C176EFB&quot;/&gt;&lt;wsp:rsid wsp:val=&quot;1C5E7925&quot;/&gt;&lt;wsp:rsid wsp:val=&quot;1C6C3AC3&quot;/&gt;&lt;wsp:rsid wsp:val=&quot;1C8938FF&quot;/&gt;&lt;wsp:rsid wsp:val=&quot;1CBD236E&quot;/&gt;&lt;wsp:rsid wsp:val=&quot;1CFD070F&quot;/&gt;&lt;wsp:rsid wsp:val=&quot;1D155248&quot;/&gt;&lt;wsp:rsid wsp:val=&quot;1D2C7FD9&quot;/&gt;&lt;wsp:rsid wsp:val=&quot;1D5F6196&quot;/&gt;&lt;wsp:rsid wsp:val=&quot;1D6132A5&quot;/&gt;&lt;wsp:rsid wsp:val=&quot;1D8E56D5&quot;/&gt;&lt;wsp:rsid wsp:val=&quot;1DE751F7&quot;/&gt;&lt;wsp:rsid wsp:val=&quot;1E7A43DA&quot;/&gt;&lt;wsp:rsid wsp:val=&quot;1F6B2DBC&quot;/&gt;&lt;wsp:rsid wsp:val=&quot;1FE7539E&quot;/&gt;&lt;wsp:rsid wsp:val=&quot;20671BE0&quot;/&gt;&lt;wsp:rsid wsp:val=&quot;20963CB8&quot;/&gt;&lt;wsp:rsid wsp:val=&quot;20A81A1B&quot;/&gt;&lt;wsp:rsid wsp:val=&quot;20B07FB6&quot;/&gt;&lt;wsp:rsid wsp:val=&quot;20B646FB&quot;/&gt;&lt;wsp:rsid wsp:val=&quot;21387DBA&quot;/&gt;&lt;wsp:rsid wsp:val=&quot;213B74B1&quot;/&gt;&lt;wsp:rsid wsp:val=&quot;213F54F3&quot;/&gt;&lt;wsp:rsid wsp:val=&quot;215A2310&quot;/&gt;&lt;wsp:rsid wsp:val=&quot;216C0E52&quot;/&gt;&lt;wsp:rsid wsp:val=&quot;21CA2ECA&quot;/&gt;&lt;wsp:rsid wsp:val=&quot;21DE318A&quot;/&gt;&lt;wsp:rsid wsp:val=&quot;21EF5B80&quot;/&gt;&lt;wsp:rsid wsp:val=&quot;22576990&quot;/&gt;&lt;wsp:rsid wsp:val=&quot;22622EFD&quot;/&gt;&lt;wsp:rsid wsp:val=&quot;227463C6&quot;/&gt;&lt;wsp:rsid wsp:val=&quot;22F47480&quot;/&gt;&lt;wsp:rsid wsp:val=&quot;23527940&quot;/&gt;&lt;wsp:rsid wsp:val=&quot;23600250&quot;/&gt;&lt;wsp:rsid wsp:val=&quot;23DE1C48&quot;/&gt;&lt;wsp:rsid wsp:val=&quot;23FB6F41&quot;/&gt;&lt;wsp:rsid wsp:val=&quot;240160E8&quot;/&gt;&lt;wsp:rsid wsp:val=&quot;240210CD&quot;/&gt;&lt;wsp:rsid wsp:val=&quot;24BF09F7&quot;/&gt;&lt;wsp:rsid wsp:val=&quot;252D53FE&quot;/&gt;&lt;wsp:rsid wsp:val=&quot;254566B7&quot;/&gt;&lt;wsp:rsid wsp:val=&quot;25691E44&quot;/&gt;&lt;wsp:rsid wsp:val=&quot;25B1762D&quot;/&gt;&lt;wsp:rsid wsp:val=&quot;25EC2D81&quot;/&gt;&lt;wsp:rsid wsp:val=&quot;260F4F75&quot;/&gt;&lt;wsp:rsid wsp:val=&quot;26462A5F&quot;/&gt;&lt;wsp:rsid wsp:val=&quot;26F47ABA&quot;/&gt;&lt;wsp:rsid wsp:val=&quot;27032D45&quot;/&gt;&lt;wsp:rsid wsp:val=&quot;277057A2&quot;/&gt;&lt;wsp:rsid wsp:val=&quot;27904770&quot;/&gt;&lt;wsp:rsid wsp:val=&quot;27F54C9D&quot;/&gt;&lt;wsp:rsid wsp:val=&quot;288C0F7C&quot;/&gt;&lt;wsp:rsid wsp:val=&quot;28B44355&quot;/&gt;&lt;wsp:rsid wsp:val=&quot;28F5491F&quot;/&gt;&lt;wsp:rsid wsp:val=&quot;29032630&quot;/&gt;&lt;wsp:rsid wsp:val=&quot;29206EB8&quot;/&gt;&lt;wsp:rsid wsp:val=&quot;294C0E25&quot;/&gt;&lt;wsp:rsid wsp:val=&quot;29595666&quot;/&gt;&lt;wsp:rsid wsp:val=&quot;296A72A4&quot;/&gt;&lt;wsp:rsid wsp:val=&quot;29874881&quot;/&gt;&lt;wsp:rsid wsp:val=&quot;29AE7C0F&quot;/&gt;&lt;wsp:rsid wsp:val=&quot;29E325E0&quot;/&gt;&lt;wsp:rsid wsp:val=&quot;2A452503&quot;/&gt;&lt;wsp:rsid wsp:val=&quot;2A705676&quot;/&gt;&lt;wsp:rsid wsp:val=&quot;2AFC1CBF&quot;/&gt;&lt;wsp:rsid wsp:val=&quot;2B310F4C&quot;/&gt;&lt;wsp:rsid wsp:val=&quot;2BA936A8&quot;/&gt;&lt;wsp:rsid wsp:val=&quot;2BD1517F&quot;/&gt;&lt;wsp:rsid wsp:val=&quot;2BF229BE&quot;/&gt;&lt;wsp:rsid wsp:val=&quot;2C2E2B46&quot;/&gt;&lt;wsp:rsid wsp:val=&quot;2C315A5A&quot;/&gt;&lt;wsp:rsid wsp:val=&quot;2C331511&quot;/&gt;&lt;wsp:rsid wsp:val=&quot;2C371E9F&quot;/&gt;&lt;wsp:rsid wsp:val=&quot;2C4B1C25&quot;/&gt;&lt;wsp:rsid wsp:val=&quot;2CFC1A8F&quot;/&gt;&lt;wsp:rsid wsp:val=&quot;2D3155C9&quot;/&gt;&lt;wsp:rsid wsp:val=&quot;2D473B57&quot;/&gt;&lt;wsp:rsid wsp:val=&quot;2D816CFF&quot;/&gt;&lt;wsp:rsid wsp:val=&quot;2D8C7779&quot;/&gt;&lt;wsp:rsid wsp:val=&quot;2D9E56F5&quot;/&gt;&lt;wsp:rsid wsp:val=&quot;2E641899&quot;/&gt;&lt;wsp:rsid wsp:val=&quot;2E667F96&quot;/&gt;&lt;wsp:rsid wsp:val=&quot;2E8226AB&quot;/&gt;&lt;wsp:rsid wsp:val=&quot;2E9459BC&quot;/&gt;&lt;wsp:rsid wsp:val=&quot;2EC25C3B&quot;/&gt;&lt;wsp:rsid wsp:val=&quot;2EF32135&quot;/&gt;&lt;wsp:rsid wsp:val=&quot;2F29510F&quot;/&gt;&lt;wsp:rsid wsp:val=&quot;2FAA4B64&quot;/&gt;&lt;wsp:rsid wsp:val=&quot;2FC63BC7&quot;/&gt;&lt;wsp:rsid wsp:val=&quot;2FD065E6&quot;/&gt;&lt;wsp:rsid wsp:val=&quot;2FD96870&quot;/&gt;&lt;wsp:rsid wsp:val=&quot;303F6918&quot;/&gt;&lt;wsp:rsid wsp:val=&quot;304D3E0A&quot;/&gt;&lt;wsp:rsid wsp:val=&quot;30580BC9&quot;/&gt;&lt;wsp:rsid wsp:val=&quot;311E2ED7&quot;/&gt;&lt;wsp:rsid wsp:val=&quot;315619EE&quot;/&gt;&lt;wsp:rsid wsp:val=&quot;315C449C&quot;/&gt;&lt;wsp:rsid wsp:val=&quot;31B82709&quot;/&gt;&lt;wsp:rsid wsp:val=&quot;31D05482&quot;/&gt;&lt;wsp:rsid wsp:val=&quot;31E838BD&quot;/&gt;&lt;wsp:rsid wsp:val=&quot;320046C2&quot;/&gt;&lt;wsp:rsid wsp:val=&quot;32176BC6&quot;/&gt;&lt;wsp:rsid wsp:val=&quot;32285FED&quot;/&gt;&lt;wsp:rsid wsp:val=&quot;32400B34&quot;/&gt;&lt;wsp:rsid wsp:val=&quot;32487CC9&quot;/&gt;&lt;wsp:rsid wsp:val=&quot;32990C4B&quot;/&gt;&lt;wsp:rsid wsp:val=&quot;329E6876&quot;/&gt;&lt;wsp:rsid wsp:val=&quot;32A24394&quot;/&gt;&lt;wsp:rsid wsp:val=&quot;32B253BA&quot;/&gt;&lt;wsp:rsid wsp:val=&quot;32F41CDA&quot;/&gt;&lt;wsp:rsid wsp:val=&quot;333015F2&quot;/&gt;&lt;wsp:rsid wsp:val=&quot;334B6320&quot;/&gt;&lt;wsp:rsid wsp:val=&quot;33D934D4&quot;/&gt;&lt;wsp:rsid wsp:val=&quot;33FE2F6A&quot;/&gt;&lt;wsp:rsid wsp:val=&quot;340E07E5&quot;/&gt;&lt;wsp:rsid wsp:val=&quot;340E7385&quot;/&gt;&lt;wsp:rsid wsp:val=&quot;34235BF7&quot;/&gt;&lt;wsp:rsid wsp:val=&quot;35804B08&quot;/&gt;&lt;wsp:rsid wsp:val=&quot;358C5FA8&quot;/&gt;&lt;wsp:rsid wsp:val=&quot;35C15DF1&quot;/&gt;&lt;wsp:rsid wsp:val=&quot;35C3307A&quot;/&gt;&lt;wsp:rsid wsp:val=&quot;36074A7F&quot;/&gt;&lt;wsp:rsid wsp:val=&quot;363061D5&quot;/&gt;&lt;wsp:rsid wsp:val=&quot;36923549&quot;/&gt;&lt;wsp:rsid wsp:val=&quot;369A386C&quot;/&gt;&lt;wsp:rsid wsp:val=&quot;36B75FBF&quot;/&gt;&lt;wsp:rsid wsp:val=&quot;36BD0C45&quot;/&gt;&lt;wsp:rsid wsp:val=&quot;370D3562&quot;/&gt;&lt;wsp:rsid wsp:val=&quot;37E00298&quot;/&gt;&lt;wsp:rsid wsp:val=&quot;38B302F9&quot;/&gt;&lt;wsp:rsid wsp:val=&quot;38E210B2&quot;/&gt;&lt;wsp:rsid wsp:val=&quot;38F12CD3&quot;/&gt;&lt;wsp:rsid wsp:val=&quot;38F94775&quot;/&gt;&lt;wsp:rsid wsp:val=&quot;38FD2FD2&quot;/&gt;&lt;wsp:rsid wsp:val=&quot;38FF1793&quot;/&gt;&lt;wsp:rsid wsp:val=&quot;39013433&quot;/&gt;&lt;wsp:rsid wsp:val=&quot;392971ED&quot;/&gt;&lt;wsp:rsid wsp:val=&quot;39325651&quot;/&gt;&lt;wsp:rsid wsp:val=&quot;398B744E&quot;/&gt;&lt;wsp:rsid wsp:val=&quot;399D5F12&quot;/&gt;&lt;wsp:rsid wsp:val=&quot;39CB2FBF&quot;/&gt;&lt;wsp:rsid wsp:val=&quot;3A4670B5&quot;/&gt;&lt;wsp:rsid wsp:val=&quot;3A872856&quot;/&gt;&lt;wsp:rsid wsp:val=&quot;3AFA4CAF&quot;/&gt;&lt;wsp:rsid wsp:val=&quot;3B3763D1&quot;/&gt;&lt;wsp:rsid wsp:val=&quot;3B3D2F93&quot;/&gt;&lt;wsp:rsid wsp:val=&quot;3C2F6E1E&quot;/&gt;&lt;wsp:rsid wsp:val=&quot;3C3C31E8&quot;/&gt;&lt;wsp:rsid wsp:val=&quot;3C4F64BA&quot;/&gt;&lt;wsp:rsid wsp:val=&quot;3CA56B60&quot;/&gt;&lt;wsp:rsid wsp:val=&quot;3CDA245A&quot;/&gt;&lt;wsp:rsid wsp:val=&quot;3D1E06B7&quot;/&gt;&lt;wsp:rsid wsp:val=&quot;3DB043C0&quot;/&gt;&lt;wsp:rsid wsp:val=&quot;3DEF79C7&quot;/&gt;&lt;wsp:rsid wsp:val=&quot;3E144AB4&quot;/&gt;&lt;wsp:rsid wsp:val=&quot;3E7E4657&quot;/&gt;&lt;wsp:rsid wsp:val=&quot;3E991470&quot;/&gt;&lt;wsp:rsid wsp:val=&quot;3EDA0523&quot;/&gt;&lt;wsp:rsid wsp:val=&quot;3EF84CDF&quot;/&gt;&lt;wsp:rsid wsp:val=&quot;3F1D06AA&quot;/&gt;&lt;wsp:rsid wsp:val=&quot;3F546392&quot;/&gt;&lt;wsp:rsid wsp:val=&quot;3FC92E0A&quot;/&gt;&lt;wsp:rsid wsp:val=&quot;40383A65&quot;/&gt;&lt;wsp:rsid wsp:val=&quot;407A6407&quot;/&gt;&lt;wsp:rsid wsp:val=&quot;41684E1C&quot;/&gt;&lt;wsp:rsid wsp:val=&quot;416D1BFB&quot;/&gt;&lt;wsp:rsid wsp:val=&quot;4200449D&quot;/&gt;&lt;wsp:rsid wsp:val=&quot;423A3BCC&quot;/&gt;&lt;wsp:rsid wsp:val=&quot;424E57D2&quot;/&gt;&lt;wsp:rsid wsp:val=&quot;42757DB3&quot;/&gt;&lt;wsp:rsid wsp:val=&quot;42A26C2F&quot;/&gt;&lt;wsp:rsid wsp:val=&quot;42B26C49&quot;/&gt;&lt;wsp:rsid wsp:val=&quot;42FA2AB5&quot;/&gt;&lt;wsp:rsid wsp:val=&quot;433A6FE6&quot;/&gt;&lt;wsp:rsid wsp:val=&quot;433D64FA&quot;/&gt;&lt;wsp:rsid wsp:val=&quot;43480868&quot;/&gt;&lt;wsp:rsid wsp:val=&quot;4350713C&quot;/&gt;&lt;wsp:rsid wsp:val=&quot;435962BD&quot;/&gt;&lt;wsp:rsid wsp:val=&quot;436653E0&quot;/&gt;&lt;wsp:rsid wsp:val=&quot;43B10158&quot;/&gt;&lt;wsp:rsid wsp:val=&quot;43B34117&quot;/&gt;&lt;wsp:rsid wsp:val=&quot;43C4431A&quot;/&gt;&lt;wsp:rsid wsp:val=&quot;44265840&quot;/&gt;&lt;wsp:rsid wsp:val=&quot;44540DDC&quot;/&gt;&lt;wsp:rsid wsp:val=&quot;44B537D0&quot;/&gt;&lt;wsp:rsid wsp:val=&quot;44B951CC&quot;/&gt;&lt;wsp:rsid wsp:val=&quot;44C83FFA&quot;/&gt;&lt;wsp:rsid wsp:val=&quot;44CD14E0&quot;/&gt;&lt;wsp:rsid wsp:val=&quot;44F20B0B&quot;/&gt;&lt;wsp:rsid wsp:val=&quot;452E5F4C&quot;/&gt;&lt;wsp:rsid wsp:val=&quot;45612018&quot;/&gt;&lt;wsp:rsid wsp:val=&quot;45715A90&quot;/&gt;&lt;wsp:rsid wsp:val=&quot;458946E9&quot;/&gt;&lt;wsp:rsid wsp:val=&quot;45A47C0E&quot;/&gt;&lt;wsp:rsid wsp:val=&quot;45EA1B26&quot;/&gt;&lt;wsp:rsid wsp:val=&quot;46100E71&quot;/&gt;&lt;wsp:rsid wsp:val=&quot;462E76DF&quot;/&gt;&lt;wsp:rsid wsp:val=&quot;464A7373&quot;/&gt;&lt;wsp:rsid wsp:val=&quot;46577FD6&quot;/&gt;&lt;wsp:rsid wsp:val=&quot;46D955A7&quot;/&gt;&lt;wsp:rsid wsp:val=&quot;46E65CFB&quot;/&gt;&lt;wsp:rsid wsp:val=&quot;47133957&quot;/&gt;&lt;wsp:rsid wsp:val=&quot;476D03CA&quot;/&gt;&lt;wsp:rsid wsp:val=&quot;476D10A2&quot;/&gt;&lt;wsp:rsid wsp:val=&quot;47A07E0C&quot;/&gt;&lt;wsp:rsid wsp:val=&quot;47AC2656&quot;/&gt;&lt;wsp:rsid wsp:val=&quot;47E66256&quot;/&gt;&lt;wsp:rsid wsp:val=&quot;4870272E&quot;/&gt;&lt;wsp:rsid wsp:val=&quot;48821C16&quot;/&gt;&lt;wsp:rsid wsp:val=&quot;48930938&quot;/&gt;&lt;wsp:rsid wsp:val=&quot;489370E2&quot;/&gt;&lt;wsp:rsid wsp:val=&quot;48C02DEC&quot;/&gt;&lt;wsp:rsid wsp:val=&quot;493F7844&quot;/&gt;&lt;wsp:rsid wsp:val=&quot;49C634A9&quot;/&gt;&lt;wsp:rsid wsp:val=&quot;49D031AF&quot;/&gt;&lt;wsp:rsid wsp:val=&quot;49DC7715&quot;/&gt;&lt;wsp:rsid wsp:val=&quot;4A023139&quot;/&gt;&lt;wsp:rsid wsp:val=&quot;4A505359&quot;/&gt;&lt;wsp:rsid wsp:val=&quot;4A7B576F&quot;/&gt;&lt;wsp:rsid wsp:val=&quot;4AF561A9&quot;/&gt;&lt;wsp:rsid wsp:val=&quot;4C45370E&quot;/&gt;&lt;wsp:rsid wsp:val=&quot;4C4A0649&quot;/&gt;&lt;wsp:rsid wsp:val=&quot;4C5C47F8&quot;/&gt;&lt;wsp:rsid wsp:val=&quot;4C7E5ECA&quot;/&gt;&lt;wsp:rsid wsp:val=&quot;4C876AA5&quot;/&gt;&lt;wsp:rsid wsp:val=&quot;4CA44B8F&quot;/&gt;&lt;wsp:rsid wsp:val=&quot;4CBE21F7&quot;/&gt;&lt;wsp:rsid wsp:val=&quot;4CED0BE3&quot;/&gt;&lt;wsp:rsid wsp:val=&quot;4D0E00FB&quot;/&gt;&lt;wsp:rsid wsp:val=&quot;4D176606&quot;/&gt;&lt;wsp:rsid wsp:val=&quot;4D214C67&quot;/&gt;&lt;wsp:rsid wsp:val=&quot;4DEC4FB0&quot;/&gt;&lt;wsp:rsid wsp:val=&quot;4E075D8A&quot;/&gt;&lt;wsp:rsid wsp:val=&quot;4EBC7AB1&quot;/&gt;&lt;wsp:rsid wsp:val=&quot;4EC00FAD&quot;/&gt;&lt;wsp:rsid wsp:val=&quot;4F0E040F&quot;/&gt;&lt;wsp:rsid wsp:val=&quot;4F9843DC&quot;/&gt;&lt;wsp:rsid wsp:val=&quot;4FA34CA0&quot;/&gt;&lt;wsp:rsid wsp:val=&quot;4FBA00C1&quot;/&gt;&lt;wsp:rsid wsp:val=&quot;4FC62A8C&quot;/&gt;&lt;wsp:rsid wsp:val=&quot;4FE20F0D&quot;/&gt;&lt;wsp:rsid wsp:val=&quot;4FE51552&quot;/&gt;&lt;wsp:rsid wsp:val=&quot;501B02F3&quot;/&gt;&lt;wsp:rsid wsp:val=&quot;50504C4B&quot;/&gt;&lt;wsp:rsid wsp:val=&quot;509C6E7C&quot;/&gt;&lt;wsp:rsid wsp:val=&quot;509E53F3&quot;/&gt;&lt;wsp:rsid wsp:val=&quot;51165A18&quot;/&gt;&lt;wsp:rsid wsp:val=&quot;51453215&quot;/&gt;&lt;wsp:rsid wsp:val=&quot;51475BCA&quot;/&gt;&lt;wsp:rsid wsp:val=&quot;5162104E&quot;/&gt;&lt;wsp:rsid wsp:val=&quot;5199753B&quot;/&gt;&lt;wsp:rsid wsp:val=&quot;51B2280A&quot;/&gt;&lt;wsp:rsid wsp:val=&quot;52151F1E&quot;/&gt;&lt;wsp:rsid wsp:val=&quot;522F6979&quot;/&gt;&lt;wsp:rsid wsp:val=&quot;52630848&quot;/&gt;&lt;wsp:rsid wsp:val=&quot;52A700EA&quot;/&gt;&lt;wsp:rsid wsp:val=&quot;532335FF&quot;/&gt;&lt;wsp:rsid wsp:val=&quot;53662188&quot;/&gt;&lt;wsp:rsid wsp:val=&quot;53A039CC&quot;/&gt;&lt;wsp:rsid wsp:val=&quot;53A1505A&quot;/&gt;&lt;wsp:rsid wsp:val=&quot;54063E08&quot;/&gt;&lt;wsp:rsid wsp:val=&quot;540B2DA8&quot;/&gt;&lt;wsp:rsid wsp:val=&quot;54107FD8&quot;/&gt;&lt;wsp:rsid wsp:val=&quot;54316065&quot;/&gt;&lt;wsp:rsid wsp:val=&quot;543437E8&quot;/&gt;&lt;wsp:rsid wsp:val=&quot;54F73313&quot;/&gt;&lt;wsp:rsid wsp:val=&quot;54F80955&quot;/&gt;&lt;wsp:rsid wsp:val=&quot;550453E9&quot;/&gt;&lt;wsp:rsid wsp:val=&quot;555144CA&quot;/&gt;&lt;wsp:rsid wsp:val=&quot;555170A7&quot;/&gt;&lt;wsp:rsid wsp:val=&quot;55647FBB&quot;/&gt;&lt;wsp:rsid wsp:val=&quot;557A08E3&quot;/&gt;&lt;wsp:rsid wsp:val=&quot;55801176&quot;/&gt;&lt;wsp:rsid wsp:val=&quot;5587536D&quot;/&gt;&lt;wsp:rsid wsp:val=&quot;559B174B&quot;/&gt;&lt;wsp:rsid wsp:val=&quot;559C7FD4&quot;/&gt;&lt;wsp:rsid wsp:val=&quot;55CE0CF4&quot;/&gt;&lt;wsp:rsid wsp:val=&quot;55E22FC9&quot;/&gt;&lt;wsp:rsid wsp:val=&quot;55F71F29&quot;/&gt;&lt;wsp:rsid wsp:val=&quot;56014AC9&quot;/&gt;&lt;wsp:rsid wsp:val=&quot;569D054D&quot;/&gt;&lt;wsp:rsid wsp:val=&quot;56B22A9C&quot;/&gt;&lt;wsp:rsid wsp:val=&quot;571F0A8A&quot;/&gt;&lt;wsp:rsid wsp:val=&quot;573065FF&quot;/&gt;&lt;wsp:rsid wsp:val=&quot;576D6DB8&quot;/&gt;&lt;wsp:rsid wsp:val=&quot;577500FA&quot;/&gt;&lt;wsp:rsid wsp:val=&quot;57B72A76&quot;/&gt;&lt;wsp:rsid wsp:val=&quot;57C3426C&quot;/&gt;&lt;wsp:rsid wsp:val=&quot;57CE1F93&quot;/&gt;&lt;wsp:rsid wsp:val=&quot;57D06F89&quot;/&gt;&lt;wsp:rsid wsp:val=&quot;57E31CC5&quot;/&gt;&lt;wsp:rsid wsp:val=&quot;585C345E&quot;/&gt;&lt;wsp:rsid wsp:val=&quot;588743D1&quot;/&gt;&lt;wsp:rsid wsp:val=&quot;5887701A&quot;/&gt;&lt;wsp:rsid wsp:val=&quot;58E510FA&quot;/&gt;&lt;wsp:rsid wsp:val=&quot;5953003B&quot;/&gt;&lt;wsp:rsid wsp:val=&quot;59C0439F&quot;/&gt;&lt;wsp:rsid wsp:val=&quot;5A1A3704&quot;/&gt;&lt;wsp:rsid wsp:val=&quot;5A426891&quot;/&gt;&lt;wsp:rsid wsp:val=&quot;5A666D5A&quot;/&gt;&lt;wsp:rsid wsp:val=&quot;5ABE2233&quot;/&gt;&lt;wsp:rsid wsp:val=&quot;5B653BED&quot;/&gt;&lt;wsp:rsid wsp:val=&quot;5B8B3CD5&quot;/&gt;&lt;wsp:rsid wsp:val=&quot;5B9318E1&quot;/&gt;&lt;wsp:rsid wsp:val=&quot;5B9D2CA7&quot;/&gt;&lt;wsp:rsid wsp:val=&quot;5BD5362F&quot;/&gt;&lt;wsp:rsid wsp:val=&quot;5BDF5D95&quot;/&gt;&lt;wsp:rsid wsp:val=&quot;5BFE7528&quot;/&gt;&lt;wsp:rsid wsp:val=&quot;5D0E538A&quot;/&gt;&lt;wsp:rsid wsp:val=&quot;5D2C2159&quot;/&gt;&lt;wsp:rsid wsp:val=&quot;5D3D3258&quot;/&gt;&lt;wsp:rsid wsp:val=&quot;5D7554B2&quot;/&gt;&lt;wsp:rsid wsp:val=&quot;5DB879D0&quot;/&gt;&lt;wsp:rsid wsp:val=&quot;5DCD1D16&quot;/&gt;&lt;wsp:rsid wsp:val=&quot;5DE3698D&quot;/&gt;&lt;wsp:rsid wsp:val=&quot;5E2467F1&quot;/&gt;&lt;wsp:rsid wsp:val=&quot;5E411833&quot;/&gt;&lt;wsp:rsid wsp:val=&quot;5F1A2B43&quot;/&gt;&lt;wsp:rsid wsp:val=&quot;5F1B274D&quot;/&gt;&lt;wsp:rsid wsp:val=&quot;5F481FAB&quot;/&gt;&lt;wsp:rsid wsp:val=&quot;5F8C7496&quot;/&gt;&lt;wsp:rsid wsp:val=&quot;5FB837BB&quot;/&gt;&lt;wsp:rsid wsp:val=&quot;60625073&quot;/&gt;&lt;wsp:rsid wsp:val=&quot;60CC405A&quot;/&gt;&lt;wsp:rsid wsp:val=&quot;61270AE7&quot;/&gt;&lt;wsp:rsid wsp:val=&quot;6133248A&quot;/&gt;&lt;wsp:rsid wsp:val=&quot;61B33961&quot;/&gt;&lt;wsp:rsid wsp:val=&quot;61C55830&quot;/&gt;&lt;wsp:rsid wsp:val=&quot;61E215D8&quot;/&gt;&lt;wsp:rsid wsp:val=&quot;621B3775&quot;/&gt;&lt;wsp:rsid wsp:val=&quot;62364782&quot;/&gt;&lt;wsp:rsid wsp:val=&quot;623E425F&quot;/&gt;&lt;wsp:rsid wsp:val=&quot;624D0DB3&quot;/&gt;&lt;wsp:rsid wsp:val=&quot;626F31C2&quot;/&gt;&lt;wsp:rsid wsp:val=&quot;62B465A8&quot;/&gt;&lt;wsp:rsid wsp:val=&quot;62C14CB5&quot;/&gt;&lt;wsp:rsid wsp:val=&quot;630E2CED&quot;/&gt;&lt;wsp:rsid wsp:val=&quot;634223EB&quot;/&gt;&lt;wsp:rsid wsp:val=&quot;6394356A&quot;/&gt;&lt;wsp:rsid wsp:val=&quot;63A460CF&quot;/&gt;&lt;wsp:rsid wsp:val=&quot;63A522B5&quot;/&gt;&lt;wsp:rsid wsp:val=&quot;63C61B2C&quot;/&gt;&lt;wsp:rsid wsp:val=&quot;63D40BE9&quot;/&gt;&lt;wsp:rsid wsp:val=&quot;63FE31B3&quot;/&gt;&lt;wsp:rsid wsp:val=&quot;64102431&quot;/&gt;&lt;wsp:rsid wsp:val=&quot;646A2992&quot;/&gt;&lt;wsp:rsid wsp:val=&quot;648268B2&quot;/&gt;&lt;wsp:rsid wsp:val=&quot;64A5243A&quot;/&gt;&lt;wsp:rsid wsp:val=&quot;64F17317&quot;/&gt;&lt;wsp:rsid wsp:val=&quot;64F531DE&quot;/&gt;&lt;wsp:rsid wsp:val=&quot;650A3CB2&quot;/&gt;&lt;wsp:rsid wsp:val=&quot;65373578&quot;/&gt;&lt;wsp:rsid wsp:val=&quot;65B04360&quot;/&gt;&lt;wsp:rsid wsp:val=&quot;65FB3751&quot;/&gt;&lt;wsp:rsid wsp:val=&quot;66043CB8&quot;/&gt;&lt;wsp:rsid wsp:val=&quot;66761F34&quot;/&gt;&lt;wsp:rsid wsp:val=&quot;66B57B3B&quot;/&gt;&lt;wsp:rsid wsp:val=&quot;671F124A&quot;/&gt;&lt;wsp:rsid wsp:val=&quot;6724179D&quot;/&gt;&lt;wsp:rsid wsp:val=&quot;677A33C6&quot;/&gt;&lt;wsp:rsid wsp:val=&quot;67A749AA&quot;/&gt;&lt;wsp:rsid wsp:val=&quot;67AD755E&quot;/&gt;&lt;wsp:rsid wsp:val=&quot;67CD366A&quot;/&gt;&lt;wsp:rsid wsp:val=&quot;681F6961&quot;/&gt;&lt;wsp:rsid wsp:val=&quot;68280EF1&quot;/&gt;&lt;wsp:rsid wsp:val=&quot;68610A2F&quot;/&gt;&lt;wsp:rsid wsp:val=&quot;6866323E&quot;/&gt;&lt;wsp:rsid wsp:val=&quot;68805514&quot;/&gt;&lt;wsp:rsid wsp:val=&quot;69181B7F&quot;/&gt;&lt;wsp:rsid wsp:val=&quot;69316E2F&quot;/&gt;&lt;wsp:rsid wsp:val=&quot;694E2071&quot;/&gt;&lt;wsp:rsid wsp:val=&quot;69766163&quot;/&gt;&lt;wsp:rsid wsp:val=&quot;697A3B33&quot;/&gt;&lt;wsp:rsid wsp:val=&quot;698C6385&quot;/&gt;&lt;wsp:rsid wsp:val=&quot;69D44760&quot;/&gt;&lt;wsp:rsid wsp:val=&quot;69E64209&quot;/&gt;&lt;wsp:rsid wsp:val=&quot;6A325F84&quot;/&gt;&lt;wsp:rsid wsp:val=&quot;6A520EC7&quot;/&gt;&lt;wsp:rsid wsp:val=&quot;6A5A7AF3&quot;/&gt;&lt;wsp:rsid wsp:val=&quot;6A816762&quot;/&gt;&lt;wsp:rsid wsp:val=&quot;6AF87E20&quot;/&gt;&lt;wsp:rsid wsp:val=&quot;6B322639&quot;/&gt;&lt;wsp:rsid wsp:val=&quot;6B6F5467&quot;/&gt;&lt;wsp:rsid wsp:val=&quot;6BB876CB&quot;/&gt;&lt;wsp:rsid wsp:val=&quot;6BF60E00&quot;/&gt;&lt;wsp:rsid wsp:val=&quot;6BFF1941&quot;/&gt;&lt;wsp:rsid wsp:val=&quot;6C0057A1&quot;/&gt;&lt;wsp:rsid wsp:val=&quot;6C636C38&quot;/&gt;&lt;wsp:rsid wsp:val=&quot;6C8D65A5&quot;/&gt;&lt;wsp:rsid wsp:val=&quot;6CDB4725&quot;/&gt;&lt;wsp:rsid wsp:val=&quot;6CE42A28&quot;/&gt;&lt;wsp:rsid wsp:val=&quot;6D09759D&quot;/&gt;&lt;wsp:rsid wsp:val=&quot;6D5B5E32&quot;/&gt;&lt;wsp:rsid wsp:val=&quot;6DB34098&quot;/&gt;&lt;wsp:rsid wsp:val=&quot;6DB545B6&quot;/&gt;&lt;wsp:rsid wsp:val=&quot;6DD55BAC&quot;/&gt;&lt;wsp:rsid wsp:val=&quot;6DE02FB4&quot;/&gt;&lt;wsp:rsid wsp:val=&quot;6E35478E&quot;/&gt;&lt;wsp:rsid wsp:val=&quot;6E514CED&quot;/&gt;&lt;wsp:rsid wsp:val=&quot;6E625E8D&quot;/&gt;&lt;wsp:rsid wsp:val=&quot;6EB563D5&quot;/&gt;&lt;wsp:rsid wsp:val=&quot;6EC80BE7&quot;/&gt;&lt;wsp:rsid wsp:val=&quot;6ED92677&quot;/&gt;&lt;wsp:rsid wsp:val=&quot;6F1E4F37&quot;/&gt;&lt;wsp:rsid wsp:val=&quot;6F225983&quot;/&gt;&lt;wsp:rsid wsp:val=&quot;6F4A66DB&quot;/&gt;&lt;wsp:rsid wsp:val=&quot;6F82478D&quot;/&gt;&lt;wsp:rsid wsp:val=&quot;6FFC5590&quot;/&gt;&lt;wsp:rsid wsp:val=&quot;7007619F&quot;/&gt;&lt;wsp:rsid wsp:val=&quot;70103A27&quot;/&gt;&lt;wsp:rsid wsp:val=&quot;706D1DD0&quot;/&gt;&lt;wsp:rsid wsp:val=&quot;70856B87&quot;/&gt;&lt;wsp:rsid wsp:val=&quot;70D527EE&quot;/&gt;&lt;wsp:rsid wsp:val=&quot;70E14698&quot;/&gt;&lt;wsp:rsid wsp:val=&quot;715B5300&quot;/&gt;&lt;wsp:rsid wsp:val=&quot;71642BB3&quot;/&gt;&lt;wsp:rsid wsp:val=&quot;717F72CC&quot;/&gt;&lt;wsp:rsid wsp:val=&quot;71D27F8A&quot;/&gt;&lt;wsp:rsid wsp:val=&quot;71F7560E&quot;/&gt;&lt;wsp:rsid wsp:val=&quot;71FF5286&quot;/&gt;&lt;wsp:rsid wsp:val=&quot;72364AB3&quot;/&gt;&lt;wsp:rsid wsp:val=&quot;72553024&quot;/&gt;&lt;wsp:rsid wsp:val=&quot;73122968&quot;/&gt;&lt;wsp:rsid wsp:val=&quot;731F5D5E&quot;/&gt;&lt;wsp:rsid wsp:val=&quot;732561C7&quot;/&gt;&lt;wsp:rsid wsp:val=&quot;73382FAF&quot;/&gt;&lt;wsp:rsid wsp:val=&quot;734C38CC&quot;/&gt;&lt;wsp:rsid wsp:val=&quot;739A2FA5&quot;/&gt;&lt;wsp:rsid wsp:val=&quot;73C51AD5&quot;/&gt;&lt;wsp:rsid wsp:val=&quot;73EF4D14&quot;/&gt;&lt;wsp:rsid wsp:val=&quot;73F35CCE&quot;/&gt;&lt;wsp:rsid wsp:val=&quot;74014D4A&quot;/&gt;&lt;wsp:rsid wsp:val=&quot;741E793C&quot;/&gt;&lt;wsp:rsid wsp:val=&quot;745E3944&quot;/&gt;&lt;wsp:rsid wsp:val=&quot;747D4C15&quot;/&gt;&lt;wsp:rsid wsp:val=&quot;74975272&quot;/&gt;&lt;wsp:rsid wsp:val=&quot;74C36207&quot;/&gt;&lt;wsp:rsid wsp:val=&quot;75436590&quot;/&gt;&lt;wsp:rsid wsp:val=&quot;761B0680&quot;/&gt;&lt;wsp:rsid wsp:val=&quot;761C6913&quot;/&gt;&lt;wsp:rsid wsp:val=&quot;761E760B&quot;/&gt;&lt;wsp:rsid wsp:val=&quot;7635099D&quot;/&gt;&lt;wsp:rsid wsp:val=&quot;76952B30&quot;/&gt;&lt;wsp:rsid wsp:val=&quot;77623D91&quot;/&gt;&lt;wsp:rsid wsp:val=&quot;77762421&quot;/&gt;&lt;wsp:rsid wsp:val=&quot;77B56B1F&quot;/&gt;&lt;wsp:rsid wsp:val=&quot;77C34D48&quot;/&gt;&lt;wsp:rsid wsp:val=&quot;77F410E5&quot;/&gt;&lt;wsp:rsid wsp:val=&quot;780C4CA8&quot;/&gt;&lt;wsp:rsid wsp:val=&quot;780F09F4&quot;/&gt;&lt;wsp:rsid wsp:val=&quot;781D669A&quot;/&gt;&lt;wsp:rsid wsp:val=&quot;78842B44&quot;/&gt;&lt;wsp:rsid wsp:val=&quot;788516F0&quot;/&gt;&lt;wsp:rsid wsp:val=&quot;78A90480&quot;/&gt;&lt;wsp:rsid wsp:val=&quot;78D97A47&quot;/&gt;&lt;wsp:rsid wsp:val=&quot;78F662F8&quot;/&gt;&lt;wsp:rsid wsp:val=&quot;79537DD9&quot;/&gt;&lt;wsp:rsid wsp:val=&quot;799C1E8B&quot;/&gt;&lt;wsp:rsid wsp:val=&quot;7A117CFD&quot;/&gt;&lt;wsp:rsid wsp:val=&quot;7A364017&quot;/&gt;&lt;wsp:rsid wsp:val=&quot;7A4B6B81&quot;/&gt;&lt;wsp:rsid wsp:val=&quot;7A8265E1&quot;/&gt;&lt;wsp:rsid wsp:val=&quot;7A8368F0&quot;/&gt;&lt;wsp:rsid wsp:val=&quot;7AB12F89&quot;/&gt;&lt;wsp:rsid wsp:val=&quot;7AD46E75&quot;/&gt;&lt;wsp:rsid wsp:val=&quot;7AFB30F4&quot;/&gt;&lt;wsp:rsid wsp:val=&quot;7B5F0160&quot;/&gt;&lt;wsp:rsid wsp:val=&quot;7B683E90&quot;/&gt;&lt;wsp:rsid wsp:val=&quot;7B686D42&quot;/&gt;&lt;wsp:rsid wsp:val=&quot;7B841746&quot;/&gt;&lt;wsp:rsid wsp:val=&quot;7B9151EC&quot;/&gt;&lt;wsp:rsid wsp:val=&quot;7BA25F20&quot;/&gt;&lt;wsp:rsid wsp:val=&quot;7BCB41E6&quot;/&gt;&lt;wsp:rsid wsp:val=&quot;7BD0454F&quot;/&gt;&lt;wsp:rsid wsp:val=&quot;7C356F62&quot;/&gt;&lt;wsp:rsid wsp:val=&quot;7C5C6E33&quot;/&gt;&lt;wsp:rsid wsp:val=&quot;7C6C5AC7&quot;/&gt;&lt;wsp:rsid wsp:val=&quot;7CB07638&quot;/&gt;&lt;wsp:rsid wsp:val=&quot;7CC6544B&quot;/&gt;&lt;wsp:rsid wsp:val=&quot;7D0239FF&quot;/&gt;&lt;wsp:rsid wsp:val=&quot;7D292D1B&quot;/&gt;&lt;wsp:rsid wsp:val=&quot;7D2C1E1B&quot;/&gt;&lt;wsp:rsid wsp:val=&quot;7D5E40CD&quot;/&gt;&lt;wsp:rsid wsp:val=&quot;7D8843FA&quot;/&gt;&lt;wsp:rsid wsp:val=&quot;7D937A3B&quot;/&gt;&lt;wsp:rsid wsp:val=&quot;7DAC1103&quot;/&gt;&lt;wsp:rsid wsp:val=&quot;7DCD56F2&quot;/&gt;&lt;wsp:rsid wsp:val=&quot;7E577071&quot;/&gt;&lt;wsp:rsid wsp:val=&quot;7E9D7E83&quot;/&gt;&lt;wsp:rsid wsp:val=&quot;7EB06B62&quot;/&gt;&lt;wsp:rsid wsp:val=&quot;7EE32D92&quot;/&gt;&lt;wsp:rsid wsp:val=&quot;7F001CE7&quot;/&gt;&lt;wsp:rsid wsp:val=&quot;7F723C0F&quot;/&gt;&lt;wsp:rsid wsp:val=&quot;7F902601&quot;/&gt;&lt;wsp:rsid wsp:val=&quot;7FE47E50&quot;/&gt;&lt;/wsp:rsids&gt;&lt;/w:docPr&gt;&lt;w:body&gt;&lt;wx:sect&gt;&lt;w:p wsp:rsidR=&quot;00000000&quot; wsp:rsidRDefault=&quot;004352FB&quot; wsp:rsidP=&quot;004352FB&quot;&gt;&lt;m:oMathPara&gt;&lt;m:oMath&gt;&lt;m:sSub&gt;&lt;m:sSubPr&gt;&lt;m:ctrlPr&gt;&lt;w:rPr&gt;&lt;w:rFonts w:ascii=&quot;Cambria Math&quot; w:h-ansi=&quot;Cambria Math&quot; w:cs=&quot;锟斤拷锟斤拷&quot;/&gt;&lt;wx:font wx:val=&quot;Cambria Math&quot;/&gt;&lt;w:b-cs/&gt;&lt;w:i/&gt;&lt;w:color w:val=&quot;000000&quot;/&gt;&lt;w:sz w:val=&quot;24&quot;/&gt;&lt;w:sz-cs w:val=&quot;21&quot;/&gt;idP=&quot;0idP=&quot;0idP=&quot;0idP=&quot;0idP=&quot;0idP=&quot;0idP=&quot;0idP=&quot;0&lt;/w:rPr&gt;&quot;0&lt;/m:ctrlPr&gt;&lt;/m:sSubPr&gt;&lt;m:e&gt;&lt;m:r&gt;&lt;w:rPr&gt;&lt;w:rFonts w:ascii=&quot;Cambria Math&quot; w:h-ansi=&quot;Cambria Math&quot; w:cs=&quot;锟斤拷锟斤拷&quot; w:hint=&quot;fareast&quot;/&gt;&lt;wx:font wx:val=&quot;Cambria Math&quot;/&gt;&lt;w:i/&gt;&lt;w:color w:val=&quot;000000&quot;/&gt;&lt;w:keridP=&quot;0n w:vaidP=&quot;0l=&quot;0&quot;/idP=&quot;0&gt;&lt;w:szidP=&quot;0 w:validP=&quot;0=&quot;24&quot;/idP=&quot;0&gt;&lt;/w:ridP=&quot;0Pr&gt;&lt;m:idP=&quot;0t&gt;V&lt;/m:t&gt;&lt;/m:r&gt;&lt;/m&quot;0:e&gt;&lt;m:sub&gt;&lt;m:r&gt;&lt;w:rPr&gt;&lt;w:rFonts w:ascii=&quot;Cambria Math&quot; w:h-ansi=&quot;Cambria Math&quot; w:cs=&quot;锟斤拷锟斤拷&quot; w:hint=&quot;fareast&quot;/&gt;&lt;wx:font wx:val=&quot;锟斤拷锟斤拷&quot;/&gt;&lt;w&lt;w:keridP=&quot;0:i/&gt;&lt;w:colorn w:vaidP=&quot;0 w:val=&quot;0000l=&quot;0&quot;/idP=&quot;000&quot;/&gt;&lt;w:sz w&gt;&lt;w:szidP=&quot;0:val=&quot;24&quot;/&gt;&lt; w:validP=&quot;0w:sz-cs w:va=&quot;24&quot;/idP=&quot;0l=&quot;21&quot;/&gt;&lt;/w:&gt;&lt;/w:ridP=&quot;0rPr&gt;&lt;m:t&gt;锟?rPr&gt;&lt;m:idP=&quot;0锟?/m:t&gt;&lt;/m:r&gt;&lt;/m:sub&gt;&lt;/m:sSub&gt;&lt;/m:oMat&lt;/m&quot;0h&gt;&lt;/m:oMathPara&gt;&lt;/w:p&gt;&lt;w:sectPr wsp:rsidR=&quot;0&quot;00000000&quot;&gt;&lt;w:pgSz w:w=&quot;&quot;012240&quot; w:h=&quot;15840&quot;/&gt;&lt;w:p&quot;0gMar w:top=&quot;1440&quot; w:righ&quot;0t=&quot;1800&quot; w:bottom=&quot;1440&quot;&quot;0 w:left=&quot;1800&quot; w:header=&quot;0&quot;720&quot; w:footer=&quot;720&quot; w:g&quot;0utter=&quot;0&quot;/&gt;&lt;w:cols w:spa&quot;0ce=&quot;720&quot;/&gt;&lt;/w:sectPr&gt;&lt;/wx:sect&gt;&lt;/w:body&gt;&lt;/w:wordDocument">
                  <v:path/>
                  <v:fill on="f" focussize="0,0"/>
                  <v:stroke/>
                  <v:imagedata r:id="rId22" chromakey="#FFFFFF" o:title=""/>
                  <o:lock v:ext="edit" aspectratio="t"/>
                  <w10:wrap type="none"/>
                  <w10:anchorlock/>
                </v:shape>
              </w:pict>
            </w:r>
            <w:r>
              <w:rPr>
                <w:rFonts w:hint="eastAsia" w:cs="宋体"/>
                <w:bCs/>
                <w:color w:val="000000"/>
                <w:sz w:val="24"/>
                <w:szCs w:val="21"/>
              </w:rPr>
              <w:instrText xml:space="preserve"> </w:instrText>
            </w:r>
            <w:r>
              <w:rPr>
                <w:rFonts w:hint="eastAsia" w:cs="宋体"/>
                <w:bCs/>
                <w:color w:val="000000"/>
                <w:sz w:val="24"/>
                <w:szCs w:val="21"/>
              </w:rPr>
              <w:fldChar w:fldCharType="end"/>
            </w:r>
            <w:r>
              <w:rPr>
                <w:rFonts w:hint="eastAsia" w:cs="宋体"/>
                <w:bCs/>
                <w:color w:val="000000"/>
                <w:sz w:val="24"/>
                <w:szCs w:val="21"/>
              </w:rPr>
              <w:t>=</w:t>
            </w:r>
            <w:r>
              <w:rPr>
                <w:rFonts w:cs="宋体"/>
                <w:bCs/>
                <w:color w:val="000000"/>
                <w:sz w:val="24"/>
                <w:szCs w:val="21"/>
              </w:rPr>
              <w:t>197.38</w:t>
            </w:r>
            <w:r>
              <w:rPr>
                <w:rFonts w:hint="eastAsia" w:cs="宋体"/>
                <w:bCs/>
                <w:color w:val="000000"/>
                <w:sz w:val="24"/>
                <w:szCs w:val="21"/>
              </w:rPr>
              <w:t>m³。</w:t>
            </w:r>
          </w:p>
          <w:p>
            <w:pPr>
              <w:autoSpaceDE w:val="0"/>
              <w:autoSpaceDN w:val="0"/>
              <w:adjustRightInd w:val="0"/>
              <w:spacing w:line="360" w:lineRule="auto"/>
              <w:ind w:firstLine="482" w:firstLineChars="200"/>
              <w:rPr>
                <w:rFonts w:cs="宋体"/>
                <w:b/>
                <w:color w:val="000000"/>
                <w:sz w:val="24"/>
                <w:szCs w:val="21"/>
              </w:rPr>
            </w:pPr>
            <w:r>
              <w:rPr>
                <w:rFonts w:hint="eastAsia" w:cs="宋体"/>
                <w:b/>
                <w:color w:val="000000"/>
                <w:sz w:val="24"/>
                <w:szCs w:val="21"/>
              </w:rPr>
              <w:t>为防止本项目生产废水泄露对外环境的影响，环评要求建设单位建设1座</w:t>
            </w:r>
            <w:r>
              <w:rPr>
                <w:rFonts w:cs="宋体"/>
                <w:b/>
                <w:color w:val="000000"/>
                <w:sz w:val="24"/>
                <w:szCs w:val="21"/>
              </w:rPr>
              <w:t>2</w:t>
            </w:r>
            <w:r>
              <w:rPr>
                <w:rFonts w:hint="eastAsia" w:cs="宋体"/>
                <w:b/>
                <w:color w:val="000000"/>
                <w:sz w:val="24"/>
                <w:szCs w:val="21"/>
              </w:rPr>
              <w:t>00m</w:t>
            </w:r>
            <w:r>
              <w:rPr>
                <w:b/>
                <w:color w:val="000000"/>
                <w:sz w:val="24"/>
                <w:szCs w:val="21"/>
              </w:rPr>
              <w:t>³</w:t>
            </w:r>
            <w:r>
              <w:rPr>
                <w:rFonts w:hint="eastAsia" w:cs="宋体"/>
                <w:b/>
                <w:color w:val="000000"/>
                <w:sz w:val="24"/>
                <w:szCs w:val="21"/>
              </w:rPr>
              <w:t>事故应急池用于防范事故状态废水泄露。</w:t>
            </w:r>
          </w:p>
          <w:p>
            <w:pPr>
              <w:pStyle w:val="6"/>
              <w:spacing w:before="0" w:after="0" w:line="360" w:lineRule="auto"/>
              <w:ind w:right="0" w:firstLine="480" w:firstLineChars="200"/>
              <w:rPr>
                <w:sz w:val="24"/>
                <w:szCs w:val="24"/>
              </w:rPr>
            </w:pPr>
            <w:r>
              <w:rPr>
                <w:rFonts w:hint="eastAsia"/>
                <w:sz w:val="24"/>
                <w:szCs w:val="24"/>
              </w:rPr>
              <w:t>②风险应急措施</w:t>
            </w:r>
          </w:p>
          <w:p>
            <w:pPr>
              <w:pStyle w:val="6"/>
              <w:spacing w:before="0" w:after="0" w:line="360" w:lineRule="auto"/>
              <w:ind w:right="0" w:firstLine="480" w:firstLineChars="200"/>
              <w:rPr>
                <w:sz w:val="24"/>
                <w:szCs w:val="24"/>
              </w:rPr>
            </w:pPr>
            <w:r>
              <w:rPr>
                <w:rFonts w:hint="eastAsia"/>
                <w:sz w:val="24"/>
                <w:szCs w:val="24"/>
              </w:rPr>
              <w:t>企业应成立应急救援指挥小组。负责制定事故应急预案、检查督促事故预防措施及应急救援的准备工作。加强职工岗位培训，制定事故应急学习手册。发生事故后应及时通知相关部门（安全、环保等），针对事故类型采取合理的处置措施。综上所述，只要加强管理，建立健全相应的防范应急措施，并在设计、管理及运行中得到认真落实，上述风险事故隐患可降至最低。</w:t>
            </w:r>
          </w:p>
          <w:p>
            <w:pPr>
              <w:pStyle w:val="6"/>
              <w:spacing w:before="0" w:after="0" w:line="360" w:lineRule="auto"/>
              <w:ind w:right="0" w:firstLine="480" w:firstLineChars="200"/>
              <w:rPr>
                <w:sz w:val="24"/>
                <w:szCs w:val="24"/>
              </w:rPr>
            </w:pPr>
            <w:r>
              <w:rPr>
                <w:rFonts w:hint="eastAsia"/>
                <w:sz w:val="24"/>
                <w:szCs w:val="24"/>
              </w:rPr>
              <w:t>③安全色、安全标记措施</w:t>
            </w:r>
          </w:p>
          <w:p>
            <w:pPr>
              <w:pStyle w:val="6"/>
              <w:spacing w:before="0" w:after="0" w:line="360" w:lineRule="auto"/>
              <w:ind w:right="0" w:firstLine="480" w:firstLineChars="200"/>
              <w:rPr>
                <w:sz w:val="24"/>
                <w:szCs w:val="24"/>
              </w:rPr>
            </w:pPr>
            <w:r>
              <w:rPr>
                <w:rFonts w:hint="eastAsia"/>
                <w:sz w:val="24"/>
                <w:szCs w:val="24"/>
              </w:rPr>
              <w:t>安全色、安全标志均应符合国家有关标准的规定，安全标志应设在醒目与安全有关的地方，除临时安装标志外，不得设置在移动物体上。</w:t>
            </w:r>
          </w:p>
          <w:p>
            <w:pPr>
              <w:pStyle w:val="6"/>
              <w:spacing w:before="0" w:after="0" w:line="360" w:lineRule="auto"/>
              <w:ind w:right="0" w:firstLine="480" w:firstLineChars="200"/>
              <w:rPr>
                <w:sz w:val="24"/>
                <w:szCs w:val="24"/>
              </w:rPr>
            </w:pPr>
            <w:r>
              <w:rPr>
                <w:rFonts w:hint="eastAsia"/>
                <w:sz w:val="24"/>
                <w:szCs w:val="24"/>
              </w:rPr>
              <w:t>④安全教育与培训措施</w:t>
            </w:r>
          </w:p>
          <w:p>
            <w:pPr>
              <w:pStyle w:val="6"/>
              <w:spacing w:before="0" w:after="0" w:line="360" w:lineRule="auto"/>
              <w:ind w:right="0" w:firstLine="480" w:firstLineChars="200"/>
              <w:rPr>
                <w:sz w:val="24"/>
                <w:szCs w:val="24"/>
              </w:rPr>
            </w:pPr>
            <w:r>
              <w:rPr>
                <w:rFonts w:hint="eastAsia"/>
                <w:sz w:val="24"/>
                <w:szCs w:val="24"/>
              </w:rPr>
              <w:t>本项目应对员工坚持实施“继续教育”，使员工了解熟悉本行业的安全技术知识。通过继续教育，不断提高员工的综合素质，增强安全意识。重视以人为本，是企业经营工作实现本质安全的重要措施。</w:t>
            </w:r>
          </w:p>
          <w:p>
            <w:pPr>
              <w:pStyle w:val="6"/>
              <w:spacing w:before="0" w:after="0" w:line="360" w:lineRule="auto"/>
              <w:ind w:right="0" w:firstLine="480" w:firstLineChars="200"/>
              <w:rPr>
                <w:sz w:val="24"/>
                <w:szCs w:val="24"/>
              </w:rPr>
            </w:pPr>
            <w:r>
              <w:rPr>
                <w:rFonts w:hint="eastAsia"/>
                <w:sz w:val="24"/>
                <w:szCs w:val="24"/>
              </w:rPr>
              <w:t>⑤应急预案</w:t>
            </w:r>
          </w:p>
          <w:p>
            <w:pPr>
              <w:pStyle w:val="6"/>
              <w:spacing w:before="0" w:after="0" w:line="360" w:lineRule="auto"/>
              <w:ind w:right="0" w:firstLine="480" w:firstLineChars="200"/>
              <w:rPr>
                <w:sz w:val="24"/>
                <w:szCs w:val="24"/>
              </w:rPr>
            </w:pPr>
            <w:r>
              <w:rPr>
                <w:rFonts w:hint="eastAsia"/>
                <w:sz w:val="24"/>
                <w:szCs w:val="24"/>
              </w:rPr>
              <w:t>无论预防工作如何周密，风险事故总是难以根本杜绝，制定风险事故应急预案的目的是迅速而有效地将事故损失减至最小，制定应急预案原则如下：</w:t>
            </w:r>
          </w:p>
          <w:p>
            <w:pPr>
              <w:pStyle w:val="6"/>
              <w:spacing w:before="0" w:after="0" w:line="360" w:lineRule="auto"/>
              <w:ind w:right="0" w:firstLine="480" w:firstLineChars="200"/>
              <w:rPr>
                <w:sz w:val="24"/>
                <w:szCs w:val="24"/>
              </w:rPr>
            </w:pPr>
            <w:r>
              <w:rPr>
                <w:rFonts w:hint="eastAsia"/>
                <w:sz w:val="24"/>
                <w:szCs w:val="24"/>
              </w:rPr>
              <w:t>A.确定救援组织、队伍和联络方式；</w:t>
            </w:r>
          </w:p>
          <w:p>
            <w:pPr>
              <w:pStyle w:val="6"/>
              <w:spacing w:before="0" w:after="0" w:line="360" w:lineRule="auto"/>
              <w:ind w:right="0" w:firstLine="480" w:firstLineChars="200"/>
              <w:rPr>
                <w:sz w:val="24"/>
                <w:szCs w:val="24"/>
              </w:rPr>
            </w:pPr>
            <w:r>
              <w:rPr>
                <w:rFonts w:hint="eastAsia"/>
                <w:sz w:val="24"/>
                <w:szCs w:val="24"/>
              </w:rPr>
              <w:t>B.制定事故类型、队伍和联络方式；</w:t>
            </w:r>
          </w:p>
          <w:p>
            <w:pPr>
              <w:pStyle w:val="6"/>
              <w:spacing w:before="0" w:after="0" w:line="360" w:lineRule="auto"/>
              <w:ind w:right="0" w:firstLine="480" w:firstLineChars="200"/>
              <w:rPr>
                <w:sz w:val="24"/>
                <w:szCs w:val="24"/>
              </w:rPr>
            </w:pPr>
            <w:r>
              <w:rPr>
                <w:rFonts w:hint="eastAsia"/>
                <w:sz w:val="24"/>
                <w:szCs w:val="24"/>
              </w:rPr>
              <w:t>C.配备必要的救灾防毒器具及防护用品；</w:t>
            </w:r>
          </w:p>
          <w:p>
            <w:pPr>
              <w:pStyle w:val="6"/>
              <w:spacing w:before="0" w:after="0" w:line="360" w:lineRule="auto"/>
              <w:ind w:right="0" w:firstLine="480" w:firstLineChars="200"/>
              <w:rPr>
                <w:sz w:val="24"/>
                <w:szCs w:val="24"/>
              </w:rPr>
            </w:pPr>
            <w:r>
              <w:rPr>
                <w:rFonts w:hint="eastAsia"/>
                <w:sz w:val="24"/>
                <w:szCs w:val="24"/>
              </w:rPr>
              <w:t>D.岗位培训和演习，设置事故应急学习手册及报告、记录和评估；</w:t>
            </w:r>
          </w:p>
          <w:p>
            <w:pPr>
              <w:pStyle w:val="6"/>
              <w:spacing w:before="0" w:after="0" w:line="360" w:lineRule="auto"/>
              <w:ind w:right="0" w:firstLine="480" w:firstLineChars="200"/>
              <w:rPr>
                <w:sz w:val="24"/>
                <w:szCs w:val="24"/>
              </w:rPr>
            </w:pPr>
            <w:r>
              <w:rPr>
                <w:rFonts w:hint="eastAsia"/>
                <w:sz w:val="24"/>
                <w:szCs w:val="24"/>
              </w:rPr>
              <w:t>E.制定区域防灾救援方案，与当地政府、消防、环保和医疗救助部门加强联系，以便风险事故发生时及时得到救援；</w:t>
            </w:r>
          </w:p>
          <w:p>
            <w:pPr>
              <w:pStyle w:val="6"/>
              <w:spacing w:before="0" w:after="0" w:line="360" w:lineRule="auto"/>
              <w:ind w:right="0" w:firstLine="480" w:firstLineChars="200"/>
              <w:rPr>
                <w:sz w:val="24"/>
                <w:szCs w:val="24"/>
              </w:rPr>
            </w:pPr>
            <w:r>
              <w:rPr>
                <w:rFonts w:hint="eastAsia"/>
                <w:sz w:val="24"/>
                <w:szCs w:val="24"/>
              </w:rPr>
              <w:t>F.当出现非正常工作时，恶臭超标的情况下，应及时上报维修，必要时要停产检修，及时通知周围农户。确保污染事故发生时，对周围环境的影响降到最小程度。并承担相应的污染事故责任。</w:t>
            </w:r>
          </w:p>
          <w:p>
            <w:pPr>
              <w:pStyle w:val="6"/>
              <w:spacing w:before="0" w:after="0" w:line="360" w:lineRule="auto"/>
              <w:ind w:right="0" w:firstLine="480" w:firstLineChars="200"/>
              <w:rPr>
                <w:sz w:val="24"/>
                <w:szCs w:val="24"/>
              </w:rPr>
            </w:pPr>
            <w:r>
              <w:rPr>
                <w:rFonts w:hint="eastAsia"/>
                <w:sz w:val="24"/>
                <w:szCs w:val="24"/>
              </w:rPr>
              <w:t>一般应急预案如下表所示。</w:t>
            </w:r>
          </w:p>
          <w:p>
            <w:pPr>
              <w:pStyle w:val="40"/>
              <w:spacing w:line="240" w:lineRule="auto"/>
            </w:pPr>
            <w:r>
              <w:rPr>
                <w:rFonts w:hint="eastAsia"/>
              </w:rPr>
              <w:t>表</w:t>
            </w:r>
            <w:r>
              <w:t xml:space="preserve">4-15 </w:t>
            </w:r>
            <w:r>
              <w:rPr>
                <w:rFonts w:hint="eastAsia"/>
              </w:rPr>
              <w:t>一般应急预案内容</w:t>
            </w:r>
          </w:p>
          <w:tbl>
            <w:tblPr>
              <w:tblStyle w:val="14"/>
              <w:tblW w:w="848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51"/>
              <w:gridCol w:w="2410"/>
              <w:gridCol w:w="53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1" w:type="dxa"/>
                  <w:vAlign w:val="center"/>
                </w:tcPr>
                <w:p>
                  <w:pPr>
                    <w:pStyle w:val="36"/>
                    <w:rPr>
                      <w:b/>
                      <w:color w:val="000000"/>
                    </w:rPr>
                  </w:pPr>
                  <w:r>
                    <w:rPr>
                      <w:rFonts w:hint="eastAsia"/>
                      <w:b/>
                      <w:color w:val="000000"/>
                    </w:rPr>
                    <w:t>序号</w:t>
                  </w:r>
                </w:p>
              </w:tc>
              <w:tc>
                <w:tcPr>
                  <w:tcW w:w="2410" w:type="dxa"/>
                  <w:vAlign w:val="center"/>
                </w:tcPr>
                <w:p>
                  <w:pPr>
                    <w:pStyle w:val="36"/>
                    <w:rPr>
                      <w:b/>
                      <w:color w:val="000000"/>
                    </w:rPr>
                  </w:pPr>
                  <w:r>
                    <w:rPr>
                      <w:rFonts w:hint="eastAsia"/>
                      <w:b/>
                      <w:color w:val="000000"/>
                    </w:rPr>
                    <w:t>项目</w:t>
                  </w:r>
                </w:p>
              </w:tc>
              <w:tc>
                <w:tcPr>
                  <w:tcW w:w="5321" w:type="dxa"/>
                  <w:vAlign w:val="center"/>
                </w:tcPr>
                <w:p>
                  <w:pPr>
                    <w:pStyle w:val="36"/>
                    <w:rPr>
                      <w:b/>
                      <w:color w:val="000000"/>
                    </w:rPr>
                  </w:pPr>
                  <w:r>
                    <w:rPr>
                      <w:rFonts w:hint="eastAsia"/>
                      <w:b/>
                      <w:color w:val="000000"/>
                    </w:rPr>
                    <w:t>内容及要求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51" w:type="dxa"/>
                  <w:vAlign w:val="center"/>
                </w:tcPr>
                <w:p>
                  <w:pPr>
                    <w:pStyle w:val="36"/>
                    <w:rPr>
                      <w:color w:val="000000"/>
                    </w:rPr>
                  </w:pPr>
                  <w:r>
                    <w:rPr>
                      <w:rFonts w:hint="eastAsia"/>
                      <w:color w:val="000000"/>
                    </w:rPr>
                    <w:t>1</w:t>
                  </w:r>
                </w:p>
              </w:tc>
              <w:tc>
                <w:tcPr>
                  <w:tcW w:w="2410" w:type="dxa"/>
                  <w:vAlign w:val="center"/>
                </w:tcPr>
                <w:p>
                  <w:pPr>
                    <w:pStyle w:val="36"/>
                    <w:rPr>
                      <w:color w:val="000000"/>
                    </w:rPr>
                  </w:pPr>
                  <w:r>
                    <w:rPr>
                      <w:rFonts w:hint="eastAsia"/>
                      <w:color w:val="000000"/>
                    </w:rPr>
                    <w:t>应急计划区</w:t>
                  </w:r>
                </w:p>
              </w:tc>
              <w:tc>
                <w:tcPr>
                  <w:tcW w:w="5321" w:type="dxa"/>
                  <w:vAlign w:val="center"/>
                </w:tcPr>
                <w:p>
                  <w:pPr>
                    <w:pStyle w:val="36"/>
                    <w:rPr>
                      <w:color w:val="000000"/>
                    </w:rPr>
                  </w:pPr>
                  <w:r>
                    <w:rPr>
                      <w:rFonts w:hint="eastAsia"/>
                      <w:color w:val="000000"/>
                    </w:rPr>
                    <w:t>危险目标：污染物事故排放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51" w:type="dxa"/>
                  <w:vAlign w:val="center"/>
                </w:tcPr>
                <w:p>
                  <w:pPr>
                    <w:pStyle w:val="36"/>
                    <w:rPr>
                      <w:color w:val="000000"/>
                    </w:rPr>
                  </w:pPr>
                  <w:r>
                    <w:rPr>
                      <w:rFonts w:hint="eastAsia"/>
                      <w:color w:val="000000"/>
                    </w:rPr>
                    <w:t>2</w:t>
                  </w:r>
                </w:p>
              </w:tc>
              <w:tc>
                <w:tcPr>
                  <w:tcW w:w="2410" w:type="dxa"/>
                  <w:vAlign w:val="center"/>
                </w:tcPr>
                <w:p>
                  <w:pPr>
                    <w:pStyle w:val="36"/>
                    <w:rPr>
                      <w:color w:val="000000"/>
                    </w:rPr>
                  </w:pPr>
                  <w:r>
                    <w:rPr>
                      <w:rFonts w:hint="eastAsia"/>
                      <w:color w:val="000000"/>
                    </w:rPr>
                    <w:t>应急组织机构、人员</w:t>
                  </w:r>
                </w:p>
              </w:tc>
              <w:tc>
                <w:tcPr>
                  <w:tcW w:w="5321" w:type="dxa"/>
                  <w:vAlign w:val="center"/>
                </w:tcPr>
                <w:p>
                  <w:pPr>
                    <w:pStyle w:val="36"/>
                    <w:rPr>
                      <w:color w:val="000000"/>
                    </w:rPr>
                  </w:pPr>
                  <w:r>
                    <w:rPr>
                      <w:rFonts w:hint="eastAsia"/>
                      <w:color w:val="000000"/>
                    </w:rPr>
                    <w:t>工厂、地区应急组织机构、人员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51" w:type="dxa"/>
                  <w:vAlign w:val="center"/>
                </w:tcPr>
                <w:p>
                  <w:pPr>
                    <w:pStyle w:val="36"/>
                    <w:rPr>
                      <w:color w:val="000000"/>
                    </w:rPr>
                  </w:pPr>
                  <w:r>
                    <w:rPr>
                      <w:rFonts w:hint="eastAsia"/>
                      <w:color w:val="000000"/>
                    </w:rPr>
                    <w:t>3</w:t>
                  </w:r>
                </w:p>
              </w:tc>
              <w:tc>
                <w:tcPr>
                  <w:tcW w:w="2410" w:type="dxa"/>
                  <w:vAlign w:val="center"/>
                </w:tcPr>
                <w:p>
                  <w:pPr>
                    <w:pStyle w:val="36"/>
                    <w:rPr>
                      <w:color w:val="000000"/>
                    </w:rPr>
                  </w:pPr>
                  <w:r>
                    <w:rPr>
                      <w:rFonts w:hint="eastAsia"/>
                      <w:color w:val="000000"/>
                    </w:rPr>
                    <w:t>预案分级响应条件</w:t>
                  </w:r>
                </w:p>
              </w:tc>
              <w:tc>
                <w:tcPr>
                  <w:tcW w:w="5321" w:type="dxa"/>
                  <w:vAlign w:val="center"/>
                </w:tcPr>
                <w:p>
                  <w:pPr>
                    <w:pStyle w:val="36"/>
                    <w:rPr>
                      <w:color w:val="000000"/>
                    </w:rPr>
                  </w:pPr>
                  <w:r>
                    <w:rPr>
                      <w:rFonts w:hint="eastAsia"/>
                      <w:color w:val="000000"/>
                    </w:rPr>
                    <w:t>规定预案的级别及分级响应程序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51" w:type="dxa"/>
                  <w:vAlign w:val="center"/>
                </w:tcPr>
                <w:p>
                  <w:pPr>
                    <w:pStyle w:val="36"/>
                    <w:rPr>
                      <w:color w:val="000000"/>
                    </w:rPr>
                  </w:pPr>
                  <w:r>
                    <w:rPr>
                      <w:rFonts w:hint="eastAsia"/>
                      <w:color w:val="000000"/>
                    </w:rPr>
                    <w:t>4</w:t>
                  </w:r>
                </w:p>
              </w:tc>
              <w:tc>
                <w:tcPr>
                  <w:tcW w:w="2410" w:type="dxa"/>
                  <w:vAlign w:val="center"/>
                </w:tcPr>
                <w:p>
                  <w:pPr>
                    <w:pStyle w:val="36"/>
                    <w:rPr>
                      <w:color w:val="000000"/>
                    </w:rPr>
                  </w:pPr>
                  <w:r>
                    <w:rPr>
                      <w:rFonts w:hint="eastAsia"/>
                      <w:color w:val="000000"/>
                    </w:rPr>
                    <w:t>应急救援保障</w:t>
                  </w:r>
                </w:p>
              </w:tc>
              <w:tc>
                <w:tcPr>
                  <w:tcW w:w="5321" w:type="dxa"/>
                  <w:vAlign w:val="center"/>
                </w:tcPr>
                <w:p>
                  <w:pPr>
                    <w:pStyle w:val="36"/>
                    <w:rPr>
                      <w:color w:val="000000"/>
                    </w:rPr>
                  </w:pPr>
                  <w:r>
                    <w:rPr>
                      <w:rFonts w:hint="eastAsia"/>
                      <w:color w:val="000000"/>
                    </w:rPr>
                    <w:t>应急设施，设备和器材等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51" w:type="dxa"/>
                  <w:vAlign w:val="center"/>
                </w:tcPr>
                <w:p>
                  <w:pPr>
                    <w:pStyle w:val="36"/>
                    <w:rPr>
                      <w:color w:val="000000"/>
                    </w:rPr>
                  </w:pPr>
                  <w:r>
                    <w:rPr>
                      <w:rFonts w:hint="eastAsia"/>
                      <w:color w:val="000000"/>
                    </w:rPr>
                    <w:t>5</w:t>
                  </w:r>
                </w:p>
              </w:tc>
              <w:tc>
                <w:tcPr>
                  <w:tcW w:w="2410" w:type="dxa"/>
                  <w:vAlign w:val="center"/>
                </w:tcPr>
                <w:p>
                  <w:pPr>
                    <w:pStyle w:val="36"/>
                    <w:rPr>
                      <w:color w:val="000000"/>
                    </w:rPr>
                  </w:pPr>
                  <w:r>
                    <w:rPr>
                      <w:rFonts w:hint="eastAsia"/>
                      <w:color w:val="000000"/>
                    </w:rPr>
                    <w:t>报警、通讯联络方式</w:t>
                  </w:r>
                </w:p>
              </w:tc>
              <w:tc>
                <w:tcPr>
                  <w:tcW w:w="5321" w:type="dxa"/>
                  <w:vAlign w:val="center"/>
                </w:tcPr>
                <w:p>
                  <w:pPr>
                    <w:pStyle w:val="36"/>
                    <w:rPr>
                      <w:color w:val="000000"/>
                    </w:rPr>
                  </w:pPr>
                  <w:r>
                    <w:rPr>
                      <w:rFonts w:hint="eastAsia"/>
                      <w:color w:val="000000"/>
                    </w:rPr>
                    <w:t>规定应急状态下的报警通讯方式、通知方式和交通保障、管制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51" w:type="dxa"/>
                  <w:vAlign w:val="center"/>
                </w:tcPr>
                <w:p>
                  <w:pPr>
                    <w:pStyle w:val="36"/>
                    <w:rPr>
                      <w:color w:val="000000"/>
                    </w:rPr>
                  </w:pPr>
                  <w:r>
                    <w:rPr>
                      <w:rFonts w:hint="eastAsia"/>
                      <w:color w:val="000000"/>
                    </w:rPr>
                    <w:t>6</w:t>
                  </w:r>
                </w:p>
              </w:tc>
              <w:tc>
                <w:tcPr>
                  <w:tcW w:w="2410" w:type="dxa"/>
                  <w:vAlign w:val="center"/>
                </w:tcPr>
                <w:p>
                  <w:pPr>
                    <w:pStyle w:val="36"/>
                    <w:rPr>
                      <w:color w:val="000000"/>
                    </w:rPr>
                  </w:pPr>
                  <w:r>
                    <w:rPr>
                      <w:rFonts w:hint="eastAsia"/>
                      <w:color w:val="000000"/>
                    </w:rPr>
                    <w:t>应急环境监测、抢险、救援及控制措施</w:t>
                  </w:r>
                </w:p>
              </w:tc>
              <w:tc>
                <w:tcPr>
                  <w:tcW w:w="5321" w:type="dxa"/>
                  <w:vAlign w:val="center"/>
                </w:tcPr>
                <w:p>
                  <w:pPr>
                    <w:pStyle w:val="36"/>
                    <w:rPr>
                      <w:color w:val="000000"/>
                    </w:rPr>
                  </w:pPr>
                  <w:r>
                    <w:rPr>
                      <w:rFonts w:hint="eastAsia"/>
                      <w:color w:val="000000"/>
                    </w:rPr>
                    <w:t>有专业队伍负责对事故现场进行侦察监测，对事故性质、参数与后果进行评估，为指挥部门提供决策依据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51" w:type="dxa"/>
                  <w:vAlign w:val="center"/>
                </w:tcPr>
                <w:p>
                  <w:pPr>
                    <w:pStyle w:val="36"/>
                    <w:rPr>
                      <w:color w:val="000000"/>
                    </w:rPr>
                  </w:pPr>
                  <w:r>
                    <w:rPr>
                      <w:rFonts w:hint="eastAsia"/>
                      <w:color w:val="000000"/>
                    </w:rPr>
                    <w:t>7</w:t>
                  </w:r>
                </w:p>
              </w:tc>
              <w:tc>
                <w:tcPr>
                  <w:tcW w:w="2410" w:type="dxa"/>
                  <w:vAlign w:val="center"/>
                </w:tcPr>
                <w:p>
                  <w:pPr>
                    <w:pStyle w:val="36"/>
                    <w:rPr>
                      <w:color w:val="000000"/>
                    </w:rPr>
                  </w:pPr>
                  <w:r>
                    <w:rPr>
                      <w:rFonts w:hint="eastAsia"/>
                      <w:color w:val="000000"/>
                    </w:rPr>
                    <w:t>应急检测、防护措施、清除泄漏措施和器材</w:t>
                  </w:r>
                </w:p>
              </w:tc>
              <w:tc>
                <w:tcPr>
                  <w:tcW w:w="5321" w:type="dxa"/>
                  <w:vAlign w:val="center"/>
                </w:tcPr>
                <w:p>
                  <w:pPr>
                    <w:pStyle w:val="36"/>
                    <w:rPr>
                      <w:color w:val="000000"/>
                    </w:rPr>
                  </w:pPr>
                  <w:r>
                    <w:rPr>
                      <w:rFonts w:hint="eastAsia"/>
                      <w:color w:val="000000"/>
                    </w:rPr>
                    <w:t>事故现场、邻近区域、控制防火区域、控制和清除污染措施及相应设备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751" w:type="dxa"/>
                  <w:vAlign w:val="center"/>
                </w:tcPr>
                <w:p>
                  <w:pPr>
                    <w:pStyle w:val="36"/>
                    <w:rPr>
                      <w:color w:val="000000"/>
                    </w:rPr>
                  </w:pPr>
                  <w:r>
                    <w:rPr>
                      <w:rFonts w:hint="eastAsia"/>
                      <w:color w:val="000000"/>
                    </w:rPr>
                    <w:t>8</w:t>
                  </w:r>
                </w:p>
              </w:tc>
              <w:tc>
                <w:tcPr>
                  <w:tcW w:w="2410" w:type="dxa"/>
                  <w:vAlign w:val="center"/>
                </w:tcPr>
                <w:p>
                  <w:pPr>
                    <w:pStyle w:val="36"/>
                    <w:rPr>
                      <w:color w:val="000000"/>
                    </w:rPr>
                  </w:pPr>
                  <w:r>
                    <w:rPr>
                      <w:rFonts w:hint="eastAsia"/>
                      <w:color w:val="000000"/>
                    </w:rPr>
                    <w:t>人员紧急撤离、疏散，应急剂量控制、撤离组织计划</w:t>
                  </w:r>
                </w:p>
              </w:tc>
              <w:tc>
                <w:tcPr>
                  <w:tcW w:w="5321" w:type="dxa"/>
                  <w:vAlign w:val="center"/>
                </w:tcPr>
                <w:p>
                  <w:pPr>
                    <w:pStyle w:val="36"/>
                    <w:rPr>
                      <w:color w:val="000000"/>
                    </w:rPr>
                  </w:pPr>
                  <w:r>
                    <w:rPr>
                      <w:rFonts w:hint="eastAsia"/>
                      <w:color w:val="000000"/>
                    </w:rPr>
                    <w:t>事故现场、工厂邻近区、受事故影响的区域人员及公众对毒物应急剂量控制规定，撤离组织计划和救护、医疗救护与公众健康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751" w:type="dxa"/>
                  <w:vAlign w:val="center"/>
                </w:tcPr>
                <w:p>
                  <w:pPr>
                    <w:pStyle w:val="36"/>
                    <w:rPr>
                      <w:color w:val="000000"/>
                    </w:rPr>
                  </w:pPr>
                  <w:r>
                    <w:rPr>
                      <w:rFonts w:hint="eastAsia"/>
                      <w:color w:val="000000"/>
                    </w:rPr>
                    <w:t>9</w:t>
                  </w:r>
                </w:p>
              </w:tc>
              <w:tc>
                <w:tcPr>
                  <w:tcW w:w="2410" w:type="dxa"/>
                  <w:vAlign w:val="center"/>
                </w:tcPr>
                <w:p>
                  <w:pPr>
                    <w:pStyle w:val="36"/>
                    <w:rPr>
                      <w:color w:val="000000"/>
                    </w:rPr>
                  </w:pPr>
                  <w:r>
                    <w:rPr>
                      <w:rFonts w:hint="eastAsia"/>
                      <w:color w:val="000000"/>
                    </w:rPr>
                    <w:t>事故应急救援关闭程序与恢复措施</w:t>
                  </w:r>
                </w:p>
              </w:tc>
              <w:tc>
                <w:tcPr>
                  <w:tcW w:w="5321" w:type="dxa"/>
                  <w:vAlign w:val="center"/>
                </w:tcPr>
                <w:p>
                  <w:pPr>
                    <w:pStyle w:val="36"/>
                    <w:rPr>
                      <w:color w:val="000000"/>
                    </w:rPr>
                  </w:pPr>
                  <w:r>
                    <w:rPr>
                      <w:rFonts w:hint="eastAsia"/>
                      <w:color w:val="000000"/>
                    </w:rPr>
                    <w:t>规定应急状态终止程序</w:t>
                  </w:r>
                </w:p>
                <w:p>
                  <w:pPr>
                    <w:pStyle w:val="36"/>
                    <w:rPr>
                      <w:color w:val="000000"/>
                    </w:rPr>
                  </w:pPr>
                  <w:r>
                    <w:rPr>
                      <w:rFonts w:hint="eastAsia"/>
                      <w:color w:val="000000"/>
                    </w:rPr>
                    <w:t>事故现场善后处理，恢复措施</w:t>
                  </w:r>
                </w:p>
                <w:p>
                  <w:pPr>
                    <w:pStyle w:val="36"/>
                    <w:rPr>
                      <w:color w:val="000000"/>
                    </w:rPr>
                  </w:pPr>
                  <w:r>
                    <w:rPr>
                      <w:rFonts w:hint="eastAsia"/>
                      <w:color w:val="000000"/>
                    </w:rPr>
                    <w:t>邻近区域解除事故警戒及善后恢复措施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751" w:type="dxa"/>
                  <w:vAlign w:val="center"/>
                </w:tcPr>
                <w:p>
                  <w:pPr>
                    <w:pStyle w:val="36"/>
                    <w:rPr>
                      <w:color w:val="000000"/>
                    </w:rPr>
                  </w:pPr>
                  <w:r>
                    <w:rPr>
                      <w:rFonts w:hint="eastAsia"/>
                      <w:color w:val="000000"/>
                    </w:rPr>
                    <w:t>10</w:t>
                  </w:r>
                </w:p>
              </w:tc>
              <w:tc>
                <w:tcPr>
                  <w:tcW w:w="2410" w:type="dxa"/>
                  <w:vAlign w:val="center"/>
                </w:tcPr>
                <w:p>
                  <w:pPr>
                    <w:pStyle w:val="36"/>
                    <w:rPr>
                      <w:color w:val="000000"/>
                    </w:rPr>
                  </w:pPr>
                  <w:r>
                    <w:rPr>
                      <w:rFonts w:hint="eastAsia"/>
                      <w:color w:val="000000"/>
                    </w:rPr>
                    <w:t>应急培训计划</w:t>
                  </w:r>
                </w:p>
              </w:tc>
              <w:tc>
                <w:tcPr>
                  <w:tcW w:w="5321" w:type="dxa"/>
                  <w:vAlign w:val="center"/>
                </w:tcPr>
                <w:p>
                  <w:pPr>
                    <w:pStyle w:val="36"/>
                    <w:rPr>
                      <w:color w:val="000000"/>
                    </w:rPr>
                  </w:pPr>
                  <w:r>
                    <w:rPr>
                      <w:rFonts w:hint="eastAsia"/>
                      <w:color w:val="000000"/>
                    </w:rPr>
                    <w:t>应急计划制定后，平时安排人员培训与演练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51" w:type="dxa"/>
                  <w:vAlign w:val="center"/>
                </w:tcPr>
                <w:p>
                  <w:pPr>
                    <w:pStyle w:val="36"/>
                    <w:rPr>
                      <w:color w:val="000000"/>
                    </w:rPr>
                  </w:pPr>
                  <w:r>
                    <w:rPr>
                      <w:rFonts w:hint="eastAsia"/>
                      <w:color w:val="000000"/>
                    </w:rPr>
                    <w:t>11</w:t>
                  </w:r>
                </w:p>
              </w:tc>
              <w:tc>
                <w:tcPr>
                  <w:tcW w:w="2410" w:type="dxa"/>
                  <w:vAlign w:val="center"/>
                </w:tcPr>
                <w:p>
                  <w:pPr>
                    <w:pStyle w:val="36"/>
                    <w:rPr>
                      <w:color w:val="000000"/>
                    </w:rPr>
                  </w:pPr>
                  <w:r>
                    <w:rPr>
                      <w:rFonts w:hint="eastAsia"/>
                      <w:color w:val="000000"/>
                    </w:rPr>
                    <w:t>公共教育和信息</w:t>
                  </w:r>
                </w:p>
              </w:tc>
              <w:tc>
                <w:tcPr>
                  <w:tcW w:w="5321" w:type="dxa"/>
                  <w:vAlign w:val="center"/>
                </w:tcPr>
                <w:p>
                  <w:pPr>
                    <w:pStyle w:val="36"/>
                    <w:rPr>
                      <w:color w:val="000000"/>
                    </w:rPr>
                  </w:pPr>
                  <w:r>
                    <w:rPr>
                      <w:rFonts w:hint="eastAsia"/>
                      <w:color w:val="000000"/>
                    </w:rPr>
                    <w:t>对工厂邻近地区开展公众教育、培训和发布有关信息</w:t>
                  </w:r>
                </w:p>
              </w:tc>
            </w:tr>
          </w:tbl>
          <w:p>
            <w:pPr>
              <w:pStyle w:val="6"/>
              <w:spacing w:before="120" w:beforeLines="50" w:after="0" w:line="360" w:lineRule="auto"/>
              <w:ind w:right="0" w:firstLine="480" w:firstLineChars="200"/>
              <w:rPr>
                <w:sz w:val="24"/>
              </w:rPr>
            </w:pPr>
            <w:r>
              <w:rPr>
                <w:rFonts w:hint="eastAsia"/>
                <w:sz w:val="24"/>
              </w:rPr>
              <w:t>综上所述，项目运营过程中风险是存在的，但只要加强管理，建立健全相应的风险防范措施、应急措施，并在设计、施工、管理及运行中认真落实安评报告提出的措施和相关安全管理规定、环境风险评价中提出的措施和相关环保规定，在得到安监、环保管理部门许可后再运营，其上述风险事故隐患可降至可接受水平。</w:t>
            </w:r>
          </w:p>
          <w:p>
            <w:pPr>
              <w:pStyle w:val="6"/>
              <w:adjustRightInd w:val="0"/>
              <w:spacing w:before="0" w:after="0" w:line="360" w:lineRule="auto"/>
              <w:ind w:right="0" w:firstLine="480" w:firstLineChars="200"/>
              <w:rPr>
                <w:color w:val="000000"/>
                <w:sz w:val="24"/>
              </w:rPr>
            </w:pPr>
            <w:r>
              <w:rPr>
                <w:rFonts w:hint="eastAsia"/>
                <w:color w:val="000000"/>
                <w:sz w:val="24"/>
              </w:rPr>
              <w:t>（</w:t>
            </w:r>
            <w:r>
              <w:rPr>
                <w:color w:val="000000"/>
                <w:sz w:val="24"/>
              </w:rPr>
              <w:t>3</w:t>
            </w:r>
            <w:r>
              <w:rPr>
                <w:rFonts w:hint="eastAsia"/>
                <w:color w:val="000000"/>
                <w:sz w:val="24"/>
              </w:rPr>
              <w:t>）环境风险评价结论</w:t>
            </w:r>
          </w:p>
          <w:p>
            <w:pPr>
              <w:pStyle w:val="6"/>
              <w:adjustRightInd w:val="0"/>
              <w:spacing w:before="0" w:after="0" w:line="360" w:lineRule="auto"/>
              <w:ind w:right="0" w:firstLine="480" w:firstLineChars="200"/>
              <w:rPr>
                <w:color w:val="000000"/>
                <w:sz w:val="24"/>
              </w:rPr>
            </w:pPr>
            <w:r>
              <w:rPr>
                <w:rFonts w:hint="eastAsia"/>
                <w:color w:val="000000"/>
                <w:sz w:val="24"/>
              </w:rPr>
              <w:t>综上所述，项目运营过程中风险是存在的，但只要加强管理，建立健全相应的风险防范措施、应急措施，并在设计、施工、管理及运行中认真落实安全评估报告提出的措施和相关安全管理规定、环境风险评价中提出的措施和相关环保规定，在得到安监、环保管理部门许可后再运营，其上述环境风险可控。本项目环境风险简单分析内容详见表</w:t>
            </w:r>
            <w:r>
              <w:rPr>
                <w:color w:val="000000"/>
                <w:sz w:val="24"/>
              </w:rPr>
              <w:t>4</w:t>
            </w:r>
            <w:r>
              <w:rPr>
                <w:rFonts w:hint="eastAsia"/>
                <w:color w:val="000000"/>
                <w:sz w:val="24"/>
              </w:rPr>
              <w:t>-25：</w:t>
            </w:r>
          </w:p>
          <w:p>
            <w:pPr>
              <w:pStyle w:val="12"/>
              <w:adjustRightInd w:val="0"/>
              <w:snapToGrid w:val="0"/>
              <w:spacing w:before="0" w:beforeAutospacing="0" w:after="0" w:afterAutospacing="0"/>
              <w:jc w:val="center"/>
              <w:rPr>
                <w:rFonts w:ascii="Times New Roman" w:hAnsi="Times New Roman"/>
                <w:b/>
                <w:color w:val="000000"/>
                <w:sz w:val="21"/>
                <w:szCs w:val="21"/>
              </w:rPr>
            </w:pPr>
            <w:r>
              <w:rPr>
                <w:rFonts w:ascii="Times New Roman" w:hAnsi="Times New Roman"/>
                <w:b/>
                <w:color w:val="000000"/>
                <w:sz w:val="21"/>
                <w:szCs w:val="21"/>
              </w:rPr>
              <w:t>表4-16</w:t>
            </w:r>
            <w:r>
              <w:rPr>
                <w:rFonts w:hint="eastAsia" w:ascii="Times New Roman" w:hAnsi="Times New Roman"/>
                <w:b/>
                <w:color w:val="000000"/>
                <w:sz w:val="21"/>
                <w:szCs w:val="21"/>
              </w:rPr>
              <w:t xml:space="preserve"> </w:t>
            </w:r>
            <w:r>
              <w:rPr>
                <w:rFonts w:ascii="Times New Roman" w:hAnsi="Times New Roman"/>
                <w:b/>
                <w:color w:val="000000"/>
                <w:sz w:val="21"/>
                <w:szCs w:val="21"/>
              </w:rPr>
              <w:t>项目环境风险简单分析内容表</w:t>
            </w:r>
          </w:p>
          <w:tbl>
            <w:tblPr>
              <w:tblStyle w:val="14"/>
              <w:tblW w:w="855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725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05"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ascii="Times New Roman" w:hAnsi="Times New Roman"/>
                      <w:bCs/>
                      <w:color w:val="000000"/>
                      <w:sz w:val="21"/>
                      <w:szCs w:val="21"/>
                    </w:rPr>
                    <w:t>建设项目名称</w:t>
                  </w:r>
                </w:p>
              </w:tc>
              <w:tc>
                <w:tcPr>
                  <w:tcW w:w="7254"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hint="eastAsia" w:ascii="Times New Roman" w:hAnsi="Times New Roman"/>
                      <w:bCs/>
                      <w:color w:val="000000"/>
                      <w:sz w:val="21"/>
                      <w:szCs w:val="21"/>
                    </w:rPr>
                    <w:t>乐山市沙湾区铜河资源绿色建材加工厂项目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05"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ascii="Times New Roman" w:hAnsi="Times New Roman"/>
                      <w:bCs/>
                      <w:color w:val="000000"/>
                      <w:sz w:val="21"/>
                      <w:szCs w:val="21"/>
                    </w:rPr>
                    <w:t>建设地点</w:t>
                  </w:r>
                </w:p>
              </w:tc>
              <w:tc>
                <w:tcPr>
                  <w:tcW w:w="7254"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hint="eastAsia" w:ascii="Times New Roman" w:hAnsi="Times New Roman"/>
                      <w:bCs/>
                      <w:color w:val="000000"/>
                      <w:sz w:val="21"/>
                      <w:szCs w:val="21"/>
                    </w:rPr>
                    <w:t>四川省乐山市沙湾区嘉农镇王场村民生不锈钢产业园嘉农组团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05"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ascii="Times New Roman" w:hAnsi="Times New Roman"/>
                      <w:bCs/>
                      <w:color w:val="000000"/>
                      <w:sz w:val="21"/>
                      <w:szCs w:val="21"/>
                    </w:rPr>
                    <w:t>地理坐标</w:t>
                  </w:r>
                </w:p>
              </w:tc>
              <w:tc>
                <w:tcPr>
                  <w:tcW w:w="7254"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hint="eastAsia" w:ascii="Times New Roman" w:hAnsi="Times New Roman"/>
                      <w:bCs/>
                      <w:color w:val="000000"/>
                      <w:sz w:val="21"/>
                      <w:szCs w:val="21"/>
                    </w:rPr>
                    <w:t>经度：</w:t>
                  </w:r>
                  <w:r>
                    <w:rPr>
                      <w:rFonts w:ascii="Times New Roman" w:hAnsi="Times New Roman"/>
                      <w:bCs/>
                      <w:color w:val="000000"/>
                      <w:sz w:val="21"/>
                      <w:szCs w:val="21"/>
                    </w:rPr>
                    <w:t>103.5861</w:t>
                  </w:r>
                  <w:r>
                    <w:rPr>
                      <w:rFonts w:hint="eastAsia" w:ascii="Times New Roman" w:hAnsi="Times New Roman"/>
                      <w:bCs/>
                      <w:color w:val="000000"/>
                      <w:sz w:val="21"/>
                      <w:szCs w:val="21"/>
                    </w:rPr>
                    <w:t>°，纬度：</w:t>
                  </w:r>
                  <w:r>
                    <w:rPr>
                      <w:rFonts w:ascii="Times New Roman" w:hAnsi="Times New Roman"/>
                      <w:bCs/>
                      <w:color w:val="000000"/>
                      <w:sz w:val="21"/>
                      <w:szCs w:val="21"/>
                    </w:rPr>
                    <w:t>29.4815</w:t>
                  </w:r>
                  <w:r>
                    <w:rPr>
                      <w:rFonts w:hint="eastAsia" w:ascii="Times New Roman" w:hAnsi="Times New Roman"/>
                      <w:bCs/>
                      <w:color w:val="000000"/>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05"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ascii="Times New Roman" w:hAnsi="Times New Roman"/>
                      <w:bCs/>
                      <w:color w:val="000000"/>
                      <w:sz w:val="21"/>
                      <w:szCs w:val="21"/>
                    </w:rPr>
                    <w:t>主要危险物质及分布</w:t>
                  </w:r>
                </w:p>
              </w:tc>
              <w:tc>
                <w:tcPr>
                  <w:tcW w:w="7254"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hint="eastAsia" w:ascii="Times New Roman" w:hAnsi="Times New Roman"/>
                      <w:bCs/>
                      <w:color w:val="000000"/>
                      <w:sz w:val="21"/>
                      <w:szCs w:val="21"/>
                    </w:rPr>
                    <w:t>主要危险物质为生产期间产生的废气、废水，主要分布在生产车间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305"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ascii="Times New Roman" w:hAnsi="Times New Roman"/>
                      <w:bCs/>
                      <w:color w:val="000000"/>
                      <w:sz w:val="21"/>
                      <w:szCs w:val="21"/>
                    </w:rPr>
                    <w:t>环境影响途径及危害后果</w:t>
                  </w:r>
                </w:p>
              </w:tc>
              <w:tc>
                <w:tcPr>
                  <w:tcW w:w="7254"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hint="eastAsia" w:ascii="Times New Roman" w:hAnsi="Times New Roman"/>
                      <w:bCs/>
                      <w:color w:val="000000"/>
                      <w:sz w:val="21"/>
                      <w:szCs w:val="21"/>
                    </w:rPr>
                    <w:t>运营期间废水的随意排放，将对大渡河造成较大影响；生产过程中降尘设施出现故障造成粉尘的不达标排放，对周围环境造成严重影响。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305"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ascii="Times New Roman" w:hAnsi="Times New Roman"/>
                      <w:bCs/>
                      <w:color w:val="000000"/>
                      <w:sz w:val="21"/>
                      <w:szCs w:val="21"/>
                    </w:rPr>
                    <w:t>风险防范措施要求</w:t>
                  </w:r>
                </w:p>
              </w:tc>
              <w:tc>
                <w:tcPr>
                  <w:tcW w:w="7254" w:type="dxa"/>
                  <w:shd w:val="clear" w:color="auto" w:fill="auto"/>
                  <w:vAlign w:val="center"/>
                </w:tcPr>
                <w:p>
                  <w:pPr>
                    <w:pStyle w:val="12"/>
                    <w:adjustRightInd w:val="0"/>
                    <w:snapToGrid w:val="0"/>
                    <w:spacing w:before="0" w:beforeAutospacing="0" w:after="0" w:afterAutospacing="0"/>
                    <w:jc w:val="both"/>
                    <w:rPr>
                      <w:rFonts w:ascii="Times New Roman" w:hAnsi="Times New Roman"/>
                      <w:bCs/>
                      <w:color w:val="000000"/>
                      <w:sz w:val="21"/>
                      <w:szCs w:val="21"/>
                    </w:rPr>
                  </w:pPr>
                  <w:r>
                    <w:rPr>
                      <w:rFonts w:hint="eastAsia" w:ascii="Times New Roman" w:hAnsi="Times New Roman"/>
                      <w:bCs/>
                      <w:color w:val="000000"/>
                      <w:sz w:val="21"/>
                      <w:szCs w:val="21"/>
                    </w:rPr>
                    <w:t>禁止在厂区储存油料、进行车辆维修活动，加强柴油设备管理，避免柴油泄露。</w:t>
                  </w:r>
                </w:p>
                <w:p>
                  <w:pPr>
                    <w:pStyle w:val="12"/>
                    <w:adjustRightInd w:val="0"/>
                    <w:snapToGrid w:val="0"/>
                    <w:spacing w:before="0" w:beforeAutospacing="0" w:after="0" w:afterAutospacing="0"/>
                    <w:jc w:val="both"/>
                    <w:rPr>
                      <w:rFonts w:ascii="Times New Roman" w:hAnsi="Times New Roman"/>
                      <w:bCs/>
                      <w:color w:val="000000"/>
                      <w:sz w:val="21"/>
                      <w:szCs w:val="21"/>
                    </w:rPr>
                  </w:pPr>
                  <w:r>
                    <w:rPr>
                      <w:rFonts w:hint="eastAsia" w:ascii="Times New Roman" w:hAnsi="Times New Roman"/>
                      <w:bCs/>
                      <w:color w:val="000000"/>
                      <w:sz w:val="21"/>
                      <w:szCs w:val="21"/>
                    </w:rPr>
                    <w:t>加强设备管理，定期检修，保障设备正常运行；</w:t>
                  </w:r>
                </w:p>
                <w:p>
                  <w:pPr>
                    <w:pStyle w:val="12"/>
                    <w:adjustRightInd w:val="0"/>
                    <w:snapToGrid w:val="0"/>
                    <w:spacing w:before="0" w:beforeAutospacing="0" w:after="0" w:afterAutospacing="0"/>
                    <w:jc w:val="both"/>
                    <w:rPr>
                      <w:rFonts w:ascii="Times New Roman" w:hAnsi="Times New Roman"/>
                      <w:bCs/>
                      <w:color w:val="000000"/>
                      <w:sz w:val="21"/>
                      <w:szCs w:val="21"/>
                    </w:rPr>
                  </w:pPr>
                  <w:r>
                    <w:rPr>
                      <w:rFonts w:hint="eastAsia" w:ascii="Times New Roman" w:hAnsi="Times New Roman"/>
                      <w:bCs/>
                      <w:color w:val="000000"/>
                      <w:sz w:val="21"/>
                      <w:szCs w:val="21"/>
                    </w:rPr>
                    <w:t>对除尘设备定期进行检查，保证除尘设备的除尘效率，降低大气环境污染风险。</w:t>
                  </w:r>
                </w:p>
                <w:p>
                  <w:pPr>
                    <w:pStyle w:val="12"/>
                    <w:adjustRightInd w:val="0"/>
                    <w:snapToGrid w:val="0"/>
                    <w:spacing w:before="0" w:beforeAutospacing="0" w:after="0" w:afterAutospacing="0"/>
                    <w:jc w:val="both"/>
                    <w:rPr>
                      <w:rFonts w:ascii="Times New Roman" w:hAnsi="Times New Roman"/>
                      <w:bCs/>
                      <w:color w:val="000000"/>
                      <w:sz w:val="21"/>
                      <w:szCs w:val="21"/>
                    </w:rPr>
                  </w:pPr>
                  <w:r>
                    <w:rPr>
                      <w:rFonts w:hint="eastAsia" w:ascii="Times New Roman" w:hAnsi="Times New Roman"/>
                      <w:bCs/>
                      <w:color w:val="000000"/>
                      <w:sz w:val="21"/>
                      <w:szCs w:val="21"/>
                    </w:rPr>
                    <w:t>定期清理浓密罐内污泥，并定期检查其功能性，降低废水对环境的污染。同时应做好大暴雨天气沉淀池的防雨措施，避免废水外溢造成环境污染。</w:t>
                  </w:r>
                </w:p>
                <w:p>
                  <w:pPr>
                    <w:pStyle w:val="12"/>
                    <w:adjustRightInd w:val="0"/>
                    <w:snapToGrid w:val="0"/>
                    <w:spacing w:before="0" w:beforeAutospacing="0" w:after="0" w:afterAutospacing="0"/>
                    <w:jc w:val="both"/>
                    <w:rPr>
                      <w:rFonts w:ascii="Times New Roman" w:hAnsi="Times New Roman"/>
                      <w:bCs/>
                      <w:color w:val="000000"/>
                      <w:sz w:val="21"/>
                      <w:szCs w:val="21"/>
                    </w:rPr>
                  </w:pPr>
                  <w:r>
                    <w:rPr>
                      <w:rFonts w:hint="eastAsia" w:ascii="Times New Roman" w:hAnsi="Times New Roman"/>
                      <w:bCs/>
                      <w:color w:val="000000"/>
                      <w:sz w:val="21"/>
                      <w:szCs w:val="21"/>
                    </w:rPr>
                    <w:t>加强废水处理设施的检维修，保证废水处理设施的正常运行，严禁废水外排。</w:t>
                  </w:r>
                </w:p>
                <w:p>
                  <w:pPr>
                    <w:pStyle w:val="12"/>
                    <w:adjustRightInd w:val="0"/>
                    <w:snapToGrid w:val="0"/>
                    <w:spacing w:before="0" w:beforeAutospacing="0" w:after="0" w:afterAutospacing="0"/>
                    <w:jc w:val="both"/>
                    <w:rPr>
                      <w:rFonts w:ascii="Times New Roman" w:hAnsi="Times New Roman"/>
                      <w:bCs/>
                      <w:color w:val="000000"/>
                      <w:sz w:val="21"/>
                      <w:szCs w:val="21"/>
                    </w:rPr>
                  </w:pPr>
                  <w:r>
                    <w:rPr>
                      <w:rFonts w:hint="eastAsia" w:ascii="Times New Roman" w:hAnsi="Times New Roman"/>
                      <w:bCs/>
                      <w:color w:val="000000"/>
                      <w:sz w:val="21"/>
                      <w:szCs w:val="21"/>
                    </w:rPr>
                    <w:t>砂石堆场不宜堆放过高，应及时清运砂石、加强管理、清气巡查，避免堆砂场垮塌风险。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05"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ascii="Times New Roman" w:hAnsi="Times New Roman"/>
                      <w:bCs/>
                      <w:color w:val="000000"/>
                      <w:sz w:val="21"/>
                      <w:szCs w:val="21"/>
                    </w:rPr>
                    <w:t>填表说明</w:t>
                  </w:r>
                </w:p>
              </w:tc>
              <w:tc>
                <w:tcPr>
                  <w:tcW w:w="7254" w:type="dxa"/>
                  <w:shd w:val="clear" w:color="auto" w:fill="auto"/>
                  <w:vAlign w:val="center"/>
                </w:tcPr>
                <w:p>
                  <w:pPr>
                    <w:pStyle w:val="12"/>
                    <w:adjustRightInd w:val="0"/>
                    <w:snapToGrid w:val="0"/>
                    <w:spacing w:before="0" w:beforeAutospacing="0" w:after="0" w:afterAutospacing="0"/>
                    <w:jc w:val="center"/>
                    <w:rPr>
                      <w:rFonts w:ascii="Times New Roman" w:hAnsi="Times New Roman"/>
                      <w:bCs/>
                      <w:color w:val="000000"/>
                      <w:sz w:val="21"/>
                      <w:szCs w:val="21"/>
                    </w:rPr>
                  </w:pPr>
                  <w:r>
                    <w:rPr>
                      <w:rFonts w:hint="eastAsia" w:ascii="Times New Roman" w:hAnsi="Times New Roman"/>
                      <w:bCs/>
                      <w:color w:val="000000"/>
                      <w:sz w:val="21"/>
                      <w:szCs w:val="21"/>
                    </w:rPr>
                    <w:t>/</w:t>
                  </w:r>
                </w:p>
              </w:tc>
            </w:tr>
          </w:tbl>
          <w:p>
            <w:pPr>
              <w:wordWrap w:val="0"/>
              <w:topLinePunct/>
              <w:adjustRightInd w:val="0"/>
              <w:snapToGrid w:val="0"/>
              <w:spacing w:before="120" w:beforeLines="50" w:line="360" w:lineRule="auto"/>
              <w:ind w:firstLine="482" w:firstLineChars="200"/>
              <w:jc w:val="left"/>
              <w:rPr>
                <w:b/>
                <w:color w:val="000000"/>
                <w:sz w:val="24"/>
              </w:rPr>
            </w:pPr>
            <w:r>
              <w:rPr>
                <w:rFonts w:hint="eastAsia"/>
                <w:b/>
                <w:color w:val="000000"/>
                <w:sz w:val="24"/>
              </w:rPr>
              <w:t>9、环境正效应分析</w:t>
            </w:r>
          </w:p>
          <w:p>
            <w:pPr>
              <w:topLinePunct/>
              <w:adjustRightInd w:val="0"/>
              <w:snapToGrid w:val="0"/>
              <w:spacing w:line="360" w:lineRule="auto"/>
              <w:ind w:firstLine="480" w:firstLineChars="200"/>
              <w:rPr>
                <w:color w:val="000000"/>
                <w:sz w:val="32"/>
              </w:rPr>
            </w:pPr>
            <w:r>
              <w:rPr>
                <w:rFonts w:hint="eastAsia" w:cs="宋体"/>
                <w:bCs/>
                <w:sz w:val="24"/>
              </w:rPr>
              <w:t>原弃方堆放地</w:t>
            </w:r>
            <w:r>
              <w:rPr>
                <w:rFonts w:hint="eastAsia"/>
                <w:color w:val="000000"/>
                <w:sz w:val="24"/>
              </w:rPr>
              <w:t>未进行生态恢复，弃方为裸露状态，容易造成水土流失，且堆渣造成所在场地不能作其他用途。项目建成后，对弃方进行废物再利用，弃渣消耗完后土地回归平整，能有效减少水土流失，且</w:t>
            </w:r>
            <w:r>
              <w:rPr>
                <w:rFonts w:hint="eastAsia" w:cs="宋体"/>
                <w:bCs/>
                <w:sz w:val="24"/>
                <w:lang w:val="zh-CN"/>
              </w:rPr>
              <w:t>方便土地用于其他用途</w:t>
            </w:r>
            <w:r>
              <w:rPr>
                <w:rFonts w:hint="eastAsia"/>
                <w:color w:val="000000"/>
                <w:sz w:val="24"/>
              </w:rPr>
              <w:t>，对环境具有正效应。</w:t>
            </w:r>
          </w:p>
          <w:p>
            <w:pPr>
              <w:pStyle w:val="38"/>
              <w:ind w:firstLine="482"/>
              <w:rPr>
                <w:b/>
                <w:color w:val="000000"/>
              </w:rPr>
            </w:pPr>
            <w:r>
              <w:rPr>
                <w:rFonts w:hint="eastAsia" w:ascii="宋体" w:hAnsi="宋体"/>
                <w:b/>
              </w:rPr>
              <w:t>1</w:t>
            </w:r>
            <w:r>
              <w:rPr>
                <w:rFonts w:ascii="宋体" w:hAnsi="宋体"/>
                <w:b/>
              </w:rPr>
              <w:t>0</w:t>
            </w:r>
            <w:r>
              <w:rPr>
                <w:rFonts w:hint="eastAsia" w:ascii="宋体" w:hAnsi="宋体"/>
                <w:b/>
              </w:rPr>
              <w:t>、</w:t>
            </w:r>
            <w:r>
              <w:rPr>
                <w:rFonts w:hint="eastAsia"/>
                <w:b/>
                <w:color w:val="000000"/>
              </w:rPr>
              <w:t>项目环保治理投资估算</w:t>
            </w:r>
          </w:p>
          <w:p>
            <w:pPr>
              <w:pStyle w:val="57"/>
              <w:rPr>
                <w:color w:val="000000"/>
              </w:rPr>
            </w:pPr>
            <w:r>
              <w:rPr>
                <w:color w:val="000000"/>
              </w:rPr>
              <w:t>本项目建设总投资7000</w:t>
            </w:r>
            <w:r>
              <w:rPr>
                <w:rFonts w:hint="eastAsia"/>
                <w:color w:val="000000"/>
              </w:rPr>
              <w:t>万</w:t>
            </w:r>
            <w:r>
              <w:rPr>
                <w:color w:val="000000"/>
              </w:rPr>
              <w:t>元，项目环保投资预计为</w:t>
            </w:r>
            <w:r>
              <w:rPr>
                <w:bCs/>
                <w:color w:val="000000"/>
              </w:rPr>
              <w:t>196</w:t>
            </w:r>
            <w:r>
              <w:rPr>
                <w:color w:val="000000"/>
              </w:rPr>
              <w:t>万元，占项目总投资的2.8%，项目环保设施及投资详</w:t>
            </w:r>
            <w:r>
              <w:rPr>
                <w:rFonts w:hint="eastAsia"/>
                <w:color w:val="000000"/>
              </w:rPr>
              <w:t>如下表所示</w:t>
            </w:r>
            <w:r>
              <w:rPr>
                <w:color w:val="000000"/>
              </w:rPr>
              <w:t>。</w:t>
            </w:r>
          </w:p>
          <w:p>
            <w:pPr>
              <w:pStyle w:val="58"/>
              <w:spacing w:line="240" w:lineRule="auto"/>
              <w:rPr>
                <w:color w:val="000000"/>
              </w:rPr>
            </w:pPr>
            <w:r>
              <w:rPr>
                <w:color w:val="000000"/>
              </w:rPr>
              <w:t>表</w:t>
            </w:r>
            <w:r>
              <w:rPr>
                <w:rFonts w:hint="eastAsia"/>
                <w:color w:val="000000"/>
              </w:rPr>
              <w:t>4</w:t>
            </w:r>
            <w:r>
              <w:rPr>
                <w:color w:val="000000"/>
              </w:rPr>
              <w:t>-17 项目环保投资一览表  单位：万元</w:t>
            </w:r>
          </w:p>
          <w:tbl>
            <w:tblPr>
              <w:tblStyle w:val="14"/>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
              <w:gridCol w:w="964"/>
              <w:gridCol w:w="2126"/>
              <w:gridCol w:w="3683"/>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076" w:type="pct"/>
                  <w:gridSpan w:val="3"/>
                  <w:tcBorders>
                    <w:top w:val="single" w:color="auto" w:sz="12" w:space="0"/>
                    <w:left w:val="nil"/>
                  </w:tcBorders>
                  <w:vAlign w:val="center"/>
                </w:tcPr>
                <w:p>
                  <w:pPr>
                    <w:pStyle w:val="59"/>
                    <w:rPr>
                      <w:b/>
                      <w:bCs/>
                      <w:color w:val="000000"/>
                    </w:rPr>
                  </w:pPr>
                  <w:r>
                    <w:rPr>
                      <w:b/>
                      <w:bCs/>
                      <w:color w:val="000000"/>
                    </w:rPr>
                    <w:t>项目</w:t>
                  </w:r>
                </w:p>
              </w:tc>
              <w:tc>
                <w:tcPr>
                  <w:tcW w:w="2209" w:type="pct"/>
                  <w:tcBorders>
                    <w:top w:val="single" w:color="auto" w:sz="12" w:space="0"/>
                  </w:tcBorders>
                  <w:vAlign w:val="center"/>
                </w:tcPr>
                <w:p>
                  <w:pPr>
                    <w:pStyle w:val="59"/>
                    <w:rPr>
                      <w:b/>
                      <w:bCs/>
                      <w:color w:val="000000"/>
                    </w:rPr>
                  </w:pPr>
                  <w:r>
                    <w:rPr>
                      <w:b/>
                      <w:bCs/>
                      <w:color w:val="000000"/>
                    </w:rPr>
                    <w:t>环保建设规模</w:t>
                  </w:r>
                </w:p>
              </w:tc>
              <w:tc>
                <w:tcPr>
                  <w:tcW w:w="715" w:type="pct"/>
                  <w:tcBorders>
                    <w:top w:val="single" w:color="auto" w:sz="12" w:space="0"/>
                    <w:right w:val="nil"/>
                  </w:tcBorders>
                  <w:vAlign w:val="center"/>
                </w:tcPr>
                <w:p>
                  <w:pPr>
                    <w:pStyle w:val="59"/>
                    <w:rPr>
                      <w:b/>
                      <w:bCs/>
                      <w:color w:val="000000"/>
                    </w:rPr>
                  </w:pPr>
                  <w:r>
                    <w:rPr>
                      <w:b/>
                      <w:bCs/>
                      <w:color w:val="000000"/>
                    </w:rPr>
                    <w:t>投资额</w:t>
                  </w:r>
                </w:p>
                <w:p>
                  <w:pPr>
                    <w:pStyle w:val="59"/>
                    <w:rPr>
                      <w:b/>
                      <w:bCs/>
                      <w:color w:val="000000"/>
                    </w:rPr>
                  </w:pPr>
                  <w:r>
                    <w:rPr>
                      <w:rFonts w:hint="eastAsia"/>
                      <w:b/>
                      <w:bCs/>
                      <w:color w:val="00000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restart"/>
                  <w:tcBorders>
                    <w:left w:val="nil"/>
                  </w:tcBorders>
                  <w:vAlign w:val="center"/>
                </w:tcPr>
                <w:p>
                  <w:pPr>
                    <w:pStyle w:val="59"/>
                    <w:rPr>
                      <w:bCs/>
                      <w:color w:val="000000"/>
                    </w:rPr>
                  </w:pPr>
                  <w:r>
                    <w:rPr>
                      <w:rFonts w:hint="eastAsia"/>
                      <w:bCs/>
                      <w:color w:val="000000"/>
                    </w:rPr>
                    <w:t>运营期</w:t>
                  </w:r>
                </w:p>
              </w:tc>
              <w:tc>
                <w:tcPr>
                  <w:tcW w:w="578" w:type="pct"/>
                  <w:vMerge w:val="restart"/>
                  <w:vAlign w:val="center"/>
                </w:tcPr>
                <w:p>
                  <w:pPr>
                    <w:pStyle w:val="59"/>
                    <w:rPr>
                      <w:bCs/>
                      <w:color w:val="000000"/>
                    </w:rPr>
                  </w:pPr>
                  <w:r>
                    <w:rPr>
                      <w:rFonts w:hint="eastAsia"/>
                      <w:bCs/>
                      <w:color w:val="000000"/>
                    </w:rPr>
                    <w:t>废水</w:t>
                  </w:r>
                </w:p>
                <w:p>
                  <w:pPr>
                    <w:pStyle w:val="59"/>
                    <w:rPr>
                      <w:bCs/>
                      <w:color w:val="000000"/>
                    </w:rPr>
                  </w:pPr>
                  <w:r>
                    <w:rPr>
                      <w:rFonts w:hint="eastAsia"/>
                      <w:bCs/>
                      <w:color w:val="000000"/>
                    </w:rPr>
                    <w:t>治理</w:t>
                  </w:r>
                </w:p>
              </w:tc>
              <w:tc>
                <w:tcPr>
                  <w:tcW w:w="1275" w:type="pct"/>
                  <w:vAlign w:val="center"/>
                </w:tcPr>
                <w:p>
                  <w:pPr>
                    <w:pStyle w:val="47"/>
                  </w:pPr>
                  <w:r>
                    <w:rPr>
                      <w:rFonts w:hint="eastAsia"/>
                    </w:rPr>
                    <w:t>洗砂废水</w:t>
                  </w:r>
                </w:p>
              </w:tc>
              <w:tc>
                <w:tcPr>
                  <w:tcW w:w="2209" w:type="pct"/>
                  <w:vMerge w:val="restart"/>
                  <w:vAlign w:val="center"/>
                </w:tcPr>
                <w:p>
                  <w:pPr>
                    <w:pStyle w:val="47"/>
                  </w:pPr>
                  <w:r>
                    <w:rPr>
                      <w:rFonts w:hint="eastAsia"/>
                    </w:rPr>
                    <w:t>设置</w:t>
                  </w:r>
                  <w:r>
                    <w:t>1</w:t>
                  </w:r>
                  <w:r>
                    <w:rPr>
                      <w:rFonts w:hint="eastAsia"/>
                    </w:rPr>
                    <w:t>个浓密罐，对废水实施</w:t>
                  </w:r>
                  <w:r>
                    <w:t>沉淀</w:t>
                  </w:r>
                  <w:r>
                    <w:rPr>
                      <w:rFonts w:hint="eastAsia"/>
                    </w:rPr>
                    <w:t>后循环使用，不外排</w:t>
                  </w:r>
                </w:p>
              </w:tc>
              <w:tc>
                <w:tcPr>
                  <w:tcW w:w="715" w:type="pct"/>
                  <w:vMerge w:val="restart"/>
                  <w:tcBorders>
                    <w:right w:val="nil"/>
                  </w:tcBorders>
                  <w:vAlign w:val="center"/>
                </w:tcPr>
                <w:p>
                  <w:pPr>
                    <w:pStyle w:val="47"/>
                  </w:pPr>
                  <w:r>
                    <w:rPr>
                      <w:rFonts w:hint="eastAsia"/>
                    </w:rPr>
                    <w:t>4</w:t>
                  </w:r>
                  <w: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continue"/>
                  <w:tcBorders>
                    <w:left w:val="nil"/>
                  </w:tcBorders>
                  <w:vAlign w:val="center"/>
                </w:tcPr>
                <w:p>
                  <w:pPr>
                    <w:pStyle w:val="59"/>
                    <w:rPr>
                      <w:bCs/>
                      <w:color w:val="000000"/>
                    </w:rPr>
                  </w:pPr>
                </w:p>
              </w:tc>
              <w:tc>
                <w:tcPr>
                  <w:tcW w:w="578" w:type="pct"/>
                  <w:vMerge w:val="continue"/>
                  <w:vAlign w:val="center"/>
                </w:tcPr>
                <w:p>
                  <w:pPr>
                    <w:pStyle w:val="59"/>
                    <w:rPr>
                      <w:bCs/>
                      <w:color w:val="000000"/>
                    </w:rPr>
                  </w:pPr>
                </w:p>
              </w:tc>
              <w:tc>
                <w:tcPr>
                  <w:tcW w:w="1275" w:type="pct"/>
                  <w:vAlign w:val="center"/>
                </w:tcPr>
                <w:p>
                  <w:pPr>
                    <w:pStyle w:val="47"/>
                  </w:pPr>
                  <w:r>
                    <w:rPr>
                      <w:rFonts w:hint="eastAsia"/>
                    </w:rPr>
                    <w:t>车辆冲洗废水</w:t>
                  </w:r>
                </w:p>
              </w:tc>
              <w:tc>
                <w:tcPr>
                  <w:tcW w:w="2209" w:type="pct"/>
                  <w:vMerge w:val="continue"/>
                  <w:vAlign w:val="center"/>
                </w:tcPr>
                <w:p>
                  <w:pPr>
                    <w:pStyle w:val="47"/>
                  </w:pPr>
                </w:p>
              </w:tc>
              <w:tc>
                <w:tcPr>
                  <w:tcW w:w="715" w:type="pct"/>
                  <w:vMerge w:val="continue"/>
                  <w:tcBorders>
                    <w:right w:val="nil"/>
                  </w:tcBorders>
                  <w:vAlign w:val="center"/>
                </w:tcPr>
                <w:p>
                  <w:pPr>
                    <w:pStyle w:val="47"/>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23" w:type="pct"/>
                  <w:vMerge w:val="continue"/>
                  <w:tcBorders>
                    <w:left w:val="nil"/>
                  </w:tcBorders>
                  <w:vAlign w:val="center"/>
                </w:tcPr>
                <w:p>
                  <w:pPr>
                    <w:pStyle w:val="59"/>
                    <w:rPr>
                      <w:bCs/>
                      <w:color w:val="000000"/>
                    </w:rPr>
                  </w:pPr>
                </w:p>
              </w:tc>
              <w:tc>
                <w:tcPr>
                  <w:tcW w:w="578" w:type="pct"/>
                  <w:vMerge w:val="continue"/>
                  <w:tcBorders>
                    <w:bottom w:val="single" w:color="auto" w:sz="4" w:space="0"/>
                  </w:tcBorders>
                  <w:vAlign w:val="center"/>
                </w:tcPr>
                <w:p>
                  <w:pPr>
                    <w:pStyle w:val="59"/>
                    <w:rPr>
                      <w:bCs/>
                      <w:color w:val="000000"/>
                    </w:rPr>
                  </w:pPr>
                </w:p>
              </w:tc>
              <w:tc>
                <w:tcPr>
                  <w:tcW w:w="1275" w:type="pct"/>
                  <w:tcBorders>
                    <w:bottom w:val="single" w:color="auto" w:sz="4" w:space="0"/>
                  </w:tcBorders>
                  <w:vAlign w:val="center"/>
                </w:tcPr>
                <w:p>
                  <w:pPr>
                    <w:pStyle w:val="47"/>
                  </w:pPr>
                  <w:r>
                    <w:rPr>
                      <w:rFonts w:hint="eastAsia"/>
                    </w:rPr>
                    <w:t>洒水降尘用水</w:t>
                  </w:r>
                </w:p>
              </w:tc>
              <w:tc>
                <w:tcPr>
                  <w:tcW w:w="2209" w:type="pct"/>
                  <w:vAlign w:val="center"/>
                </w:tcPr>
                <w:p>
                  <w:pPr>
                    <w:pStyle w:val="47"/>
                  </w:pPr>
                  <w:r>
                    <w:rPr>
                      <w:rFonts w:hint="eastAsia"/>
                    </w:rPr>
                    <w:t>直接进入产品或蒸发损失，不外排</w:t>
                  </w:r>
                </w:p>
              </w:tc>
              <w:tc>
                <w:tcPr>
                  <w:tcW w:w="715" w:type="pct"/>
                  <w:tcBorders>
                    <w:bottom w:val="single" w:color="auto" w:sz="4" w:space="0"/>
                    <w:right w:val="nil"/>
                  </w:tcBorders>
                  <w:vAlign w:val="center"/>
                </w:tcPr>
                <w:p>
                  <w:pPr>
                    <w:pStyle w:val="47"/>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continue"/>
                  <w:tcBorders>
                    <w:left w:val="nil"/>
                  </w:tcBorders>
                  <w:vAlign w:val="center"/>
                </w:tcPr>
                <w:p>
                  <w:pPr>
                    <w:pStyle w:val="59"/>
                    <w:rPr>
                      <w:bCs/>
                      <w:color w:val="000000"/>
                    </w:rPr>
                  </w:pPr>
                </w:p>
              </w:tc>
              <w:tc>
                <w:tcPr>
                  <w:tcW w:w="578" w:type="pct"/>
                  <w:vMerge w:val="restart"/>
                  <w:vAlign w:val="center"/>
                </w:tcPr>
                <w:p>
                  <w:pPr>
                    <w:pStyle w:val="59"/>
                    <w:rPr>
                      <w:bCs/>
                      <w:color w:val="000000"/>
                    </w:rPr>
                  </w:pPr>
                  <w:r>
                    <w:rPr>
                      <w:bCs/>
                      <w:color w:val="000000"/>
                    </w:rPr>
                    <w:t>废气</w:t>
                  </w:r>
                </w:p>
                <w:p>
                  <w:pPr>
                    <w:pStyle w:val="59"/>
                    <w:rPr>
                      <w:bCs/>
                      <w:color w:val="000000"/>
                    </w:rPr>
                  </w:pPr>
                  <w:r>
                    <w:rPr>
                      <w:bCs/>
                      <w:color w:val="000000"/>
                    </w:rPr>
                    <w:t>治理</w:t>
                  </w:r>
                </w:p>
              </w:tc>
              <w:tc>
                <w:tcPr>
                  <w:tcW w:w="1275" w:type="pct"/>
                  <w:vAlign w:val="center"/>
                </w:tcPr>
                <w:p>
                  <w:pPr>
                    <w:pStyle w:val="47"/>
                  </w:pPr>
                  <w:r>
                    <w:rPr>
                      <w:rFonts w:hint="eastAsia"/>
                    </w:rPr>
                    <w:t>投料粉尘</w:t>
                  </w:r>
                </w:p>
              </w:tc>
              <w:tc>
                <w:tcPr>
                  <w:tcW w:w="2209" w:type="pct"/>
                  <w:vAlign w:val="center"/>
                </w:tcPr>
                <w:p>
                  <w:pPr>
                    <w:adjustRightInd w:val="0"/>
                    <w:snapToGrid w:val="0"/>
                    <w:jc w:val="center"/>
                    <w:rPr>
                      <w:szCs w:val="21"/>
                    </w:rPr>
                  </w:pPr>
                  <w:r>
                    <w:rPr>
                      <w:rFonts w:hint="eastAsia"/>
                    </w:rPr>
                    <w:t>地坑投料，</w:t>
                  </w:r>
                  <w:r>
                    <w:rPr>
                      <w:rFonts w:hint="eastAsia"/>
                      <w:szCs w:val="21"/>
                    </w:rPr>
                    <w:t>洒水降尘</w:t>
                  </w:r>
                </w:p>
              </w:tc>
              <w:tc>
                <w:tcPr>
                  <w:tcW w:w="715" w:type="pct"/>
                  <w:tcBorders>
                    <w:right w:val="nil"/>
                  </w:tcBorders>
                  <w:vAlign w:val="center"/>
                </w:tcPr>
                <w:p>
                  <w:pPr>
                    <w:pStyle w:val="47"/>
                  </w:pPr>
                  <w:r>
                    <w:rPr>
                      <w:rFonts w:hint="eastAsia"/>
                    </w:rPr>
                    <w:t>1</w:t>
                  </w:r>
                  <w: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continue"/>
                  <w:tcBorders>
                    <w:left w:val="nil"/>
                  </w:tcBorders>
                  <w:vAlign w:val="center"/>
                </w:tcPr>
                <w:p>
                  <w:pPr>
                    <w:pStyle w:val="59"/>
                    <w:rPr>
                      <w:bCs/>
                      <w:color w:val="000000"/>
                    </w:rPr>
                  </w:pPr>
                </w:p>
              </w:tc>
              <w:tc>
                <w:tcPr>
                  <w:tcW w:w="578" w:type="pct"/>
                  <w:vMerge w:val="continue"/>
                  <w:vAlign w:val="center"/>
                </w:tcPr>
                <w:p>
                  <w:pPr>
                    <w:pStyle w:val="59"/>
                    <w:rPr>
                      <w:bCs/>
                      <w:color w:val="000000"/>
                    </w:rPr>
                  </w:pPr>
                </w:p>
              </w:tc>
              <w:tc>
                <w:tcPr>
                  <w:tcW w:w="1275" w:type="pct"/>
                  <w:vAlign w:val="center"/>
                </w:tcPr>
                <w:p>
                  <w:pPr>
                    <w:pStyle w:val="47"/>
                  </w:pPr>
                  <w:r>
                    <w:rPr>
                      <w:rFonts w:hint="eastAsia"/>
                    </w:rPr>
                    <w:t>破碎、筛分粉尘</w:t>
                  </w:r>
                </w:p>
              </w:tc>
              <w:tc>
                <w:tcPr>
                  <w:tcW w:w="2209" w:type="pct"/>
                  <w:vAlign w:val="center"/>
                </w:tcPr>
                <w:p>
                  <w:pPr>
                    <w:adjustRightInd w:val="0"/>
                    <w:snapToGrid w:val="0"/>
                    <w:jc w:val="center"/>
                    <w:rPr>
                      <w:rFonts w:cs="宋体"/>
                      <w:szCs w:val="21"/>
                    </w:rPr>
                  </w:pPr>
                  <w:r>
                    <w:rPr>
                      <w:rFonts w:hint="eastAsia" w:cs="宋体"/>
                      <w:szCs w:val="21"/>
                    </w:rPr>
                    <w:t>物料冲水湿润、洒水降尘、厂房封闭</w:t>
                  </w:r>
                </w:p>
              </w:tc>
              <w:tc>
                <w:tcPr>
                  <w:tcW w:w="715" w:type="pct"/>
                  <w:tcBorders>
                    <w:right w:val="nil"/>
                  </w:tcBorders>
                  <w:vAlign w:val="center"/>
                </w:tcPr>
                <w:p>
                  <w:pPr>
                    <w:pStyle w:val="47"/>
                  </w:pPr>
                  <w:r>
                    <w:t>30</w:t>
                  </w: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continue"/>
                  <w:tcBorders>
                    <w:left w:val="nil"/>
                  </w:tcBorders>
                  <w:vAlign w:val="center"/>
                </w:tcPr>
                <w:p>
                  <w:pPr>
                    <w:pStyle w:val="59"/>
                    <w:rPr>
                      <w:bCs/>
                      <w:color w:val="000000"/>
                    </w:rPr>
                  </w:pPr>
                </w:p>
              </w:tc>
              <w:tc>
                <w:tcPr>
                  <w:tcW w:w="578" w:type="pct"/>
                  <w:vMerge w:val="continue"/>
                  <w:vAlign w:val="center"/>
                </w:tcPr>
                <w:p>
                  <w:pPr>
                    <w:pStyle w:val="59"/>
                    <w:rPr>
                      <w:bCs/>
                      <w:color w:val="000000"/>
                    </w:rPr>
                  </w:pPr>
                </w:p>
              </w:tc>
              <w:tc>
                <w:tcPr>
                  <w:tcW w:w="1275" w:type="pct"/>
                  <w:vAlign w:val="center"/>
                </w:tcPr>
                <w:p>
                  <w:pPr>
                    <w:pStyle w:val="47"/>
                  </w:pPr>
                  <w:r>
                    <w:rPr>
                      <w:rFonts w:hint="eastAsia"/>
                    </w:rPr>
                    <w:t>成品堆场</w:t>
                  </w:r>
                  <w:r>
                    <w:t>粉尘</w:t>
                  </w:r>
                </w:p>
              </w:tc>
              <w:tc>
                <w:tcPr>
                  <w:tcW w:w="2209" w:type="pct"/>
                  <w:vAlign w:val="center"/>
                </w:tcPr>
                <w:p>
                  <w:pPr>
                    <w:pStyle w:val="47"/>
                  </w:pPr>
                  <w:r>
                    <w:rPr>
                      <w:rFonts w:hint="eastAsia"/>
                    </w:rPr>
                    <w:t>洒水</w:t>
                  </w:r>
                  <w:r>
                    <w:t>降尘</w:t>
                  </w:r>
                  <w:r>
                    <w:rPr>
                      <w:rFonts w:hint="eastAsia"/>
                    </w:rPr>
                    <w:t>，设置围挡、加盖防尘网、出入车辆冲洗</w:t>
                  </w:r>
                </w:p>
              </w:tc>
              <w:tc>
                <w:tcPr>
                  <w:tcW w:w="715" w:type="pct"/>
                  <w:tcBorders>
                    <w:right w:val="nil"/>
                  </w:tcBorders>
                  <w:vAlign w:val="center"/>
                </w:tcPr>
                <w:p>
                  <w:pPr>
                    <w:pStyle w:val="47"/>
                  </w:pPr>
                  <w: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continue"/>
                  <w:tcBorders>
                    <w:left w:val="nil"/>
                  </w:tcBorders>
                  <w:vAlign w:val="center"/>
                </w:tcPr>
                <w:p>
                  <w:pPr>
                    <w:pStyle w:val="59"/>
                    <w:rPr>
                      <w:bCs/>
                      <w:color w:val="000000"/>
                    </w:rPr>
                  </w:pPr>
                </w:p>
              </w:tc>
              <w:tc>
                <w:tcPr>
                  <w:tcW w:w="578" w:type="pct"/>
                  <w:vMerge w:val="continue"/>
                  <w:vAlign w:val="center"/>
                </w:tcPr>
                <w:p>
                  <w:pPr>
                    <w:pStyle w:val="59"/>
                    <w:rPr>
                      <w:bCs/>
                      <w:color w:val="000000"/>
                    </w:rPr>
                  </w:pPr>
                </w:p>
              </w:tc>
              <w:tc>
                <w:tcPr>
                  <w:tcW w:w="1275" w:type="pct"/>
                  <w:vAlign w:val="center"/>
                </w:tcPr>
                <w:p>
                  <w:pPr>
                    <w:pStyle w:val="47"/>
                  </w:pPr>
                  <w:r>
                    <w:rPr>
                      <w:rFonts w:hint="eastAsia"/>
                    </w:rPr>
                    <w:t>道路粉尘</w:t>
                  </w:r>
                </w:p>
              </w:tc>
              <w:tc>
                <w:tcPr>
                  <w:tcW w:w="2209" w:type="pct"/>
                  <w:vAlign w:val="center"/>
                </w:tcPr>
                <w:p>
                  <w:pPr>
                    <w:pStyle w:val="47"/>
                  </w:pPr>
                  <w:r>
                    <w:rPr>
                      <w:rFonts w:hint="eastAsia"/>
                    </w:rPr>
                    <w:t>洒水</w:t>
                  </w:r>
                  <w:r>
                    <w:t>降尘</w:t>
                  </w:r>
                  <w:r>
                    <w:rPr>
                      <w:rFonts w:hint="eastAsia"/>
                    </w:rPr>
                    <w:t>、车辆加盖篷布、道路</w:t>
                  </w:r>
                  <w:r>
                    <w:t>及场地硬化</w:t>
                  </w:r>
                  <w:r>
                    <w:rPr>
                      <w:rFonts w:hint="eastAsia"/>
                    </w:rPr>
                    <w:t>，出入车辆冲洗</w:t>
                  </w:r>
                </w:p>
              </w:tc>
              <w:tc>
                <w:tcPr>
                  <w:tcW w:w="715" w:type="pct"/>
                  <w:tcBorders>
                    <w:right w:val="nil"/>
                  </w:tcBorders>
                  <w:vAlign w:val="center"/>
                </w:tcPr>
                <w:p>
                  <w:pPr>
                    <w:pStyle w:val="47"/>
                  </w:pPr>
                  <w:r>
                    <w:t>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continue"/>
                  <w:tcBorders>
                    <w:left w:val="nil"/>
                  </w:tcBorders>
                  <w:vAlign w:val="center"/>
                </w:tcPr>
                <w:p>
                  <w:pPr>
                    <w:pStyle w:val="59"/>
                    <w:rPr>
                      <w:bCs/>
                      <w:color w:val="000000"/>
                    </w:rPr>
                  </w:pPr>
                </w:p>
              </w:tc>
              <w:tc>
                <w:tcPr>
                  <w:tcW w:w="578" w:type="pct"/>
                  <w:vAlign w:val="center"/>
                </w:tcPr>
                <w:p>
                  <w:pPr>
                    <w:pStyle w:val="59"/>
                    <w:rPr>
                      <w:bCs/>
                      <w:color w:val="000000"/>
                    </w:rPr>
                  </w:pPr>
                  <w:r>
                    <w:rPr>
                      <w:bCs/>
                      <w:color w:val="000000"/>
                    </w:rPr>
                    <w:t>噪声</w:t>
                  </w:r>
                </w:p>
                <w:p>
                  <w:pPr>
                    <w:pStyle w:val="59"/>
                    <w:rPr>
                      <w:bCs/>
                      <w:color w:val="000000"/>
                    </w:rPr>
                  </w:pPr>
                  <w:r>
                    <w:rPr>
                      <w:bCs/>
                      <w:color w:val="000000"/>
                    </w:rPr>
                    <w:t>治理</w:t>
                  </w:r>
                </w:p>
              </w:tc>
              <w:tc>
                <w:tcPr>
                  <w:tcW w:w="1275" w:type="pct"/>
                  <w:vAlign w:val="center"/>
                </w:tcPr>
                <w:p>
                  <w:pPr>
                    <w:pStyle w:val="59"/>
                    <w:rPr>
                      <w:bCs/>
                      <w:color w:val="000000"/>
                    </w:rPr>
                  </w:pPr>
                  <w:r>
                    <w:rPr>
                      <w:rFonts w:hint="eastAsia"/>
                      <w:bCs/>
                      <w:color w:val="000000"/>
                    </w:rPr>
                    <w:t>设备噪声</w:t>
                  </w:r>
                </w:p>
              </w:tc>
              <w:tc>
                <w:tcPr>
                  <w:tcW w:w="2209" w:type="pct"/>
                  <w:vAlign w:val="center"/>
                </w:tcPr>
                <w:p>
                  <w:pPr>
                    <w:adjustRightInd w:val="0"/>
                    <w:snapToGrid w:val="0"/>
                    <w:spacing w:line="240" w:lineRule="atLeast"/>
                    <w:jc w:val="center"/>
                    <w:rPr>
                      <w:bCs/>
                      <w:color w:val="000000"/>
                      <w:szCs w:val="21"/>
                    </w:rPr>
                  </w:pPr>
                  <w:r>
                    <w:rPr>
                      <w:rFonts w:hint="eastAsia"/>
                      <w:bCs/>
                      <w:color w:val="000000"/>
                      <w:szCs w:val="21"/>
                    </w:rPr>
                    <w:t>主要生产设备位于厂房内，设置基础减震</w:t>
                  </w:r>
                </w:p>
              </w:tc>
              <w:tc>
                <w:tcPr>
                  <w:tcW w:w="715" w:type="pct"/>
                  <w:tcBorders>
                    <w:right w:val="nil"/>
                  </w:tcBorders>
                  <w:vAlign w:val="center"/>
                </w:tcPr>
                <w:p>
                  <w:pPr>
                    <w:pStyle w:val="59"/>
                    <w:rPr>
                      <w:bCs/>
                      <w:color w:val="000000"/>
                    </w:rPr>
                  </w:pPr>
                  <w:r>
                    <w:rPr>
                      <w:bCs/>
                      <w:color w:val="000000"/>
                    </w:rPr>
                    <w:t>10</w:t>
                  </w:r>
                  <w:r>
                    <w:rPr>
                      <w:rFonts w:hint="eastAsia"/>
                      <w:bCs/>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continue"/>
                  <w:tcBorders>
                    <w:left w:val="nil"/>
                  </w:tcBorders>
                  <w:vAlign w:val="center"/>
                </w:tcPr>
                <w:p>
                  <w:pPr>
                    <w:pStyle w:val="59"/>
                    <w:rPr>
                      <w:bCs/>
                      <w:color w:val="000000"/>
                    </w:rPr>
                  </w:pPr>
                </w:p>
              </w:tc>
              <w:tc>
                <w:tcPr>
                  <w:tcW w:w="578" w:type="pct"/>
                  <w:vMerge w:val="restart"/>
                  <w:vAlign w:val="center"/>
                </w:tcPr>
                <w:p>
                  <w:pPr>
                    <w:pStyle w:val="59"/>
                    <w:rPr>
                      <w:bCs/>
                      <w:color w:val="000000"/>
                    </w:rPr>
                  </w:pPr>
                  <w:r>
                    <w:rPr>
                      <w:bCs/>
                      <w:color w:val="000000"/>
                    </w:rPr>
                    <w:t>固体废物治理</w:t>
                  </w:r>
                </w:p>
              </w:tc>
              <w:tc>
                <w:tcPr>
                  <w:tcW w:w="1275" w:type="pct"/>
                  <w:vAlign w:val="center"/>
                </w:tcPr>
                <w:p>
                  <w:pPr>
                    <w:tabs>
                      <w:tab w:val="right" w:leader="dot" w:pos="8834"/>
                    </w:tabs>
                    <w:jc w:val="center"/>
                    <w:rPr>
                      <w:bCs/>
                      <w:color w:val="000000"/>
                      <w:szCs w:val="21"/>
                    </w:rPr>
                  </w:pPr>
                  <w:r>
                    <w:rPr>
                      <w:rFonts w:hint="eastAsia"/>
                      <w:bCs/>
                      <w:color w:val="000000"/>
                      <w:szCs w:val="21"/>
                    </w:rPr>
                    <w:t>生活垃圾</w:t>
                  </w:r>
                </w:p>
              </w:tc>
              <w:tc>
                <w:tcPr>
                  <w:tcW w:w="2209" w:type="pct"/>
                  <w:vAlign w:val="center"/>
                </w:tcPr>
                <w:p>
                  <w:pPr>
                    <w:tabs>
                      <w:tab w:val="right" w:leader="dot" w:pos="8834"/>
                    </w:tabs>
                    <w:jc w:val="center"/>
                    <w:rPr>
                      <w:bCs/>
                      <w:color w:val="000000"/>
                      <w:szCs w:val="21"/>
                    </w:rPr>
                  </w:pPr>
                  <w:r>
                    <w:rPr>
                      <w:rFonts w:hint="eastAsia"/>
                      <w:bCs/>
                      <w:color w:val="000000"/>
                      <w:szCs w:val="21"/>
                    </w:rPr>
                    <w:t>收集后交由当地环卫部门统一处理</w:t>
                  </w:r>
                </w:p>
              </w:tc>
              <w:tc>
                <w:tcPr>
                  <w:tcW w:w="715" w:type="pct"/>
                  <w:tcBorders>
                    <w:right w:val="nil"/>
                  </w:tcBorders>
                  <w:vAlign w:val="center"/>
                </w:tcPr>
                <w:p>
                  <w:pPr>
                    <w:pStyle w:val="59"/>
                    <w:rPr>
                      <w:bCs/>
                      <w:color w:val="000000"/>
                    </w:rPr>
                  </w:pPr>
                  <w:r>
                    <w:rPr>
                      <w:bCs/>
                      <w:color w:val="000000"/>
                    </w:rPr>
                    <w:t>4</w:t>
                  </w:r>
                  <w:r>
                    <w:rPr>
                      <w:rFonts w:hint="eastAsia"/>
                      <w:bCs/>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continue"/>
                  <w:tcBorders>
                    <w:left w:val="nil"/>
                  </w:tcBorders>
                  <w:vAlign w:val="center"/>
                </w:tcPr>
                <w:p>
                  <w:pPr>
                    <w:pStyle w:val="59"/>
                    <w:rPr>
                      <w:bCs/>
                      <w:color w:val="000000"/>
                    </w:rPr>
                  </w:pPr>
                </w:p>
              </w:tc>
              <w:tc>
                <w:tcPr>
                  <w:tcW w:w="578" w:type="pct"/>
                  <w:vMerge w:val="continue"/>
                  <w:vAlign w:val="center"/>
                </w:tcPr>
                <w:p>
                  <w:pPr>
                    <w:pStyle w:val="59"/>
                    <w:rPr>
                      <w:bCs/>
                      <w:color w:val="000000"/>
                    </w:rPr>
                  </w:pPr>
                </w:p>
              </w:tc>
              <w:tc>
                <w:tcPr>
                  <w:tcW w:w="1275" w:type="pct"/>
                  <w:vAlign w:val="center"/>
                </w:tcPr>
                <w:p>
                  <w:pPr>
                    <w:pStyle w:val="47"/>
                  </w:pPr>
                  <w:r>
                    <w:rPr>
                      <w:rFonts w:hint="eastAsia"/>
                    </w:rPr>
                    <w:t>浓密罐污</w:t>
                  </w:r>
                  <w:r>
                    <w:t>泥</w:t>
                  </w:r>
                </w:p>
              </w:tc>
              <w:tc>
                <w:tcPr>
                  <w:tcW w:w="2209" w:type="pct"/>
                  <w:vAlign w:val="center"/>
                </w:tcPr>
                <w:p>
                  <w:pPr>
                    <w:pStyle w:val="47"/>
                  </w:pPr>
                  <w:r>
                    <w:rPr>
                      <w:rFonts w:hint="eastAsia" w:hAnsi="宋体"/>
                    </w:rPr>
                    <w:t>经压滤机压滤脱水后按政府要求堆放至指定地点</w:t>
                  </w:r>
                </w:p>
              </w:tc>
              <w:tc>
                <w:tcPr>
                  <w:tcW w:w="715" w:type="pct"/>
                  <w:tcBorders>
                    <w:right w:val="nil"/>
                  </w:tcBorders>
                  <w:vAlign w:val="center"/>
                </w:tcPr>
                <w:p>
                  <w:pPr>
                    <w:pStyle w:val="47"/>
                  </w:pPr>
                  <w: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continue"/>
                  <w:tcBorders>
                    <w:left w:val="nil"/>
                  </w:tcBorders>
                  <w:vAlign w:val="center"/>
                </w:tcPr>
                <w:p>
                  <w:pPr>
                    <w:pStyle w:val="59"/>
                    <w:rPr>
                      <w:bCs/>
                      <w:color w:val="000000"/>
                    </w:rPr>
                  </w:pPr>
                </w:p>
              </w:tc>
              <w:tc>
                <w:tcPr>
                  <w:tcW w:w="578" w:type="pct"/>
                  <w:vMerge w:val="continue"/>
                  <w:vAlign w:val="center"/>
                </w:tcPr>
                <w:p>
                  <w:pPr>
                    <w:pStyle w:val="59"/>
                    <w:rPr>
                      <w:bCs/>
                      <w:color w:val="000000"/>
                    </w:rPr>
                  </w:pPr>
                </w:p>
              </w:tc>
              <w:tc>
                <w:tcPr>
                  <w:tcW w:w="1275" w:type="pct"/>
                  <w:vAlign w:val="center"/>
                </w:tcPr>
                <w:p>
                  <w:pPr>
                    <w:pStyle w:val="47"/>
                  </w:pPr>
                  <w:r>
                    <w:rPr>
                      <w:rFonts w:hint="eastAsia"/>
                    </w:rPr>
                    <w:t>设备检修废油</w:t>
                  </w:r>
                </w:p>
              </w:tc>
              <w:tc>
                <w:tcPr>
                  <w:tcW w:w="2209" w:type="pct"/>
                  <w:vAlign w:val="center"/>
                </w:tcPr>
                <w:p>
                  <w:pPr>
                    <w:pStyle w:val="47"/>
                  </w:pPr>
                  <w:r>
                    <w:rPr>
                      <w:rFonts w:hint="eastAsia" w:ascii="宋体" w:hAnsi="宋体" w:cs="宋体"/>
                      <w:kern w:val="0"/>
                      <w:lang w:bidi="ar"/>
                    </w:rPr>
                    <w:t>暂存于危废暂存间，定期交由资质单位清运处置</w:t>
                  </w:r>
                </w:p>
              </w:tc>
              <w:tc>
                <w:tcPr>
                  <w:tcW w:w="715" w:type="pct"/>
                  <w:tcBorders>
                    <w:right w:val="nil"/>
                  </w:tcBorders>
                  <w:vAlign w:val="center"/>
                </w:tcPr>
                <w:p>
                  <w:pPr>
                    <w:pStyle w:val="47"/>
                  </w:pPr>
                  <w: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continue"/>
                  <w:tcBorders>
                    <w:left w:val="nil"/>
                  </w:tcBorders>
                  <w:vAlign w:val="center"/>
                </w:tcPr>
                <w:p>
                  <w:pPr>
                    <w:pStyle w:val="59"/>
                    <w:rPr>
                      <w:bCs/>
                      <w:color w:val="000000"/>
                    </w:rPr>
                  </w:pPr>
                </w:p>
              </w:tc>
              <w:tc>
                <w:tcPr>
                  <w:tcW w:w="578" w:type="pct"/>
                  <w:vAlign w:val="center"/>
                </w:tcPr>
                <w:p>
                  <w:pPr>
                    <w:jc w:val="center"/>
                    <w:rPr>
                      <w:szCs w:val="21"/>
                    </w:rPr>
                  </w:pPr>
                  <w:r>
                    <w:rPr>
                      <w:rFonts w:hint="eastAsia"/>
                      <w:szCs w:val="21"/>
                    </w:rPr>
                    <w:t>地下水、土壤污染防治</w:t>
                  </w:r>
                </w:p>
              </w:tc>
              <w:tc>
                <w:tcPr>
                  <w:tcW w:w="1275" w:type="pct"/>
                  <w:vAlign w:val="center"/>
                </w:tcPr>
                <w:p>
                  <w:pPr>
                    <w:jc w:val="center"/>
                    <w:rPr>
                      <w:szCs w:val="21"/>
                    </w:rPr>
                  </w:pPr>
                  <w:r>
                    <w:rPr>
                      <w:rFonts w:hint="eastAsia"/>
                      <w:szCs w:val="21"/>
                    </w:rPr>
                    <w:t>分区防渗</w:t>
                  </w:r>
                </w:p>
              </w:tc>
              <w:tc>
                <w:tcPr>
                  <w:tcW w:w="2209" w:type="pct"/>
                  <w:vAlign w:val="center"/>
                </w:tcPr>
                <w:p>
                  <w:pPr>
                    <w:jc w:val="center"/>
                    <w:rPr>
                      <w:szCs w:val="21"/>
                    </w:rPr>
                  </w:pPr>
                  <w:r>
                    <w:rPr>
                      <w:rFonts w:hint="eastAsia" w:ascii="宋体" w:hAnsi="宋体" w:cs="宋体"/>
                      <w:kern w:val="0"/>
                      <w:szCs w:val="21"/>
                      <w:lang w:bidi="ar"/>
                    </w:rPr>
                    <w:t>轮胎冲洗沉淀池、污水收集池、初期雨水收集池、生产车间等区域采取一般防渗，其余采取简单防渗</w:t>
                  </w:r>
                </w:p>
              </w:tc>
              <w:tc>
                <w:tcPr>
                  <w:tcW w:w="715" w:type="pct"/>
                  <w:tcBorders>
                    <w:right w:val="nil"/>
                  </w:tcBorders>
                  <w:vAlign w:val="center"/>
                </w:tcPr>
                <w:p>
                  <w:pPr>
                    <w:pStyle w:val="47"/>
                  </w:pPr>
                  <w: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3" w:type="pct"/>
                  <w:vMerge w:val="continue"/>
                  <w:tcBorders>
                    <w:left w:val="nil"/>
                  </w:tcBorders>
                  <w:vAlign w:val="center"/>
                </w:tcPr>
                <w:p>
                  <w:pPr>
                    <w:pStyle w:val="59"/>
                    <w:rPr>
                      <w:bCs/>
                      <w:color w:val="000000"/>
                    </w:rPr>
                  </w:pPr>
                </w:p>
              </w:tc>
              <w:tc>
                <w:tcPr>
                  <w:tcW w:w="1853" w:type="pct"/>
                  <w:gridSpan w:val="2"/>
                  <w:vAlign w:val="center"/>
                </w:tcPr>
                <w:p>
                  <w:pPr>
                    <w:pStyle w:val="47"/>
                  </w:pPr>
                  <w:r>
                    <w:rPr>
                      <w:rFonts w:hint="eastAsia"/>
                    </w:rPr>
                    <w:t>风险防范</w:t>
                  </w:r>
                </w:p>
              </w:tc>
              <w:tc>
                <w:tcPr>
                  <w:tcW w:w="2209" w:type="pct"/>
                  <w:vAlign w:val="center"/>
                </w:tcPr>
                <w:p>
                  <w:pPr>
                    <w:pStyle w:val="47"/>
                  </w:pPr>
                  <w:r>
                    <w:rPr>
                      <w:rFonts w:hint="eastAsia"/>
                    </w:rPr>
                    <w:t>定期巡查、加强挖采区、堆砂场风险监控；</w:t>
                  </w:r>
                  <w:r>
                    <w:rPr>
                      <w:kern w:val="0"/>
                      <w:lang w:bidi="ar"/>
                    </w:rPr>
                    <w:t>300m³</w:t>
                  </w:r>
                  <w:r>
                    <w:rPr>
                      <w:rFonts w:hint="eastAsia" w:ascii="宋体" w:hAnsi="宋体" w:cs="宋体"/>
                      <w:kern w:val="0"/>
                      <w:lang w:bidi="ar"/>
                    </w:rPr>
                    <w:t>初期雨水收集池兼作事故池；加强设施设备维护保养等</w:t>
                  </w:r>
                </w:p>
              </w:tc>
              <w:tc>
                <w:tcPr>
                  <w:tcW w:w="715" w:type="pct"/>
                  <w:tcBorders>
                    <w:right w:val="nil"/>
                  </w:tcBorders>
                  <w:vAlign w:val="center"/>
                </w:tcPr>
                <w:p>
                  <w:pPr>
                    <w:pStyle w:val="47"/>
                  </w:pPr>
                  <w: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85" w:type="pct"/>
                  <w:gridSpan w:val="4"/>
                  <w:tcBorders>
                    <w:left w:val="nil"/>
                    <w:bottom w:val="single" w:color="auto" w:sz="12" w:space="0"/>
                  </w:tcBorders>
                  <w:vAlign w:val="center"/>
                </w:tcPr>
                <w:p>
                  <w:pPr>
                    <w:pStyle w:val="59"/>
                    <w:rPr>
                      <w:bCs/>
                      <w:color w:val="000000"/>
                    </w:rPr>
                  </w:pPr>
                  <w:r>
                    <w:rPr>
                      <w:bCs/>
                      <w:color w:val="000000"/>
                    </w:rPr>
                    <w:t>合计</w:t>
                  </w:r>
                </w:p>
              </w:tc>
              <w:tc>
                <w:tcPr>
                  <w:tcW w:w="715" w:type="pct"/>
                  <w:tcBorders>
                    <w:bottom w:val="single" w:color="auto" w:sz="12" w:space="0"/>
                    <w:right w:val="nil"/>
                  </w:tcBorders>
                  <w:vAlign w:val="center"/>
                </w:tcPr>
                <w:p>
                  <w:pPr>
                    <w:pStyle w:val="59"/>
                    <w:rPr>
                      <w:bCs/>
                      <w:color w:val="000000"/>
                    </w:rPr>
                  </w:pPr>
                  <w:r>
                    <w:rPr>
                      <w:bCs/>
                      <w:color w:val="000000"/>
                    </w:rPr>
                    <w:t>196.0</w:t>
                  </w:r>
                </w:p>
              </w:tc>
            </w:tr>
          </w:tbl>
          <w:p>
            <w:pPr>
              <w:spacing w:before="120" w:beforeLines="50" w:line="360" w:lineRule="auto"/>
              <w:ind w:firstLine="482" w:firstLineChars="200"/>
              <w:rPr>
                <w:rFonts w:cs="宋体"/>
                <w:b/>
                <w:color w:val="000000"/>
                <w:sz w:val="24"/>
              </w:rPr>
            </w:pPr>
            <w:r>
              <w:rPr>
                <w:rFonts w:hint="eastAsia" w:cs="宋体"/>
                <w:b/>
                <w:color w:val="000000"/>
                <w:sz w:val="24"/>
              </w:rPr>
              <w:t>11、环境保护竣工验收</w:t>
            </w:r>
          </w:p>
          <w:p>
            <w:pPr>
              <w:widowControl/>
              <w:spacing w:line="360" w:lineRule="auto"/>
              <w:ind w:firstLine="480" w:firstLineChars="200"/>
              <w:rPr>
                <w:rFonts w:cs="宋体"/>
                <w:color w:val="000000"/>
                <w:kern w:val="0"/>
                <w:sz w:val="24"/>
                <w:lang w:bidi="ar"/>
              </w:rPr>
            </w:pPr>
            <w:r>
              <w:rPr>
                <w:rFonts w:hint="eastAsia" w:cs="宋体"/>
                <w:color w:val="000000"/>
                <w:kern w:val="0"/>
                <w:sz w:val="24"/>
                <w:lang w:bidi="ar"/>
              </w:rPr>
              <w:t>该项目所有环保设施均应与主体工程同时设计、同时施工、同时投产，根据《建设项目环境保护管理条例》（国令第682号）以及《建设项目竣工环境保护验收暂行办法》（国环规环评[2017]4号），建设单位是建设项目竣工环境保护验收的责任主体，应当按照《建设项目竣工环境保护验收暂行办法》（国环规环评[2017]4号）、《排污单位自行监测技术指南 总则》（HJ 819-2017）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验收报告分为验收监测（调查）报告、验收意见和其他需要说明的事项等三项内容。</w:t>
            </w:r>
          </w:p>
          <w:p>
            <w:pPr>
              <w:widowControl/>
              <w:spacing w:line="360" w:lineRule="auto"/>
              <w:ind w:firstLine="480" w:firstLineChars="200"/>
              <w:rPr>
                <w:rFonts w:cs="宋体"/>
                <w:color w:val="000000"/>
                <w:kern w:val="0"/>
                <w:sz w:val="24"/>
                <w:lang w:bidi="ar"/>
              </w:rPr>
            </w:pPr>
            <w:r>
              <w:rPr>
                <w:rFonts w:hint="eastAsia" w:cs="宋体"/>
                <w:color w:val="000000"/>
                <w:kern w:val="0"/>
                <w:sz w:val="24"/>
                <w:lang w:bidi="ar"/>
              </w:rPr>
              <w:t>验收的程序和要求：建设项目竣工后，建设单位应当如实查验、监测、记载建设项目环境保护设施的建设和调试情况，编制验收监测（调查）报告，建设单位不具备编制验收监测（调查）报告能力的，可委托有能力的技术机构编制。建设单位和受委托的技术机构之间的权利和义务关系，以及受委托的技术机构应当承担的责任，可以通过合同形式约定。环境保护设施是指防治环境污染和生态破坏所需的装置、设备、监测手段和工程设施等。</w:t>
            </w:r>
          </w:p>
          <w:p>
            <w:pPr>
              <w:widowControl/>
              <w:spacing w:line="360" w:lineRule="auto"/>
              <w:ind w:firstLine="480" w:firstLineChars="200"/>
              <w:rPr>
                <w:rFonts w:cs="宋体"/>
                <w:color w:val="000000"/>
                <w:kern w:val="0"/>
                <w:sz w:val="24"/>
                <w:lang w:bidi="ar"/>
              </w:rPr>
            </w:pPr>
            <w:r>
              <w:rPr>
                <w:rFonts w:hint="eastAsia" w:cs="宋体"/>
                <w:color w:val="000000"/>
                <w:kern w:val="0"/>
                <w:sz w:val="24"/>
                <w:lang w:bidi="ar"/>
              </w:rPr>
              <w:t>验收工作组及验收意见：由设计单位、施工单位、环境影响报告书（表）编制机构、验收监测（调查）编制机构等单位代表和专业技术专家组成，代表范围和人数自定。验收监测（调查）报告编制完成后，建设单位应当根据验收监测（调查）报告结论，逐一检查是否存在验收不合格的情形，提出验收意见。存在问题的，建设单位应当进行整改，整改完成后方可提出验收意见验收意见包括工程建设基本情况、工程变动情况、环境保护设施落实情况、环境保护设施调试效果、工程建设对环境的影响、验收结论和后续要求等内容，验收结论应当明确该建设项目环境保护设施是否验收合格。建设项目配套建设的环境保护设施经验收合格后，其主体工程方可投入生产或者使用；未经验收或者验收不合格的，不得投入生产或者使用。</w:t>
            </w:r>
          </w:p>
          <w:p>
            <w:pPr>
              <w:widowControl/>
              <w:spacing w:line="360" w:lineRule="auto"/>
              <w:ind w:firstLine="480" w:firstLineChars="200"/>
              <w:rPr>
                <w:rFonts w:cs="宋体"/>
                <w:color w:val="000000"/>
                <w:kern w:val="0"/>
                <w:sz w:val="24"/>
                <w:lang w:bidi="ar"/>
              </w:rPr>
            </w:pPr>
            <w:r>
              <w:rPr>
                <w:rFonts w:hint="eastAsia" w:cs="宋体"/>
                <w:color w:val="000000"/>
                <w:kern w:val="0"/>
                <w:sz w:val="24"/>
                <w:lang w:bidi="ar"/>
              </w:rPr>
              <w:t>验收公示：除按照国家规定需要保密的情形外，建设单位应当通过其网站或其他便于公众知晓的方式，向社会公开下列信息：</w:t>
            </w:r>
          </w:p>
          <w:p>
            <w:pPr>
              <w:widowControl/>
              <w:spacing w:line="360" w:lineRule="auto"/>
              <w:ind w:firstLine="480" w:firstLineChars="200"/>
              <w:rPr>
                <w:rFonts w:cs="宋体"/>
                <w:color w:val="000000"/>
                <w:kern w:val="0"/>
                <w:sz w:val="24"/>
                <w:lang w:bidi="ar"/>
              </w:rPr>
            </w:pPr>
            <w:r>
              <w:rPr>
                <w:rFonts w:hint="eastAsia" w:cs="宋体"/>
                <w:color w:val="000000"/>
                <w:kern w:val="0"/>
                <w:sz w:val="24"/>
                <w:lang w:bidi="ar"/>
              </w:rPr>
              <w:t>（一）建设项目配套建设的环境保护设的环境保护设施竣工后，公开竣工日期；</w:t>
            </w:r>
          </w:p>
          <w:p>
            <w:pPr>
              <w:widowControl/>
              <w:spacing w:line="360" w:lineRule="auto"/>
              <w:ind w:firstLine="480" w:firstLineChars="200"/>
              <w:rPr>
                <w:rFonts w:cs="宋体"/>
                <w:color w:val="000000"/>
                <w:kern w:val="0"/>
                <w:sz w:val="24"/>
                <w:lang w:bidi="ar"/>
              </w:rPr>
            </w:pPr>
            <w:r>
              <w:rPr>
                <w:rFonts w:hint="eastAsia" w:cs="宋体"/>
                <w:color w:val="000000"/>
                <w:kern w:val="0"/>
                <w:sz w:val="24"/>
                <w:lang w:bidi="ar"/>
              </w:rPr>
              <w:t>（二）对建设项目配套建设的环境保护设施进行调试前，公开调试的起止日期；</w:t>
            </w:r>
          </w:p>
          <w:p>
            <w:pPr>
              <w:pStyle w:val="6"/>
              <w:spacing w:before="0" w:after="0" w:line="360" w:lineRule="auto"/>
              <w:ind w:right="0" w:firstLine="480" w:firstLineChars="200"/>
              <w:rPr>
                <w:rFonts w:ascii="宋体" w:hAnsi="宋体"/>
                <w:b/>
                <w:sz w:val="24"/>
                <w:lang w:val="en-US"/>
              </w:rPr>
            </w:pPr>
            <w:r>
              <w:rPr>
                <w:rFonts w:hint="eastAsia" w:cs="宋体"/>
                <w:color w:val="000000"/>
                <w:sz w:val="24"/>
                <w:lang w:bidi="ar"/>
              </w:rPr>
              <w:t>（三）验收报告编制完成后的5个工作日内，公开验收报告，公示的期限不得少于20个工作日。建设单位公开上述信息的同时，应当向所在地县级以上环境保护主管部门报送相关信息，并接受监督检查。除需要取得排污许可证的水和大气污染防治设施外，其他环境保护设施的验收期限一般不超过3个月；需要对该类环境保护设施进行调试或者整改的，验收期限可以适当延长，但最长不超过12个月。验收期限是指自建设项目环境保护设施竣工之日起至建设单位向社会公开验收报告之日止的时间。验收报告公示期满后5个工作日内，建设单位应当登录全国建设项目竣工环境保护验收信息平台，填报建设项目基本信息、环境保护设施验收情况等相关信息，环境保护主管部门对上述信息予以公开。</w:t>
            </w:r>
          </w:p>
        </w:tc>
      </w:tr>
    </w:tbl>
    <w:p>
      <w:pPr>
        <w:adjustRightInd w:val="0"/>
        <w:snapToGrid w:val="0"/>
        <w:spacing w:line="360" w:lineRule="auto"/>
        <w:rPr>
          <w:rFonts w:cs="宋体"/>
          <w:b/>
          <w:kern w:val="0"/>
          <w:sz w:val="28"/>
          <w:szCs w:val="28"/>
        </w:rPr>
        <w:sectPr>
          <w:pgSz w:w="11907" w:h="16840"/>
          <w:pgMar w:top="1701" w:right="1531" w:bottom="2127" w:left="1531" w:header="851" w:footer="851" w:gutter="0"/>
          <w:cols w:space="720" w:num="1"/>
          <w:docGrid w:linePitch="312" w:charSpace="0"/>
        </w:sectPr>
      </w:pPr>
    </w:p>
    <w:p>
      <w:pPr>
        <w:pStyle w:val="12"/>
        <w:jc w:val="center"/>
        <w:outlineLvl w:val="0"/>
        <w:rPr>
          <w:rFonts w:ascii="Times New Roman" w:hAnsi="Times New Roman"/>
          <w:snapToGrid w:val="0"/>
          <w:sz w:val="30"/>
          <w:szCs w:val="30"/>
        </w:rPr>
      </w:pPr>
      <w:r>
        <w:rPr>
          <w:rFonts w:hint="eastAsia" w:ascii="Times New Roman" w:hAnsi="Times New Roman"/>
          <w:snapToGrid w:val="0"/>
          <w:sz w:val="30"/>
          <w:szCs w:val="30"/>
        </w:rPr>
        <w:t>五、</w:t>
      </w:r>
      <w:bookmarkStart w:id="3" w:name="_Hlk54167917"/>
      <w:r>
        <w:rPr>
          <w:rFonts w:hint="eastAsia" w:ascii="Times New Roman" w:hAnsi="Times New Roman"/>
          <w:snapToGrid w:val="0"/>
          <w:sz w:val="30"/>
          <w:szCs w:val="30"/>
        </w:rPr>
        <w:t>环境保护措施监督检查清单</w:t>
      </w:r>
      <w:bookmarkEnd w:id="3"/>
    </w:p>
    <w:tbl>
      <w:tblPr>
        <w:tblStyle w:val="14"/>
        <w:tblW w:w="93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85" w:type="dxa"/>
          <w:left w:w="108" w:type="dxa"/>
          <w:bottom w:w="85" w:type="dxa"/>
          <w:right w:w="108" w:type="dxa"/>
        </w:tblCellMar>
      </w:tblPr>
      <w:tblGrid>
        <w:gridCol w:w="1778"/>
        <w:gridCol w:w="1755"/>
        <w:gridCol w:w="1702"/>
        <w:gridCol w:w="2126"/>
        <w:gridCol w:w="19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425" w:hRule="atLeast"/>
          <w:jc w:val="center"/>
        </w:trPr>
        <w:tc>
          <w:tcPr>
            <w:tcW w:w="1778" w:type="dxa"/>
            <w:tcBorders>
              <w:tl2br w:val="single" w:color="auto" w:sz="4" w:space="0"/>
            </w:tcBorders>
          </w:tcPr>
          <w:p>
            <w:pPr>
              <w:adjustRightInd w:val="0"/>
              <w:snapToGrid w:val="0"/>
              <w:ind w:firstLine="840"/>
              <w:rPr>
                <w:rFonts w:cs="宋体"/>
                <w:szCs w:val="21"/>
              </w:rPr>
            </w:pPr>
            <w:r>
              <w:rPr>
                <w:rFonts w:hint="eastAsia" w:cs="宋体"/>
                <w:szCs w:val="21"/>
              </w:rPr>
              <w:t>内容</w:t>
            </w:r>
          </w:p>
          <w:p>
            <w:pPr>
              <w:adjustRightInd w:val="0"/>
              <w:snapToGrid w:val="0"/>
              <w:rPr>
                <w:rFonts w:cs="宋体"/>
                <w:szCs w:val="21"/>
              </w:rPr>
            </w:pPr>
            <w:r>
              <w:rPr>
                <w:rFonts w:hint="eastAsia" w:cs="宋体"/>
                <w:szCs w:val="21"/>
              </w:rPr>
              <w:t>要素</w:t>
            </w:r>
          </w:p>
        </w:tc>
        <w:tc>
          <w:tcPr>
            <w:tcW w:w="1755" w:type="dxa"/>
            <w:vAlign w:val="center"/>
          </w:tcPr>
          <w:p>
            <w:pPr>
              <w:adjustRightInd w:val="0"/>
              <w:snapToGrid w:val="0"/>
              <w:jc w:val="center"/>
              <w:rPr>
                <w:rFonts w:cs="宋体"/>
                <w:szCs w:val="21"/>
              </w:rPr>
            </w:pPr>
            <w:r>
              <w:rPr>
                <w:rFonts w:hint="eastAsia" w:cs="宋体"/>
                <w:szCs w:val="21"/>
              </w:rPr>
              <w:t>排放口(编号、</w:t>
            </w:r>
          </w:p>
          <w:p>
            <w:pPr>
              <w:adjustRightInd w:val="0"/>
              <w:snapToGrid w:val="0"/>
              <w:jc w:val="center"/>
              <w:rPr>
                <w:rFonts w:cs="宋体"/>
                <w:szCs w:val="21"/>
              </w:rPr>
            </w:pPr>
            <w:r>
              <w:rPr>
                <w:rFonts w:hint="eastAsia" w:cs="宋体"/>
                <w:szCs w:val="21"/>
              </w:rPr>
              <w:t>名称)/污染源</w:t>
            </w:r>
          </w:p>
        </w:tc>
        <w:tc>
          <w:tcPr>
            <w:tcW w:w="1702" w:type="dxa"/>
            <w:vAlign w:val="center"/>
          </w:tcPr>
          <w:p>
            <w:pPr>
              <w:adjustRightInd w:val="0"/>
              <w:snapToGrid w:val="0"/>
              <w:jc w:val="center"/>
              <w:rPr>
                <w:rFonts w:cs="宋体"/>
                <w:szCs w:val="21"/>
              </w:rPr>
            </w:pPr>
            <w:r>
              <w:rPr>
                <w:rFonts w:hint="eastAsia" w:cs="宋体"/>
                <w:szCs w:val="21"/>
              </w:rPr>
              <w:t>污染物项目</w:t>
            </w:r>
          </w:p>
        </w:tc>
        <w:tc>
          <w:tcPr>
            <w:tcW w:w="2126" w:type="dxa"/>
            <w:vAlign w:val="center"/>
          </w:tcPr>
          <w:p>
            <w:pPr>
              <w:adjustRightInd w:val="0"/>
              <w:snapToGrid w:val="0"/>
              <w:jc w:val="center"/>
              <w:rPr>
                <w:rFonts w:cs="宋体"/>
                <w:szCs w:val="21"/>
              </w:rPr>
            </w:pPr>
            <w:r>
              <w:rPr>
                <w:rFonts w:hint="eastAsia" w:cs="宋体"/>
                <w:szCs w:val="21"/>
              </w:rPr>
              <w:t>环境保护措施</w:t>
            </w:r>
          </w:p>
        </w:tc>
        <w:tc>
          <w:tcPr>
            <w:tcW w:w="1985" w:type="dxa"/>
            <w:vAlign w:val="center"/>
          </w:tcPr>
          <w:p>
            <w:pPr>
              <w:adjustRightInd w:val="0"/>
              <w:snapToGrid w:val="0"/>
              <w:jc w:val="center"/>
              <w:rPr>
                <w:rFonts w:cs="宋体"/>
                <w:szCs w:val="21"/>
              </w:rPr>
            </w:pPr>
            <w:r>
              <w:rPr>
                <w:rFonts w:hint="eastAsia" w:cs="宋体"/>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456" w:hRule="atLeast"/>
          <w:jc w:val="center"/>
        </w:trPr>
        <w:tc>
          <w:tcPr>
            <w:tcW w:w="1778" w:type="dxa"/>
            <w:vMerge w:val="restart"/>
            <w:vAlign w:val="center"/>
          </w:tcPr>
          <w:p>
            <w:pPr>
              <w:adjustRightInd w:val="0"/>
              <w:snapToGrid w:val="0"/>
              <w:jc w:val="center"/>
              <w:rPr>
                <w:rFonts w:cs="宋体"/>
                <w:szCs w:val="21"/>
              </w:rPr>
            </w:pPr>
            <w:r>
              <w:rPr>
                <w:rFonts w:hint="eastAsia" w:cs="宋体"/>
                <w:szCs w:val="21"/>
              </w:rPr>
              <w:t>大气环境</w:t>
            </w:r>
          </w:p>
        </w:tc>
        <w:tc>
          <w:tcPr>
            <w:tcW w:w="1755" w:type="dxa"/>
            <w:vAlign w:val="center"/>
          </w:tcPr>
          <w:p>
            <w:pPr>
              <w:adjustRightInd w:val="0"/>
              <w:snapToGrid w:val="0"/>
              <w:jc w:val="center"/>
              <w:rPr>
                <w:rFonts w:cs="宋体"/>
                <w:szCs w:val="21"/>
              </w:rPr>
            </w:pPr>
            <w:r>
              <w:rPr>
                <w:rFonts w:hint="eastAsia"/>
              </w:rPr>
              <w:t>投料无组织粉尘</w:t>
            </w:r>
          </w:p>
        </w:tc>
        <w:tc>
          <w:tcPr>
            <w:tcW w:w="1702" w:type="dxa"/>
            <w:vMerge w:val="restart"/>
            <w:vAlign w:val="center"/>
          </w:tcPr>
          <w:p>
            <w:pPr>
              <w:adjustRightInd w:val="0"/>
              <w:snapToGrid w:val="0"/>
              <w:jc w:val="center"/>
              <w:rPr>
                <w:rFonts w:cs="宋体"/>
                <w:szCs w:val="21"/>
              </w:rPr>
            </w:pPr>
            <w:r>
              <w:rPr>
                <w:rFonts w:hint="eastAsia" w:cs="宋体"/>
                <w:szCs w:val="21"/>
              </w:rPr>
              <w:t>颗粒物</w:t>
            </w:r>
          </w:p>
        </w:tc>
        <w:tc>
          <w:tcPr>
            <w:tcW w:w="2126" w:type="dxa"/>
            <w:vAlign w:val="center"/>
          </w:tcPr>
          <w:p>
            <w:pPr>
              <w:adjustRightInd w:val="0"/>
              <w:snapToGrid w:val="0"/>
              <w:jc w:val="center"/>
              <w:rPr>
                <w:szCs w:val="21"/>
              </w:rPr>
            </w:pPr>
            <w:r>
              <w:rPr>
                <w:rFonts w:hint="eastAsia"/>
              </w:rPr>
              <w:t>地坑投料，</w:t>
            </w:r>
            <w:r>
              <w:rPr>
                <w:rFonts w:hint="eastAsia"/>
                <w:szCs w:val="21"/>
              </w:rPr>
              <w:t>洒水降尘</w:t>
            </w:r>
          </w:p>
        </w:tc>
        <w:tc>
          <w:tcPr>
            <w:tcW w:w="1985" w:type="dxa"/>
            <w:vMerge w:val="restart"/>
            <w:vAlign w:val="center"/>
          </w:tcPr>
          <w:p>
            <w:pPr>
              <w:adjustRightInd w:val="0"/>
              <w:snapToGrid w:val="0"/>
              <w:jc w:val="center"/>
              <w:rPr>
                <w:szCs w:val="21"/>
              </w:rPr>
            </w:pPr>
            <w:r>
              <w:rPr>
                <w:rFonts w:hint="eastAsia"/>
                <w:szCs w:val="21"/>
              </w:rPr>
              <w:t>《大气污染物综合排放标准》</w:t>
            </w:r>
          </w:p>
          <w:p>
            <w:pPr>
              <w:adjustRightInd w:val="0"/>
              <w:snapToGrid w:val="0"/>
              <w:jc w:val="center"/>
              <w:rPr>
                <w:rFonts w:cs="宋体"/>
                <w:szCs w:val="21"/>
              </w:rPr>
            </w:pPr>
            <w:r>
              <w:t>（GB16297-1996）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456" w:hRule="atLeast"/>
          <w:jc w:val="center"/>
        </w:trPr>
        <w:tc>
          <w:tcPr>
            <w:tcW w:w="1778" w:type="dxa"/>
            <w:vMerge w:val="continue"/>
            <w:vAlign w:val="center"/>
          </w:tcPr>
          <w:p>
            <w:pPr>
              <w:adjustRightInd w:val="0"/>
              <w:snapToGrid w:val="0"/>
              <w:jc w:val="center"/>
              <w:rPr>
                <w:rFonts w:cs="宋体"/>
                <w:szCs w:val="21"/>
              </w:rPr>
            </w:pPr>
          </w:p>
        </w:tc>
        <w:tc>
          <w:tcPr>
            <w:tcW w:w="1755" w:type="dxa"/>
            <w:vAlign w:val="center"/>
          </w:tcPr>
          <w:p>
            <w:pPr>
              <w:adjustRightInd w:val="0"/>
              <w:snapToGrid w:val="0"/>
              <w:jc w:val="center"/>
              <w:rPr>
                <w:rFonts w:cs="宋体"/>
                <w:szCs w:val="21"/>
              </w:rPr>
            </w:pPr>
            <w:r>
              <w:rPr>
                <w:rFonts w:hint="eastAsia" w:cs="宋体"/>
                <w:szCs w:val="21"/>
              </w:rPr>
              <w:t>破碎、筛分无组织粉尘</w:t>
            </w:r>
          </w:p>
        </w:tc>
        <w:tc>
          <w:tcPr>
            <w:tcW w:w="1702" w:type="dxa"/>
            <w:vMerge w:val="continue"/>
            <w:vAlign w:val="center"/>
          </w:tcPr>
          <w:p>
            <w:pPr>
              <w:adjustRightInd w:val="0"/>
              <w:snapToGrid w:val="0"/>
              <w:jc w:val="center"/>
              <w:rPr>
                <w:rFonts w:cs="宋体"/>
                <w:szCs w:val="21"/>
              </w:rPr>
            </w:pPr>
          </w:p>
        </w:tc>
        <w:tc>
          <w:tcPr>
            <w:tcW w:w="2126" w:type="dxa"/>
            <w:vAlign w:val="center"/>
          </w:tcPr>
          <w:p>
            <w:pPr>
              <w:adjustRightInd w:val="0"/>
              <w:snapToGrid w:val="0"/>
              <w:jc w:val="center"/>
              <w:rPr>
                <w:szCs w:val="21"/>
              </w:rPr>
            </w:pPr>
            <w:r>
              <w:rPr>
                <w:rFonts w:hint="eastAsia"/>
                <w:szCs w:val="21"/>
              </w:rPr>
              <w:t>湿法作业，洒水降尘，厂房封闭</w:t>
            </w:r>
          </w:p>
        </w:tc>
        <w:tc>
          <w:tcPr>
            <w:tcW w:w="1985" w:type="dxa"/>
            <w:vMerge w:val="continue"/>
            <w:vAlign w:val="center"/>
          </w:tcPr>
          <w:p>
            <w:pPr>
              <w:adjustRightInd w:val="0"/>
              <w:snapToGrid w:val="0"/>
              <w:jc w:val="center"/>
              <w:rPr>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70" w:hRule="atLeast"/>
          <w:jc w:val="center"/>
        </w:trPr>
        <w:tc>
          <w:tcPr>
            <w:tcW w:w="1778" w:type="dxa"/>
            <w:vMerge w:val="continue"/>
            <w:vAlign w:val="center"/>
          </w:tcPr>
          <w:p>
            <w:pPr>
              <w:adjustRightInd w:val="0"/>
              <w:snapToGrid w:val="0"/>
              <w:jc w:val="center"/>
              <w:rPr>
                <w:rFonts w:cs="宋体"/>
                <w:szCs w:val="21"/>
              </w:rPr>
            </w:pPr>
          </w:p>
        </w:tc>
        <w:tc>
          <w:tcPr>
            <w:tcW w:w="1755" w:type="dxa"/>
            <w:vAlign w:val="center"/>
          </w:tcPr>
          <w:p>
            <w:pPr>
              <w:pStyle w:val="47"/>
            </w:pPr>
            <w:r>
              <w:rPr>
                <w:rFonts w:hint="eastAsia"/>
              </w:rPr>
              <w:t>堆场无组织</w:t>
            </w:r>
            <w:r>
              <w:t>粉尘</w:t>
            </w:r>
          </w:p>
        </w:tc>
        <w:tc>
          <w:tcPr>
            <w:tcW w:w="1702" w:type="dxa"/>
            <w:vMerge w:val="continue"/>
            <w:vAlign w:val="center"/>
          </w:tcPr>
          <w:p>
            <w:pPr>
              <w:adjustRightInd w:val="0"/>
              <w:snapToGrid w:val="0"/>
              <w:jc w:val="center"/>
              <w:rPr>
                <w:rFonts w:cs="宋体"/>
                <w:szCs w:val="21"/>
              </w:rPr>
            </w:pPr>
          </w:p>
        </w:tc>
        <w:tc>
          <w:tcPr>
            <w:tcW w:w="2126" w:type="dxa"/>
            <w:vAlign w:val="center"/>
          </w:tcPr>
          <w:p>
            <w:pPr>
              <w:adjustRightInd w:val="0"/>
              <w:snapToGrid w:val="0"/>
              <w:jc w:val="center"/>
              <w:rPr>
                <w:szCs w:val="21"/>
              </w:rPr>
            </w:pPr>
            <w:r>
              <w:rPr>
                <w:rFonts w:hint="eastAsia"/>
                <w:color w:val="000000"/>
              </w:rPr>
              <w:t>洒水降尘、围挡、</w:t>
            </w:r>
            <w:r>
              <w:rPr>
                <w:rFonts w:hint="eastAsia"/>
              </w:rPr>
              <w:t>覆盖防尘网</w:t>
            </w:r>
            <w:r>
              <w:rPr>
                <w:rFonts w:hint="eastAsia"/>
                <w:color w:val="000000"/>
              </w:rPr>
              <w:t>，车辆冲洗</w:t>
            </w:r>
          </w:p>
        </w:tc>
        <w:tc>
          <w:tcPr>
            <w:tcW w:w="1985" w:type="dxa"/>
            <w:vMerge w:val="continue"/>
            <w:vAlign w:val="center"/>
          </w:tcPr>
          <w:p>
            <w:pPr>
              <w:adjustRightInd w:val="0"/>
              <w:snapToGrid w:val="0"/>
              <w:jc w:val="center"/>
              <w:rPr>
                <w:rFonts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425" w:hRule="atLeast"/>
          <w:jc w:val="center"/>
        </w:trPr>
        <w:tc>
          <w:tcPr>
            <w:tcW w:w="1778" w:type="dxa"/>
            <w:vMerge w:val="continue"/>
            <w:vAlign w:val="center"/>
          </w:tcPr>
          <w:p>
            <w:pPr>
              <w:adjustRightInd w:val="0"/>
              <w:snapToGrid w:val="0"/>
              <w:jc w:val="center"/>
              <w:rPr>
                <w:rFonts w:cs="宋体"/>
                <w:szCs w:val="21"/>
              </w:rPr>
            </w:pPr>
          </w:p>
        </w:tc>
        <w:tc>
          <w:tcPr>
            <w:tcW w:w="1755" w:type="dxa"/>
            <w:vAlign w:val="center"/>
          </w:tcPr>
          <w:p>
            <w:pPr>
              <w:pStyle w:val="47"/>
            </w:pPr>
            <w:r>
              <w:rPr>
                <w:rFonts w:hint="eastAsia"/>
              </w:rPr>
              <w:t>道路无组织粉尘</w:t>
            </w:r>
          </w:p>
        </w:tc>
        <w:tc>
          <w:tcPr>
            <w:tcW w:w="1702" w:type="dxa"/>
            <w:vMerge w:val="continue"/>
            <w:vAlign w:val="center"/>
          </w:tcPr>
          <w:p>
            <w:pPr>
              <w:adjustRightInd w:val="0"/>
              <w:snapToGrid w:val="0"/>
              <w:jc w:val="center"/>
              <w:rPr>
                <w:rFonts w:cs="宋体"/>
                <w:szCs w:val="21"/>
              </w:rPr>
            </w:pPr>
          </w:p>
        </w:tc>
        <w:tc>
          <w:tcPr>
            <w:tcW w:w="2126" w:type="dxa"/>
            <w:vAlign w:val="center"/>
          </w:tcPr>
          <w:p>
            <w:pPr>
              <w:adjustRightInd w:val="0"/>
              <w:snapToGrid w:val="0"/>
              <w:jc w:val="center"/>
              <w:rPr>
                <w:szCs w:val="21"/>
              </w:rPr>
            </w:pPr>
            <w:r>
              <w:rPr>
                <w:rFonts w:hint="eastAsia"/>
                <w:szCs w:val="21"/>
              </w:rPr>
              <w:t>路面硬化、洒水、车辆减速、车辆冲洗</w:t>
            </w:r>
          </w:p>
        </w:tc>
        <w:tc>
          <w:tcPr>
            <w:tcW w:w="1985" w:type="dxa"/>
            <w:vMerge w:val="continue"/>
            <w:vAlign w:val="center"/>
          </w:tcPr>
          <w:p>
            <w:pPr>
              <w:adjustRightInd w:val="0"/>
              <w:snapToGrid w:val="0"/>
              <w:jc w:val="center"/>
              <w:rPr>
                <w:rFonts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70" w:hRule="atLeast"/>
          <w:jc w:val="center"/>
        </w:trPr>
        <w:tc>
          <w:tcPr>
            <w:tcW w:w="1778" w:type="dxa"/>
            <w:vMerge w:val="continue"/>
            <w:vAlign w:val="center"/>
          </w:tcPr>
          <w:p>
            <w:pPr>
              <w:adjustRightInd w:val="0"/>
              <w:snapToGrid w:val="0"/>
              <w:jc w:val="center"/>
              <w:rPr>
                <w:rFonts w:cs="宋体"/>
                <w:szCs w:val="21"/>
              </w:rPr>
            </w:pPr>
          </w:p>
        </w:tc>
        <w:tc>
          <w:tcPr>
            <w:tcW w:w="1755" w:type="dxa"/>
            <w:vAlign w:val="center"/>
          </w:tcPr>
          <w:p>
            <w:pPr>
              <w:pStyle w:val="47"/>
            </w:pPr>
            <w:r>
              <w:rPr>
                <w:rFonts w:hint="eastAsia"/>
              </w:rPr>
              <w:t>车辆</w:t>
            </w:r>
            <w:r>
              <w:t>尾气</w:t>
            </w:r>
          </w:p>
        </w:tc>
        <w:tc>
          <w:tcPr>
            <w:tcW w:w="1702" w:type="dxa"/>
            <w:vAlign w:val="center"/>
          </w:tcPr>
          <w:p>
            <w:pPr>
              <w:adjustRightInd w:val="0"/>
              <w:snapToGrid w:val="0"/>
              <w:jc w:val="center"/>
              <w:rPr>
                <w:rFonts w:cs="宋体"/>
                <w:szCs w:val="21"/>
              </w:rPr>
            </w:pPr>
            <w:r>
              <w:rPr>
                <w:rFonts w:hint="eastAsia" w:cs="宋体"/>
                <w:szCs w:val="21"/>
              </w:rPr>
              <w:t>CO、NO</w:t>
            </w:r>
            <w:r>
              <w:rPr>
                <w:rFonts w:hint="eastAsia" w:cs="宋体"/>
                <w:szCs w:val="21"/>
                <w:vertAlign w:val="subscript"/>
              </w:rPr>
              <w:t>x</w:t>
            </w:r>
            <w:r>
              <w:rPr>
                <w:rFonts w:hint="eastAsia" w:cs="宋体"/>
                <w:szCs w:val="21"/>
              </w:rPr>
              <w:t>、</w:t>
            </w:r>
            <w:r>
              <w:rPr>
                <w:rFonts w:cs="宋体"/>
                <w:szCs w:val="21"/>
              </w:rPr>
              <w:t>SO</w:t>
            </w:r>
            <w:r>
              <w:rPr>
                <w:rFonts w:cs="宋体"/>
                <w:szCs w:val="21"/>
                <w:vertAlign w:val="subscript"/>
              </w:rPr>
              <w:t>2</w:t>
            </w:r>
          </w:p>
        </w:tc>
        <w:tc>
          <w:tcPr>
            <w:tcW w:w="2126" w:type="dxa"/>
            <w:vAlign w:val="center"/>
          </w:tcPr>
          <w:p>
            <w:pPr>
              <w:pStyle w:val="47"/>
            </w:pPr>
            <w:r>
              <w:rPr>
                <w:rFonts w:hint="eastAsia"/>
              </w:rPr>
              <w:t>使用</w:t>
            </w:r>
            <w:r>
              <w:t>排放达标机械</w:t>
            </w:r>
          </w:p>
        </w:tc>
        <w:tc>
          <w:tcPr>
            <w:tcW w:w="1985" w:type="dxa"/>
            <w:vAlign w:val="center"/>
          </w:tcPr>
          <w:p>
            <w:pPr>
              <w:adjustRightInd w:val="0"/>
              <w:snapToGrid w:val="0"/>
              <w:jc w:val="center"/>
              <w:rPr>
                <w:rFonts w:cs="宋体"/>
                <w:szCs w:val="21"/>
              </w:rPr>
            </w:pPr>
            <w:r>
              <w:rPr>
                <w:rFonts w:hint="eastAsia"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490" w:hRule="atLeast"/>
          <w:jc w:val="center"/>
        </w:trPr>
        <w:tc>
          <w:tcPr>
            <w:tcW w:w="1778" w:type="dxa"/>
            <w:vMerge w:val="continue"/>
            <w:vAlign w:val="center"/>
          </w:tcPr>
          <w:p>
            <w:pPr>
              <w:adjustRightInd w:val="0"/>
              <w:snapToGrid w:val="0"/>
              <w:jc w:val="center"/>
              <w:rPr>
                <w:rFonts w:cs="宋体"/>
                <w:szCs w:val="21"/>
              </w:rPr>
            </w:pPr>
          </w:p>
        </w:tc>
        <w:tc>
          <w:tcPr>
            <w:tcW w:w="1755" w:type="dxa"/>
            <w:vAlign w:val="center"/>
          </w:tcPr>
          <w:p>
            <w:pPr>
              <w:pStyle w:val="47"/>
            </w:pPr>
            <w:r>
              <w:rPr>
                <w:rFonts w:hint="eastAsia"/>
              </w:rPr>
              <w:t>洗砂废水</w:t>
            </w:r>
          </w:p>
        </w:tc>
        <w:tc>
          <w:tcPr>
            <w:tcW w:w="1702" w:type="dxa"/>
            <w:vMerge w:val="restart"/>
            <w:vAlign w:val="center"/>
          </w:tcPr>
          <w:p>
            <w:pPr>
              <w:adjustRightInd w:val="0"/>
              <w:snapToGrid w:val="0"/>
              <w:jc w:val="center"/>
              <w:rPr>
                <w:rFonts w:cs="宋体"/>
                <w:szCs w:val="21"/>
              </w:rPr>
            </w:pPr>
            <w:r>
              <w:rPr>
                <w:rFonts w:hint="eastAsia" w:cs="宋体"/>
                <w:szCs w:val="21"/>
              </w:rPr>
              <w:t>SS</w:t>
            </w:r>
          </w:p>
        </w:tc>
        <w:tc>
          <w:tcPr>
            <w:tcW w:w="2126" w:type="dxa"/>
            <w:vMerge w:val="restart"/>
            <w:vAlign w:val="center"/>
          </w:tcPr>
          <w:p>
            <w:r>
              <w:rPr>
                <w:rFonts w:hint="eastAsia"/>
              </w:rPr>
              <w:t>设置导流沟及管道，将废水导流至污水收集池，再通过浓密罐处理后，进入清水池，回用于生产，不外排。</w:t>
            </w:r>
          </w:p>
        </w:tc>
        <w:tc>
          <w:tcPr>
            <w:tcW w:w="1985" w:type="dxa"/>
            <w:vMerge w:val="restart"/>
            <w:vAlign w:val="center"/>
          </w:tcPr>
          <w:p>
            <w:pPr>
              <w:adjustRightInd w:val="0"/>
              <w:snapToGrid w:val="0"/>
              <w:jc w:val="center"/>
              <w:rPr>
                <w:rFonts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20" w:hRule="atLeast"/>
          <w:jc w:val="center"/>
        </w:trPr>
        <w:tc>
          <w:tcPr>
            <w:tcW w:w="1778" w:type="dxa"/>
            <w:vMerge w:val="continue"/>
            <w:vAlign w:val="center"/>
          </w:tcPr>
          <w:p>
            <w:pPr>
              <w:adjustRightInd w:val="0"/>
              <w:snapToGrid w:val="0"/>
              <w:jc w:val="center"/>
              <w:rPr>
                <w:rFonts w:cs="宋体"/>
                <w:szCs w:val="21"/>
              </w:rPr>
            </w:pPr>
          </w:p>
        </w:tc>
        <w:tc>
          <w:tcPr>
            <w:tcW w:w="1755" w:type="dxa"/>
            <w:vAlign w:val="center"/>
          </w:tcPr>
          <w:p>
            <w:pPr>
              <w:pStyle w:val="47"/>
            </w:pPr>
            <w:r>
              <w:rPr>
                <w:rFonts w:hint="eastAsia"/>
              </w:rPr>
              <w:t>车辆冲洗废水</w:t>
            </w:r>
          </w:p>
        </w:tc>
        <w:tc>
          <w:tcPr>
            <w:tcW w:w="1702" w:type="dxa"/>
            <w:vMerge w:val="continue"/>
            <w:vAlign w:val="center"/>
          </w:tcPr>
          <w:p>
            <w:pPr>
              <w:adjustRightInd w:val="0"/>
              <w:snapToGrid w:val="0"/>
              <w:jc w:val="center"/>
              <w:rPr>
                <w:rFonts w:cs="宋体"/>
                <w:szCs w:val="21"/>
              </w:rPr>
            </w:pPr>
          </w:p>
        </w:tc>
        <w:tc>
          <w:tcPr>
            <w:tcW w:w="2126" w:type="dxa"/>
            <w:vMerge w:val="continue"/>
          </w:tcPr>
          <w:p>
            <w:pPr>
              <w:jc w:val="center"/>
            </w:pPr>
          </w:p>
        </w:tc>
        <w:tc>
          <w:tcPr>
            <w:tcW w:w="1985" w:type="dxa"/>
            <w:vMerge w:val="continue"/>
            <w:vAlign w:val="center"/>
          </w:tcPr>
          <w:p>
            <w:pPr>
              <w:adjustRightInd w:val="0"/>
              <w:snapToGrid w:val="0"/>
              <w:jc w:val="center"/>
              <w:rPr>
                <w:rFonts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70" w:hRule="atLeast"/>
          <w:jc w:val="center"/>
        </w:trPr>
        <w:tc>
          <w:tcPr>
            <w:tcW w:w="1778" w:type="dxa"/>
            <w:vMerge w:val="continue"/>
            <w:vAlign w:val="center"/>
          </w:tcPr>
          <w:p>
            <w:pPr>
              <w:adjustRightInd w:val="0"/>
              <w:snapToGrid w:val="0"/>
              <w:jc w:val="center"/>
              <w:rPr>
                <w:rFonts w:cs="宋体"/>
                <w:szCs w:val="21"/>
              </w:rPr>
            </w:pPr>
          </w:p>
        </w:tc>
        <w:tc>
          <w:tcPr>
            <w:tcW w:w="1755" w:type="dxa"/>
            <w:vAlign w:val="center"/>
          </w:tcPr>
          <w:p>
            <w:pPr>
              <w:adjustRightInd w:val="0"/>
              <w:snapToGrid w:val="0"/>
              <w:jc w:val="center"/>
              <w:rPr>
                <w:szCs w:val="21"/>
              </w:rPr>
            </w:pPr>
            <w:r>
              <w:rPr>
                <w:rFonts w:hint="eastAsia"/>
                <w:szCs w:val="21"/>
              </w:rPr>
              <w:t>生活污水</w:t>
            </w:r>
          </w:p>
        </w:tc>
        <w:tc>
          <w:tcPr>
            <w:tcW w:w="1702" w:type="dxa"/>
            <w:vAlign w:val="center"/>
          </w:tcPr>
          <w:p>
            <w:pPr>
              <w:adjustRightInd w:val="0"/>
              <w:snapToGrid w:val="0"/>
              <w:jc w:val="center"/>
              <w:rPr>
                <w:rFonts w:cs="宋体"/>
                <w:szCs w:val="21"/>
              </w:rPr>
            </w:pPr>
            <w:r>
              <w:rPr>
                <w:szCs w:val="21"/>
              </w:rPr>
              <w:t>COD</w:t>
            </w:r>
            <w:r>
              <w:rPr>
                <w:szCs w:val="21"/>
                <w:vertAlign w:val="subscript"/>
              </w:rPr>
              <w:t>Cr</w:t>
            </w:r>
            <w:r>
              <w:rPr>
                <w:rFonts w:hint="eastAsia"/>
                <w:szCs w:val="21"/>
              </w:rPr>
              <w:t>、</w:t>
            </w:r>
            <w:r>
              <w:rPr>
                <w:szCs w:val="21"/>
              </w:rPr>
              <w:t>SS、BOD</w:t>
            </w:r>
            <w:r>
              <w:rPr>
                <w:szCs w:val="21"/>
                <w:vertAlign w:val="subscript"/>
              </w:rPr>
              <w:t>5</w:t>
            </w:r>
            <w:r>
              <w:rPr>
                <w:rFonts w:hint="eastAsia"/>
                <w:szCs w:val="21"/>
              </w:rPr>
              <w:t>、</w:t>
            </w:r>
            <w:r>
              <w:rPr>
                <w:szCs w:val="21"/>
              </w:rPr>
              <w:t>NH</w:t>
            </w:r>
            <w:r>
              <w:rPr>
                <w:szCs w:val="21"/>
                <w:vertAlign w:val="subscript"/>
              </w:rPr>
              <w:t>3</w:t>
            </w:r>
            <w:r>
              <w:rPr>
                <w:szCs w:val="21"/>
              </w:rPr>
              <w:t>-N</w:t>
            </w:r>
          </w:p>
        </w:tc>
        <w:tc>
          <w:tcPr>
            <w:tcW w:w="2126" w:type="dxa"/>
            <w:vAlign w:val="center"/>
          </w:tcPr>
          <w:p>
            <w:pPr>
              <w:adjustRightInd w:val="0"/>
              <w:snapToGrid w:val="0"/>
              <w:jc w:val="center"/>
              <w:rPr>
                <w:rFonts w:cs="宋体"/>
                <w:szCs w:val="21"/>
              </w:rPr>
            </w:pPr>
            <w:r>
              <w:rPr>
                <w:rFonts w:hint="eastAsia"/>
              </w:rPr>
              <w:t>依托附近既有污水处理设施处理</w:t>
            </w:r>
          </w:p>
        </w:tc>
        <w:tc>
          <w:tcPr>
            <w:tcW w:w="1985" w:type="dxa"/>
            <w:vAlign w:val="center"/>
          </w:tcPr>
          <w:p>
            <w:pPr>
              <w:adjustRightInd w:val="0"/>
              <w:snapToGrid w:val="0"/>
              <w:jc w:val="center"/>
              <w:rPr>
                <w:rFonts w:cs="宋体"/>
                <w:szCs w:val="21"/>
              </w:rPr>
            </w:pPr>
            <w:r>
              <w:rPr>
                <w:rFonts w:hint="eastAsia"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425" w:hRule="atLeast"/>
          <w:jc w:val="center"/>
        </w:trPr>
        <w:tc>
          <w:tcPr>
            <w:tcW w:w="1778" w:type="dxa"/>
            <w:vAlign w:val="center"/>
          </w:tcPr>
          <w:p>
            <w:pPr>
              <w:adjustRightInd w:val="0"/>
              <w:snapToGrid w:val="0"/>
              <w:jc w:val="center"/>
              <w:rPr>
                <w:rFonts w:cs="宋体"/>
                <w:szCs w:val="21"/>
              </w:rPr>
            </w:pPr>
            <w:r>
              <w:rPr>
                <w:rFonts w:hint="eastAsia" w:cs="宋体"/>
                <w:szCs w:val="21"/>
              </w:rPr>
              <w:t>声环境</w:t>
            </w:r>
          </w:p>
        </w:tc>
        <w:tc>
          <w:tcPr>
            <w:tcW w:w="1755" w:type="dxa"/>
            <w:vAlign w:val="center"/>
          </w:tcPr>
          <w:p>
            <w:pPr>
              <w:adjustRightInd w:val="0"/>
              <w:snapToGrid w:val="0"/>
              <w:jc w:val="center"/>
              <w:rPr>
                <w:rFonts w:cs="宋体"/>
                <w:color w:val="000000"/>
                <w:szCs w:val="21"/>
              </w:rPr>
            </w:pPr>
            <w:r>
              <w:rPr>
                <w:rFonts w:hint="eastAsia" w:cs="宋体"/>
                <w:color w:val="000000"/>
                <w:szCs w:val="21"/>
              </w:rPr>
              <w:t>生产车间</w:t>
            </w:r>
          </w:p>
        </w:tc>
        <w:tc>
          <w:tcPr>
            <w:tcW w:w="1702" w:type="dxa"/>
            <w:vAlign w:val="center"/>
          </w:tcPr>
          <w:p>
            <w:pPr>
              <w:adjustRightInd w:val="0"/>
              <w:snapToGrid w:val="0"/>
              <w:jc w:val="center"/>
              <w:rPr>
                <w:rFonts w:cs="宋体"/>
                <w:color w:val="000000"/>
                <w:szCs w:val="21"/>
              </w:rPr>
            </w:pPr>
            <w:r>
              <w:rPr>
                <w:rFonts w:hint="eastAsia" w:cs="宋体"/>
                <w:color w:val="000000"/>
                <w:szCs w:val="21"/>
              </w:rPr>
              <w:t>设备噪声</w:t>
            </w:r>
          </w:p>
        </w:tc>
        <w:tc>
          <w:tcPr>
            <w:tcW w:w="2126" w:type="dxa"/>
            <w:vAlign w:val="center"/>
          </w:tcPr>
          <w:p>
            <w:pPr>
              <w:adjustRightInd w:val="0"/>
              <w:snapToGrid w:val="0"/>
              <w:jc w:val="center"/>
              <w:rPr>
                <w:rFonts w:cs="宋体"/>
                <w:color w:val="000000"/>
                <w:szCs w:val="21"/>
              </w:rPr>
            </w:pPr>
            <w:r>
              <w:rPr>
                <w:rFonts w:hint="eastAsia" w:cs="宋体"/>
                <w:color w:val="000000"/>
                <w:szCs w:val="21"/>
              </w:rPr>
              <w:t>主要生产设备位于厂房内，设置基础减震</w:t>
            </w:r>
          </w:p>
        </w:tc>
        <w:tc>
          <w:tcPr>
            <w:tcW w:w="1985" w:type="dxa"/>
            <w:vAlign w:val="center"/>
          </w:tcPr>
          <w:p>
            <w:pPr>
              <w:pStyle w:val="36"/>
              <w:rPr>
                <w:color w:val="000000"/>
              </w:rPr>
            </w:pPr>
            <w:r>
              <w:rPr>
                <w:rFonts w:hint="eastAsia"/>
                <w:color w:val="000000"/>
              </w:rPr>
              <w:t>《工业企业厂界环境噪声排放标准》（GB12348-2008）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70" w:hRule="atLeast"/>
          <w:jc w:val="center"/>
        </w:trPr>
        <w:tc>
          <w:tcPr>
            <w:tcW w:w="1778" w:type="dxa"/>
            <w:vAlign w:val="center"/>
          </w:tcPr>
          <w:p>
            <w:pPr>
              <w:adjustRightInd w:val="0"/>
              <w:snapToGrid w:val="0"/>
              <w:jc w:val="center"/>
              <w:rPr>
                <w:rFonts w:cs="宋体"/>
                <w:szCs w:val="21"/>
              </w:rPr>
            </w:pPr>
            <w:r>
              <w:rPr>
                <w:rFonts w:hint="eastAsia" w:cs="宋体"/>
                <w:szCs w:val="21"/>
              </w:rPr>
              <w:t>电磁辐射</w:t>
            </w:r>
          </w:p>
        </w:tc>
        <w:tc>
          <w:tcPr>
            <w:tcW w:w="1755" w:type="dxa"/>
            <w:vAlign w:val="center"/>
          </w:tcPr>
          <w:p>
            <w:pPr>
              <w:adjustRightInd w:val="0"/>
              <w:snapToGrid w:val="0"/>
              <w:jc w:val="center"/>
              <w:rPr>
                <w:rFonts w:cs="宋体"/>
                <w:szCs w:val="21"/>
              </w:rPr>
            </w:pPr>
            <w:r>
              <w:rPr>
                <w:rFonts w:hint="eastAsia" w:cs="宋体"/>
                <w:szCs w:val="21"/>
              </w:rPr>
              <w:t>/</w:t>
            </w:r>
          </w:p>
        </w:tc>
        <w:tc>
          <w:tcPr>
            <w:tcW w:w="1702" w:type="dxa"/>
            <w:vAlign w:val="center"/>
          </w:tcPr>
          <w:p>
            <w:pPr>
              <w:adjustRightInd w:val="0"/>
              <w:snapToGrid w:val="0"/>
              <w:jc w:val="center"/>
              <w:rPr>
                <w:rFonts w:cs="宋体"/>
                <w:szCs w:val="21"/>
              </w:rPr>
            </w:pPr>
            <w:r>
              <w:rPr>
                <w:rFonts w:hint="eastAsia" w:cs="宋体"/>
                <w:szCs w:val="21"/>
              </w:rPr>
              <w:t>/</w:t>
            </w:r>
          </w:p>
        </w:tc>
        <w:tc>
          <w:tcPr>
            <w:tcW w:w="2126" w:type="dxa"/>
            <w:vAlign w:val="center"/>
          </w:tcPr>
          <w:p>
            <w:pPr>
              <w:adjustRightInd w:val="0"/>
              <w:snapToGrid w:val="0"/>
              <w:jc w:val="center"/>
              <w:rPr>
                <w:rFonts w:cs="宋体"/>
                <w:szCs w:val="21"/>
              </w:rPr>
            </w:pPr>
            <w:r>
              <w:rPr>
                <w:rFonts w:hint="eastAsia" w:cs="宋体"/>
                <w:szCs w:val="21"/>
              </w:rPr>
              <w:t>/</w:t>
            </w:r>
          </w:p>
        </w:tc>
        <w:tc>
          <w:tcPr>
            <w:tcW w:w="1985" w:type="dxa"/>
            <w:vAlign w:val="center"/>
          </w:tcPr>
          <w:p>
            <w:pPr>
              <w:adjustRightInd w:val="0"/>
              <w:snapToGrid w:val="0"/>
              <w:jc w:val="center"/>
              <w:rPr>
                <w:rFonts w:cs="宋体"/>
                <w:szCs w:val="21"/>
              </w:rPr>
            </w:pPr>
            <w:r>
              <w:rPr>
                <w:rFonts w:hint="eastAsia"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77" w:hRule="atLeast"/>
          <w:jc w:val="center"/>
        </w:trPr>
        <w:tc>
          <w:tcPr>
            <w:tcW w:w="1778" w:type="dxa"/>
            <w:vAlign w:val="center"/>
          </w:tcPr>
          <w:p>
            <w:pPr>
              <w:adjustRightInd w:val="0"/>
              <w:snapToGrid w:val="0"/>
              <w:jc w:val="center"/>
              <w:rPr>
                <w:rFonts w:cs="宋体"/>
                <w:szCs w:val="21"/>
              </w:rPr>
            </w:pPr>
            <w:r>
              <w:rPr>
                <w:rFonts w:hint="eastAsia" w:cs="宋体"/>
                <w:szCs w:val="21"/>
              </w:rPr>
              <w:t>固体废物</w:t>
            </w:r>
          </w:p>
        </w:tc>
        <w:tc>
          <w:tcPr>
            <w:tcW w:w="7568" w:type="dxa"/>
            <w:gridSpan w:val="4"/>
            <w:vAlign w:val="center"/>
          </w:tcPr>
          <w:p>
            <w:r>
              <w:rPr>
                <w:rFonts w:hint="eastAsia"/>
              </w:rPr>
              <w:t>生活垃圾收集后交由当地环卫部门统一处理；浓密罐污泥</w:t>
            </w:r>
            <w:r>
              <w:rPr>
                <w:rFonts w:hint="eastAsia" w:hAnsi="宋体"/>
              </w:rPr>
              <w:t>经压滤机压滤脱水后按政府要求堆放至指定地点</w:t>
            </w:r>
            <w:r>
              <w:rPr>
                <w:rFonts w:hint="eastAsia"/>
              </w:rPr>
              <w:t>；设备检修废油</w:t>
            </w:r>
            <w:r>
              <w:rPr>
                <w:rFonts w:hint="eastAsia" w:ascii="宋体" w:hAnsi="宋体" w:cs="宋体"/>
                <w:kern w:val="0"/>
                <w:szCs w:val="21"/>
                <w:lang w:bidi="ar"/>
              </w:rPr>
              <w:t>暂存于危废暂存间，定期交由资质单位清运处置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201" w:hRule="atLeast"/>
          <w:jc w:val="center"/>
        </w:trPr>
        <w:tc>
          <w:tcPr>
            <w:tcW w:w="1778" w:type="dxa"/>
            <w:vAlign w:val="center"/>
          </w:tcPr>
          <w:p>
            <w:pPr>
              <w:adjustRightInd w:val="0"/>
              <w:snapToGrid w:val="0"/>
              <w:jc w:val="center"/>
              <w:rPr>
                <w:rFonts w:cs="宋体"/>
                <w:szCs w:val="21"/>
              </w:rPr>
            </w:pPr>
            <w:r>
              <w:rPr>
                <w:rFonts w:hint="eastAsia" w:cs="宋体"/>
                <w:szCs w:val="21"/>
              </w:rPr>
              <w:t>土壤及地下水</w:t>
            </w:r>
          </w:p>
          <w:p>
            <w:pPr>
              <w:adjustRightInd w:val="0"/>
              <w:snapToGrid w:val="0"/>
              <w:jc w:val="center"/>
              <w:rPr>
                <w:rFonts w:cs="宋体"/>
                <w:szCs w:val="21"/>
              </w:rPr>
            </w:pPr>
            <w:r>
              <w:rPr>
                <w:rFonts w:hint="eastAsia" w:cs="宋体"/>
                <w:szCs w:val="21"/>
              </w:rPr>
              <w:t>污染防治措施</w:t>
            </w:r>
          </w:p>
        </w:tc>
        <w:tc>
          <w:tcPr>
            <w:tcW w:w="7568" w:type="dxa"/>
            <w:gridSpan w:val="4"/>
            <w:vAlign w:val="center"/>
          </w:tcPr>
          <w:p>
            <w:pPr>
              <w:adjustRightInd w:val="0"/>
              <w:snapToGrid w:val="0"/>
              <w:rPr>
                <w:rFonts w:ascii="宋体" w:hAnsi="宋体" w:cs="宋体"/>
                <w:bCs/>
                <w:szCs w:val="21"/>
              </w:rPr>
            </w:pPr>
            <w:r>
              <w:rPr>
                <w:rFonts w:hint="eastAsia" w:ascii="宋体" w:hAnsi="宋体" w:cs="宋体"/>
                <w:bCs/>
                <w:szCs w:val="21"/>
              </w:rPr>
              <w:t>本项目为砂石加工生产线项目，不包括砂石的开采，主要利用</w:t>
            </w:r>
            <w:r>
              <w:rPr>
                <w:rFonts w:hint="eastAsia" w:cs="宋体"/>
                <w:bCs/>
                <w:szCs w:val="21"/>
              </w:rPr>
              <w:t>“乐山市沙湾区铜河资源绿色建材加工厂项目</w:t>
            </w:r>
            <w:r>
              <w:rPr>
                <w:rFonts w:cs="宋体"/>
                <w:bCs/>
                <w:szCs w:val="21"/>
              </w:rPr>
              <w:t>-</w:t>
            </w:r>
            <w:r>
              <w:rPr>
                <w:rFonts w:hint="eastAsia" w:cs="宋体"/>
                <w:bCs/>
                <w:szCs w:val="21"/>
              </w:rPr>
              <w:t>土石方工程”原弃方堆放地内可利用废弃物进行</w:t>
            </w:r>
            <w:r>
              <w:rPr>
                <w:rFonts w:hint="eastAsia" w:ascii="宋体" w:hAnsi="宋体" w:cs="宋体"/>
                <w:bCs/>
                <w:szCs w:val="21"/>
              </w:rPr>
              <w:t>砂石加工，均为无毒无害物质，原料使用符合清洁生产要求，原料经过筛分、冲洗等工序后形成产品。通过对项目原辅材料及产品的理化性质分析可知，项目不涉及易燃易爆品、腐蚀品、剧毒化学品等危险化学品，其生产过程和产品储存、运输过程不会对地下水环境造成污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70" w:hRule="atLeast"/>
          <w:jc w:val="center"/>
        </w:trPr>
        <w:tc>
          <w:tcPr>
            <w:tcW w:w="1778" w:type="dxa"/>
            <w:vAlign w:val="center"/>
          </w:tcPr>
          <w:p>
            <w:pPr>
              <w:adjustRightInd w:val="0"/>
              <w:snapToGrid w:val="0"/>
              <w:jc w:val="center"/>
              <w:rPr>
                <w:rFonts w:cs="宋体"/>
                <w:szCs w:val="21"/>
              </w:rPr>
            </w:pPr>
            <w:r>
              <w:rPr>
                <w:rFonts w:hint="eastAsia" w:cs="宋体"/>
                <w:szCs w:val="21"/>
              </w:rPr>
              <w:t>生态保护措施</w:t>
            </w:r>
          </w:p>
        </w:tc>
        <w:tc>
          <w:tcPr>
            <w:tcW w:w="7568" w:type="dxa"/>
            <w:gridSpan w:val="4"/>
            <w:vAlign w:val="center"/>
          </w:tcPr>
          <w:p>
            <w:pPr>
              <w:adjustRightInd w:val="0"/>
              <w:snapToGrid w:val="0"/>
              <w:rPr>
                <w:rFonts w:cs="宋体"/>
                <w:szCs w:val="21"/>
              </w:rPr>
            </w:pPr>
            <w:r>
              <w:rPr>
                <w:rFonts w:hint="eastAsia" w:cs="宋体"/>
                <w:szCs w:val="21"/>
              </w:rPr>
              <w:t>本项目为新建项目，项目建设运营将对当地生态造成一定影响。但是，项目所在地为工业用地，现主要为荒地，且该区域人类活动频繁区域，无珍稀动植物分布。因此，从总体上讲，本项目的建设对当地生态环境影响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70" w:hRule="atLeast"/>
          <w:jc w:val="center"/>
        </w:trPr>
        <w:tc>
          <w:tcPr>
            <w:tcW w:w="1778" w:type="dxa"/>
            <w:vAlign w:val="center"/>
          </w:tcPr>
          <w:p>
            <w:pPr>
              <w:adjustRightInd w:val="0"/>
              <w:snapToGrid w:val="0"/>
              <w:jc w:val="center"/>
              <w:rPr>
                <w:rFonts w:cs="宋体"/>
                <w:spacing w:val="-8"/>
                <w:szCs w:val="21"/>
              </w:rPr>
            </w:pPr>
            <w:r>
              <w:rPr>
                <w:rFonts w:hint="eastAsia" w:cs="宋体"/>
                <w:spacing w:val="-8"/>
                <w:szCs w:val="21"/>
              </w:rPr>
              <w:t>环境风险</w:t>
            </w:r>
          </w:p>
          <w:p>
            <w:pPr>
              <w:adjustRightInd w:val="0"/>
              <w:snapToGrid w:val="0"/>
              <w:jc w:val="center"/>
              <w:rPr>
                <w:rFonts w:cs="宋体"/>
                <w:spacing w:val="-8"/>
                <w:szCs w:val="21"/>
              </w:rPr>
            </w:pPr>
            <w:r>
              <w:rPr>
                <w:rFonts w:hint="eastAsia" w:cs="宋体"/>
                <w:spacing w:val="-8"/>
                <w:szCs w:val="21"/>
              </w:rPr>
              <w:t>防范措施</w:t>
            </w:r>
          </w:p>
        </w:tc>
        <w:tc>
          <w:tcPr>
            <w:tcW w:w="7568" w:type="dxa"/>
            <w:gridSpan w:val="4"/>
            <w:vAlign w:val="center"/>
          </w:tcPr>
          <w:p>
            <w:pPr>
              <w:adjustRightInd w:val="0"/>
              <w:snapToGrid w:val="0"/>
              <w:rPr>
                <w:rFonts w:cs="宋体"/>
                <w:szCs w:val="21"/>
              </w:rPr>
            </w:pPr>
            <w:r>
              <w:rPr>
                <w:rFonts w:hint="eastAsia" w:cs="宋体"/>
                <w:szCs w:val="21"/>
              </w:rPr>
              <w:t>禁止在厂区储存油料、进行车辆维修活动，加强柴油设备管理，避免柴油泄露。</w:t>
            </w:r>
          </w:p>
          <w:p>
            <w:pPr>
              <w:adjustRightInd w:val="0"/>
              <w:snapToGrid w:val="0"/>
              <w:rPr>
                <w:rFonts w:cs="宋体"/>
                <w:szCs w:val="21"/>
              </w:rPr>
            </w:pPr>
            <w:r>
              <w:rPr>
                <w:rFonts w:hint="eastAsia" w:cs="宋体"/>
                <w:szCs w:val="21"/>
              </w:rPr>
              <w:t>加强设备管理，定期检修，保障设备正常运行；</w:t>
            </w:r>
          </w:p>
          <w:p>
            <w:pPr>
              <w:adjustRightInd w:val="0"/>
              <w:snapToGrid w:val="0"/>
              <w:rPr>
                <w:rFonts w:cs="宋体"/>
                <w:szCs w:val="21"/>
              </w:rPr>
            </w:pPr>
            <w:r>
              <w:rPr>
                <w:rFonts w:hint="eastAsia" w:cs="宋体"/>
                <w:szCs w:val="21"/>
              </w:rPr>
              <w:t>对除尘设备定期进行检查，保证除尘设备的除尘效率，降低大气环境污染风险。</w:t>
            </w:r>
          </w:p>
          <w:p>
            <w:pPr>
              <w:adjustRightInd w:val="0"/>
              <w:snapToGrid w:val="0"/>
              <w:rPr>
                <w:rFonts w:cs="宋体"/>
                <w:szCs w:val="21"/>
              </w:rPr>
            </w:pPr>
            <w:r>
              <w:rPr>
                <w:rFonts w:hint="eastAsia" w:cs="宋体"/>
                <w:szCs w:val="21"/>
              </w:rPr>
              <w:t>定期清理浓密罐内污泥，并定期检查其功能性，降低废水对环境的污染。同时应做好大暴雨天气沉淀池的防雨措施，避免废水外溢造成环境污染。</w:t>
            </w:r>
          </w:p>
          <w:p>
            <w:pPr>
              <w:adjustRightInd w:val="0"/>
              <w:snapToGrid w:val="0"/>
              <w:rPr>
                <w:rFonts w:cs="宋体"/>
                <w:szCs w:val="21"/>
              </w:rPr>
            </w:pPr>
            <w:r>
              <w:rPr>
                <w:rFonts w:hint="eastAsia" w:cs="宋体"/>
                <w:szCs w:val="21"/>
              </w:rPr>
              <w:t>加强废水处理设施的检维修，保证废水处理设施的正常运行，严禁废水外排。</w:t>
            </w:r>
          </w:p>
          <w:p>
            <w:pPr>
              <w:adjustRightInd w:val="0"/>
              <w:snapToGrid w:val="0"/>
              <w:rPr>
                <w:rFonts w:cs="宋体"/>
                <w:szCs w:val="21"/>
              </w:rPr>
            </w:pPr>
            <w:r>
              <w:rPr>
                <w:rFonts w:hint="eastAsia" w:cs="宋体"/>
                <w:szCs w:val="21"/>
              </w:rPr>
              <w:t>砂石堆场不宜堆放过高，应及时清运砂石、加强管理、清气巡查，避免堆砂场垮塌风险。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70" w:hRule="atLeast"/>
          <w:jc w:val="center"/>
        </w:trPr>
        <w:tc>
          <w:tcPr>
            <w:tcW w:w="1778" w:type="dxa"/>
            <w:vAlign w:val="center"/>
          </w:tcPr>
          <w:p>
            <w:pPr>
              <w:adjustRightInd w:val="0"/>
              <w:snapToGrid w:val="0"/>
              <w:jc w:val="center"/>
              <w:rPr>
                <w:rFonts w:cs="宋体"/>
                <w:spacing w:val="-8"/>
                <w:szCs w:val="21"/>
              </w:rPr>
            </w:pPr>
            <w:r>
              <w:rPr>
                <w:rFonts w:hint="eastAsia" w:cs="宋体"/>
                <w:spacing w:val="-8"/>
                <w:szCs w:val="21"/>
              </w:rPr>
              <w:t>其他环境</w:t>
            </w:r>
          </w:p>
          <w:p>
            <w:pPr>
              <w:adjustRightInd w:val="0"/>
              <w:snapToGrid w:val="0"/>
              <w:jc w:val="center"/>
              <w:rPr>
                <w:rFonts w:cs="宋体"/>
                <w:spacing w:val="-8"/>
                <w:szCs w:val="21"/>
              </w:rPr>
            </w:pPr>
            <w:r>
              <w:rPr>
                <w:rFonts w:hint="eastAsia" w:cs="宋体"/>
                <w:spacing w:val="-8"/>
                <w:szCs w:val="21"/>
              </w:rPr>
              <w:t>管理要求</w:t>
            </w:r>
          </w:p>
        </w:tc>
        <w:tc>
          <w:tcPr>
            <w:tcW w:w="7568" w:type="dxa"/>
            <w:gridSpan w:val="4"/>
            <w:vAlign w:val="center"/>
          </w:tcPr>
          <w:p>
            <w:pPr>
              <w:adjustRightInd w:val="0"/>
              <w:snapToGrid w:val="0"/>
              <w:rPr>
                <w:rFonts w:cs="宋体"/>
                <w:szCs w:val="21"/>
              </w:rPr>
            </w:pPr>
            <w:r>
              <w:rPr>
                <w:rFonts w:hint="eastAsia" w:cs="宋体"/>
                <w:szCs w:val="21"/>
              </w:rPr>
              <w:t>（1）本项目需配套建设的环境保护设施，必须与主体工程同时设计、同时施工、同时投产使用。</w:t>
            </w:r>
          </w:p>
          <w:p>
            <w:pPr>
              <w:adjustRightInd w:val="0"/>
              <w:snapToGrid w:val="0"/>
              <w:rPr>
                <w:rFonts w:cs="宋体"/>
                <w:szCs w:val="21"/>
              </w:rPr>
            </w:pPr>
            <w:r>
              <w:rPr>
                <w:rFonts w:hint="eastAsia" w:cs="宋体"/>
                <w:szCs w:val="21"/>
              </w:rPr>
              <w:t>（2）根据《固定污染源排污许可分类管理名录》（2019 年版），本项目属</w:t>
            </w:r>
            <w:r>
              <w:rPr>
                <w:rFonts w:hint="eastAsia"/>
                <w:szCs w:val="21"/>
              </w:rPr>
              <w:t>“三十九、废弃资源综合利用业 42”中“非金属废料和碎屑加工处理 422”</w:t>
            </w:r>
            <w:r>
              <w:rPr>
                <w:rFonts w:hint="eastAsia" w:cs="宋体"/>
                <w:szCs w:val="21"/>
              </w:rPr>
              <w:t>，实行简化管理，建设单位应当在启动生产设施或发生实际排污之前申领排污许可证。</w:t>
            </w:r>
          </w:p>
          <w:p>
            <w:pPr>
              <w:adjustRightInd w:val="0"/>
              <w:snapToGrid w:val="0"/>
              <w:rPr>
                <w:rFonts w:cs="宋体"/>
                <w:szCs w:val="21"/>
              </w:rPr>
            </w:pPr>
            <w:r>
              <w:rPr>
                <w:rFonts w:hint="eastAsia" w:cs="宋体"/>
                <w:szCs w:val="21"/>
              </w:rPr>
              <w:t>（3）项目竣工环境保护验收：本项目竣工后，建设单位应当依照国家有关法律法规、建设项目竣工环境保护验收技术规范、建设项目环境影响报告表和审批决定等要求，应当如实查验、监测、记载建设项目环境保护设施的建设和调试情况，同时还应如实记载其他环境保护对策措施“三同时”落实情况，编制验收监测报告。</w:t>
            </w:r>
          </w:p>
          <w:p>
            <w:pPr>
              <w:adjustRightInd w:val="0"/>
              <w:snapToGrid w:val="0"/>
              <w:rPr>
                <w:rFonts w:cs="宋体"/>
                <w:szCs w:val="21"/>
              </w:rPr>
            </w:pPr>
            <w:r>
              <w:rPr>
                <w:rFonts w:hint="eastAsia" w:cs="宋体"/>
                <w:szCs w:val="21"/>
              </w:rPr>
              <w:t>（4）营运期加强环境管理，监督落实废水、废气、固体废物、噪声治理、地下水防渗等各项环保措施，定期对设备设施进行保养检修，及时发现并阻止污染物跑、冒、滴、漏现象，消除事故隐患，杜绝事故排放。</w:t>
            </w:r>
          </w:p>
        </w:tc>
      </w:tr>
    </w:tbl>
    <w:p>
      <w:pPr>
        <w:pStyle w:val="12"/>
        <w:jc w:val="center"/>
        <w:outlineLvl w:val="0"/>
        <w:rPr>
          <w:rFonts w:ascii="Times New Roman" w:hAnsi="Times New Roman"/>
          <w:snapToGrid w:val="0"/>
          <w:sz w:val="30"/>
          <w:szCs w:val="30"/>
        </w:rPr>
      </w:pPr>
      <w:r>
        <w:rPr>
          <w:rFonts w:ascii="Times New Roman" w:hAnsi="Times New Roman"/>
          <w:snapToGrid w:val="0"/>
        </w:rPr>
        <w:br w:type="page"/>
      </w:r>
      <w:r>
        <w:rPr>
          <w:rFonts w:hint="eastAsia" w:ascii="Times New Roman" w:hAnsi="Times New Roman"/>
          <w:snapToGrid w:val="0"/>
          <w:sz w:val="30"/>
          <w:szCs w:val="30"/>
        </w:rPr>
        <w:t>六、结论</w:t>
      </w:r>
    </w:p>
    <w:tbl>
      <w:tblPr>
        <w:tblStyle w:val="14"/>
        <w:tblW w:w="94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85" w:type="dxa"/>
          <w:left w:w="108" w:type="dxa"/>
          <w:bottom w:w="85" w:type="dxa"/>
          <w:right w:w="108" w:type="dxa"/>
        </w:tblCellMar>
      </w:tblPr>
      <w:tblGrid>
        <w:gridCol w:w="94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85" w:type="dxa"/>
            <w:left w:w="108" w:type="dxa"/>
            <w:bottom w:w="85" w:type="dxa"/>
            <w:right w:w="108" w:type="dxa"/>
          </w:tblCellMar>
        </w:tblPrEx>
        <w:trPr>
          <w:trHeight w:val="11991" w:hRule="atLeast"/>
          <w:jc w:val="center"/>
        </w:trPr>
        <w:tc>
          <w:tcPr>
            <w:tcW w:w="8865" w:type="dxa"/>
          </w:tcPr>
          <w:p>
            <w:pPr>
              <w:spacing w:line="360" w:lineRule="auto"/>
              <w:ind w:firstLine="480" w:firstLineChars="200"/>
              <w:rPr>
                <w:sz w:val="24"/>
              </w:rPr>
            </w:pPr>
            <w:r>
              <w:rPr>
                <w:rFonts w:hint="eastAsia"/>
                <w:sz w:val="24"/>
                <w:lang w:val="zh-CN"/>
              </w:rPr>
              <w:t>本次评价认为</w:t>
            </w:r>
            <w:r>
              <w:rPr>
                <w:rFonts w:hint="eastAsia"/>
                <w:sz w:val="24"/>
              </w:rPr>
              <w:t>“</w:t>
            </w:r>
            <w:r>
              <w:rPr>
                <w:rFonts w:hint="eastAsia" w:cs="宋体"/>
                <w:sz w:val="24"/>
              </w:rPr>
              <w:t>乐山市沙湾区铜河资源绿色建材加工厂项目</w:t>
            </w:r>
            <w:r>
              <w:rPr>
                <w:rFonts w:hint="eastAsia"/>
                <w:sz w:val="24"/>
              </w:rPr>
              <w:t>”符合国家有关产业政策和当地规划，选址合理，贯彻了“清洁生产、总量控制、达标排放”的原则；项目采取的污染防治措施技术经济可行、措施有效，完全能实现达标排放；影响分析预测表明，项目建设不会对拟建区域环境质量产生明显影响，能维持环境类（级）别质量现状、并满足规定的环境功能区划要求，其环境影响可接受；项目采取的环境风险防范和事故应急措施可行、项目环境风险处于可接受。</w:t>
            </w:r>
            <w:r>
              <w:rPr>
                <w:rFonts w:hint="eastAsia"/>
                <w:b/>
                <w:sz w:val="24"/>
              </w:rPr>
              <w:t>从环境保护角度出发，项目的建设是可行的。</w:t>
            </w:r>
          </w:p>
        </w:tc>
      </w:tr>
    </w:tbl>
    <w:p>
      <w:pPr>
        <w:sectPr>
          <w:pgSz w:w="11906" w:h="16838"/>
          <w:pgMar w:top="1701" w:right="1531" w:bottom="1701" w:left="1531" w:header="851" w:footer="851" w:gutter="0"/>
          <w:cols w:space="720" w:num="1"/>
          <w:docGrid w:linePitch="312" w:charSpace="0"/>
        </w:sectPr>
      </w:pPr>
    </w:p>
    <w:p>
      <w:pPr>
        <w:pStyle w:val="12"/>
        <w:adjustRightInd w:val="0"/>
        <w:snapToGrid w:val="0"/>
        <w:spacing w:before="0" w:beforeAutospacing="0" w:after="0" w:afterAutospacing="0" w:line="648" w:lineRule="auto"/>
        <w:outlineLvl w:val="0"/>
        <w:rPr>
          <w:rFonts w:ascii="Times New Roman" w:hAnsi="Times New Roman"/>
          <w:snapToGrid w:val="0"/>
          <w:sz w:val="32"/>
          <w:szCs w:val="32"/>
        </w:rPr>
      </w:pPr>
      <w:r>
        <w:rPr>
          <w:rFonts w:hint="eastAsia" w:ascii="Times New Roman" w:hAnsi="Times New Roman"/>
          <w:snapToGrid w:val="0"/>
          <w:sz w:val="32"/>
          <w:szCs w:val="32"/>
        </w:rPr>
        <w:t>附表</w:t>
      </w:r>
    </w:p>
    <w:p>
      <w:pPr>
        <w:pStyle w:val="12"/>
        <w:adjustRightInd w:val="0"/>
        <w:snapToGrid w:val="0"/>
        <w:spacing w:before="0" w:beforeAutospacing="0" w:after="0" w:afterAutospacing="0" w:line="552" w:lineRule="auto"/>
        <w:jc w:val="center"/>
        <w:outlineLvl w:val="0"/>
        <w:rPr>
          <w:rFonts w:ascii="Times New Roman" w:hAnsi="Times New Roman"/>
          <w:snapToGrid w:val="0"/>
          <w:sz w:val="38"/>
          <w:szCs w:val="38"/>
        </w:rPr>
      </w:pPr>
      <w:r>
        <w:rPr>
          <w:rFonts w:hint="eastAsia" w:ascii="Times New Roman" w:hAnsi="Times New Roman"/>
          <w:snapToGrid w:val="0"/>
          <w:sz w:val="38"/>
          <w:szCs w:val="38"/>
        </w:rPr>
        <w:t>建设项目污染物排放量汇总表</w:t>
      </w:r>
    </w:p>
    <w:tbl>
      <w:tblPr>
        <w:tblStyle w:val="14"/>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8"/>
        <w:gridCol w:w="1597"/>
        <w:gridCol w:w="1701"/>
        <w:gridCol w:w="1276"/>
        <w:gridCol w:w="1701"/>
        <w:gridCol w:w="1559"/>
        <w:gridCol w:w="1380"/>
        <w:gridCol w:w="1842"/>
        <w:gridCol w:w="13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408" w:type="dxa"/>
            <w:tcBorders>
              <w:tl2br w:val="single" w:color="auto" w:sz="4" w:space="0"/>
            </w:tcBorders>
            <w:tcMar>
              <w:left w:w="28" w:type="dxa"/>
              <w:right w:w="28" w:type="dxa"/>
            </w:tcMar>
            <w:vAlign w:val="center"/>
          </w:tcPr>
          <w:p>
            <w:pPr>
              <w:pStyle w:val="27"/>
              <w:spacing w:beforeLines="0" w:afterLines="0" w:line="240" w:lineRule="auto"/>
              <w:jc w:val="right"/>
              <w:rPr>
                <w:rFonts w:ascii="Times New Roman" w:cs="宋体"/>
                <w:snapToGrid w:val="0"/>
                <w:color w:val="000000"/>
                <w:spacing w:val="-6"/>
                <w:kern w:val="21"/>
                <w:szCs w:val="21"/>
                <w:lang w:val="en-US"/>
              </w:rPr>
            </w:pPr>
            <w:r>
              <w:rPr>
                <w:rFonts w:hint="eastAsia" w:ascii="Times New Roman" w:cs="宋体"/>
                <w:snapToGrid w:val="0"/>
                <w:color w:val="000000"/>
                <w:spacing w:val="-6"/>
                <w:kern w:val="21"/>
                <w:szCs w:val="21"/>
                <w:lang w:val="en-US"/>
              </w:rPr>
              <w:t>项目</w:t>
            </w:r>
          </w:p>
          <w:p>
            <w:pPr>
              <w:pStyle w:val="27"/>
              <w:spacing w:beforeLines="0" w:afterLines="0" w:line="240" w:lineRule="auto"/>
              <w:jc w:val="left"/>
              <w:rPr>
                <w:rFonts w:ascii="Times New Roman" w:cs="宋体"/>
                <w:snapToGrid w:val="0"/>
                <w:color w:val="000000"/>
                <w:spacing w:val="-6"/>
                <w:kern w:val="21"/>
                <w:szCs w:val="21"/>
                <w:lang w:val="en-US"/>
              </w:rPr>
            </w:pPr>
            <w:r>
              <w:rPr>
                <w:rFonts w:hint="eastAsia" w:ascii="Times New Roman" w:cs="宋体"/>
                <w:snapToGrid w:val="0"/>
                <w:color w:val="000000"/>
                <w:spacing w:val="-6"/>
                <w:kern w:val="21"/>
                <w:szCs w:val="21"/>
                <w:lang w:val="en-US"/>
              </w:rPr>
              <w:t>分类</w:t>
            </w:r>
          </w:p>
        </w:tc>
        <w:tc>
          <w:tcPr>
            <w:tcW w:w="1597" w:type="dxa"/>
            <w:tcMar>
              <w:left w:w="28" w:type="dxa"/>
              <w:right w:w="28" w:type="dxa"/>
            </w:tcMar>
            <w:vAlign w:val="center"/>
          </w:tcPr>
          <w:p>
            <w:pPr>
              <w:pStyle w:val="27"/>
              <w:spacing w:beforeLines="0" w:afterLines="0" w:line="240" w:lineRule="auto"/>
              <w:rPr>
                <w:rFonts w:ascii="Times New Roman" w:cs="宋体"/>
                <w:snapToGrid w:val="0"/>
                <w:color w:val="000000"/>
                <w:spacing w:val="-6"/>
                <w:kern w:val="21"/>
                <w:szCs w:val="21"/>
                <w:lang w:val="en-US"/>
              </w:rPr>
            </w:pPr>
            <w:r>
              <w:rPr>
                <w:rFonts w:hint="eastAsia" w:ascii="Times New Roman" w:cs="宋体"/>
                <w:snapToGrid w:val="0"/>
                <w:color w:val="000000"/>
                <w:spacing w:val="-6"/>
                <w:kern w:val="21"/>
                <w:szCs w:val="21"/>
                <w:lang w:val="en-US"/>
              </w:rPr>
              <w:t>污染物名称</w:t>
            </w:r>
          </w:p>
        </w:tc>
        <w:tc>
          <w:tcPr>
            <w:tcW w:w="1701" w:type="dxa"/>
            <w:tcMar>
              <w:left w:w="28" w:type="dxa"/>
              <w:right w:w="28" w:type="dxa"/>
            </w:tcMar>
            <w:vAlign w:val="center"/>
          </w:tcPr>
          <w:p>
            <w:pPr>
              <w:pStyle w:val="27"/>
              <w:spacing w:beforeLines="0" w:afterLines="0" w:line="240" w:lineRule="auto"/>
              <w:rPr>
                <w:rFonts w:ascii="Times New Roman"/>
                <w:snapToGrid w:val="0"/>
                <w:color w:val="000000"/>
                <w:spacing w:val="-6"/>
                <w:kern w:val="21"/>
                <w:szCs w:val="21"/>
                <w:lang w:val="en-US"/>
              </w:rPr>
            </w:pPr>
            <w:r>
              <w:rPr>
                <w:rFonts w:ascii="Times New Roman"/>
                <w:snapToGrid w:val="0"/>
                <w:color w:val="000000"/>
                <w:spacing w:val="-6"/>
                <w:kern w:val="21"/>
                <w:szCs w:val="21"/>
                <w:lang w:val="en-US"/>
              </w:rPr>
              <w:t>现有工程</w:t>
            </w:r>
          </w:p>
          <w:p>
            <w:pPr>
              <w:pStyle w:val="27"/>
              <w:spacing w:beforeLines="0" w:afterLines="0" w:line="240" w:lineRule="auto"/>
              <w:rPr>
                <w:rFonts w:ascii="Times New Roman"/>
                <w:snapToGrid w:val="0"/>
                <w:color w:val="000000"/>
                <w:spacing w:val="-6"/>
                <w:kern w:val="21"/>
                <w:szCs w:val="21"/>
                <w:lang w:val="en-US"/>
              </w:rPr>
            </w:pPr>
            <w:r>
              <w:rPr>
                <w:rFonts w:ascii="Times New Roman"/>
                <w:snapToGrid w:val="0"/>
                <w:color w:val="000000"/>
                <w:spacing w:val="-6"/>
                <w:kern w:val="21"/>
                <w:szCs w:val="21"/>
                <w:lang w:val="en-US"/>
              </w:rPr>
              <w:t>排放量（固</w:t>
            </w:r>
            <w:r>
              <w:rPr>
                <w:rFonts w:hint="eastAsia" w:ascii="Times New Roman"/>
                <w:snapToGrid w:val="0"/>
                <w:color w:val="000000"/>
                <w:spacing w:val="-6"/>
                <w:kern w:val="21"/>
                <w:szCs w:val="21"/>
                <w:lang w:val="en-US"/>
              </w:rPr>
              <w:t>体</w:t>
            </w:r>
            <w:r>
              <w:rPr>
                <w:rFonts w:ascii="Times New Roman"/>
                <w:snapToGrid w:val="0"/>
                <w:color w:val="000000"/>
                <w:spacing w:val="-6"/>
                <w:kern w:val="21"/>
                <w:szCs w:val="21"/>
                <w:lang w:val="en-US"/>
              </w:rPr>
              <w:t>废</w:t>
            </w:r>
            <w:r>
              <w:rPr>
                <w:rFonts w:hint="eastAsia" w:ascii="Times New Roman"/>
                <w:snapToGrid w:val="0"/>
                <w:color w:val="000000"/>
                <w:spacing w:val="-6"/>
                <w:kern w:val="21"/>
                <w:szCs w:val="21"/>
                <w:lang w:val="en-US"/>
              </w:rPr>
              <w:t>物</w:t>
            </w:r>
            <w:r>
              <w:rPr>
                <w:rFonts w:ascii="Times New Roman"/>
                <w:snapToGrid w:val="0"/>
                <w:color w:val="000000"/>
                <w:spacing w:val="-6"/>
                <w:kern w:val="21"/>
                <w:szCs w:val="21"/>
                <w:lang w:val="en-US"/>
              </w:rPr>
              <w:t>产生量）</w:t>
            </w:r>
            <w:r>
              <w:rPr>
                <w:rFonts w:ascii="Times New Roman"/>
                <w:snapToGrid w:val="0"/>
                <w:color w:val="000000"/>
                <w:spacing w:val="-6"/>
                <w:kern w:val="21"/>
                <w:szCs w:val="21"/>
                <w:lang w:val="en-US"/>
              </w:rPr>
              <w:fldChar w:fldCharType="begin"/>
            </w:r>
            <w:r>
              <w:rPr>
                <w:rFonts w:ascii="Times New Roman"/>
                <w:snapToGrid w:val="0"/>
                <w:color w:val="000000"/>
                <w:spacing w:val="-6"/>
                <w:kern w:val="21"/>
                <w:szCs w:val="21"/>
                <w:lang w:val="en-US"/>
              </w:rPr>
              <w:instrText xml:space="preserve"> = 1 \* GB3 \* MERGEFORMAT </w:instrText>
            </w:r>
            <w:r>
              <w:rPr>
                <w:rFonts w:ascii="Times New Roman"/>
                <w:snapToGrid w:val="0"/>
                <w:color w:val="000000"/>
                <w:spacing w:val="-6"/>
                <w:kern w:val="21"/>
                <w:szCs w:val="21"/>
                <w:lang w:val="en-US"/>
              </w:rPr>
              <w:fldChar w:fldCharType="separate"/>
            </w:r>
            <w:r>
              <w:rPr>
                <w:rFonts w:hint="eastAsia" w:ascii="Times New Roman" w:cs="宋体"/>
                <w:kern w:val="2"/>
                <w:szCs w:val="21"/>
                <w:lang w:val="en-US"/>
              </w:rPr>
              <w:t>①</w:t>
            </w:r>
            <w:r>
              <w:rPr>
                <w:rFonts w:ascii="Times New Roman"/>
                <w:snapToGrid w:val="0"/>
                <w:color w:val="000000"/>
                <w:spacing w:val="-6"/>
                <w:kern w:val="21"/>
                <w:szCs w:val="21"/>
                <w:lang w:val="en-US"/>
              </w:rPr>
              <w:fldChar w:fldCharType="end"/>
            </w:r>
          </w:p>
        </w:tc>
        <w:tc>
          <w:tcPr>
            <w:tcW w:w="1276" w:type="dxa"/>
            <w:tcMar>
              <w:left w:w="28" w:type="dxa"/>
              <w:right w:w="28" w:type="dxa"/>
            </w:tcMar>
            <w:vAlign w:val="center"/>
          </w:tcPr>
          <w:p>
            <w:pPr>
              <w:pStyle w:val="27"/>
              <w:spacing w:beforeLines="0" w:afterLines="0" w:line="240" w:lineRule="auto"/>
              <w:rPr>
                <w:rFonts w:ascii="Times New Roman"/>
                <w:snapToGrid w:val="0"/>
                <w:color w:val="000000"/>
                <w:spacing w:val="-6"/>
                <w:kern w:val="21"/>
                <w:szCs w:val="21"/>
                <w:lang w:val="en-US"/>
              </w:rPr>
            </w:pPr>
            <w:r>
              <w:rPr>
                <w:rFonts w:ascii="Times New Roman"/>
                <w:snapToGrid w:val="0"/>
                <w:color w:val="000000"/>
                <w:spacing w:val="-6"/>
                <w:kern w:val="21"/>
                <w:szCs w:val="21"/>
                <w:lang w:val="en-US"/>
              </w:rPr>
              <w:t>现有工程</w:t>
            </w:r>
          </w:p>
          <w:p>
            <w:pPr>
              <w:pStyle w:val="27"/>
              <w:spacing w:beforeLines="0" w:afterLines="0" w:line="240" w:lineRule="auto"/>
              <w:rPr>
                <w:rFonts w:ascii="Times New Roman"/>
                <w:snapToGrid w:val="0"/>
                <w:color w:val="000000"/>
                <w:spacing w:val="-6"/>
                <w:kern w:val="21"/>
                <w:szCs w:val="21"/>
                <w:lang w:val="en-US"/>
              </w:rPr>
            </w:pPr>
            <w:r>
              <w:rPr>
                <w:rFonts w:ascii="Times New Roman"/>
                <w:snapToGrid w:val="0"/>
                <w:color w:val="000000"/>
                <w:spacing w:val="-6"/>
                <w:kern w:val="21"/>
                <w:szCs w:val="21"/>
                <w:lang w:val="en-US"/>
              </w:rPr>
              <w:t>许可排放量</w:t>
            </w:r>
          </w:p>
          <w:p>
            <w:pPr>
              <w:pStyle w:val="27"/>
              <w:spacing w:beforeLines="0" w:afterLines="0"/>
              <w:rPr>
                <w:rFonts w:ascii="Times New Roman"/>
                <w:snapToGrid w:val="0"/>
                <w:color w:val="000000"/>
                <w:spacing w:val="-6"/>
                <w:kern w:val="21"/>
                <w:szCs w:val="21"/>
                <w:lang w:val="en-US"/>
              </w:rPr>
            </w:pPr>
            <w:r>
              <w:rPr>
                <w:rFonts w:ascii="Times New Roman"/>
                <w:snapToGrid w:val="0"/>
                <w:color w:val="000000"/>
                <w:spacing w:val="-6"/>
                <w:kern w:val="21"/>
                <w:szCs w:val="21"/>
                <w:lang w:val="en-US"/>
              </w:rPr>
              <w:fldChar w:fldCharType="begin"/>
            </w:r>
            <w:r>
              <w:rPr>
                <w:rFonts w:ascii="Times New Roman"/>
                <w:snapToGrid w:val="0"/>
                <w:color w:val="000000"/>
                <w:spacing w:val="-6"/>
                <w:kern w:val="21"/>
                <w:szCs w:val="21"/>
                <w:lang w:val="en-US"/>
              </w:rPr>
              <w:instrText xml:space="preserve"> = 2 \* GB3 \* MERGEFORMAT </w:instrText>
            </w:r>
            <w:r>
              <w:rPr>
                <w:rFonts w:ascii="Times New Roman"/>
                <w:snapToGrid w:val="0"/>
                <w:color w:val="000000"/>
                <w:spacing w:val="-6"/>
                <w:kern w:val="21"/>
                <w:szCs w:val="21"/>
                <w:lang w:val="en-US"/>
              </w:rPr>
              <w:fldChar w:fldCharType="separate"/>
            </w:r>
            <w:r>
              <w:rPr>
                <w:rFonts w:hint="eastAsia" w:ascii="Times New Roman" w:cs="宋体"/>
                <w:snapToGrid w:val="0"/>
                <w:color w:val="000000"/>
                <w:spacing w:val="-6"/>
                <w:kern w:val="21"/>
                <w:szCs w:val="21"/>
                <w:lang w:val="en-US"/>
              </w:rPr>
              <w:t>②</w:t>
            </w:r>
            <w:r>
              <w:rPr>
                <w:rFonts w:ascii="Times New Roman"/>
                <w:snapToGrid w:val="0"/>
                <w:color w:val="000000"/>
                <w:spacing w:val="-6"/>
                <w:kern w:val="21"/>
                <w:szCs w:val="21"/>
                <w:lang w:val="en-US"/>
              </w:rPr>
              <w:fldChar w:fldCharType="end"/>
            </w:r>
          </w:p>
        </w:tc>
        <w:tc>
          <w:tcPr>
            <w:tcW w:w="1701" w:type="dxa"/>
            <w:tcMar>
              <w:left w:w="28" w:type="dxa"/>
              <w:right w:w="28" w:type="dxa"/>
            </w:tcMar>
            <w:vAlign w:val="center"/>
          </w:tcPr>
          <w:p>
            <w:pPr>
              <w:pStyle w:val="27"/>
              <w:spacing w:beforeLines="0" w:afterLines="0" w:line="240" w:lineRule="auto"/>
              <w:rPr>
                <w:rFonts w:ascii="Times New Roman"/>
                <w:snapToGrid w:val="0"/>
                <w:color w:val="000000"/>
                <w:spacing w:val="-6"/>
                <w:kern w:val="21"/>
                <w:szCs w:val="21"/>
                <w:lang w:val="en-US"/>
              </w:rPr>
            </w:pPr>
            <w:r>
              <w:rPr>
                <w:rFonts w:ascii="Times New Roman"/>
                <w:snapToGrid w:val="0"/>
                <w:color w:val="000000"/>
                <w:spacing w:val="-6"/>
                <w:kern w:val="21"/>
                <w:szCs w:val="21"/>
                <w:lang w:val="en-US"/>
              </w:rPr>
              <w:t>在建工程</w:t>
            </w:r>
          </w:p>
          <w:p>
            <w:pPr>
              <w:pStyle w:val="27"/>
              <w:spacing w:beforeLines="0" w:afterLines="0" w:line="240" w:lineRule="auto"/>
              <w:rPr>
                <w:rFonts w:ascii="Times New Roman"/>
                <w:snapToGrid w:val="0"/>
                <w:color w:val="000000"/>
                <w:spacing w:val="-6"/>
                <w:kern w:val="21"/>
                <w:szCs w:val="21"/>
                <w:lang w:val="en-US"/>
              </w:rPr>
            </w:pPr>
            <w:r>
              <w:rPr>
                <w:rFonts w:ascii="Times New Roman"/>
                <w:snapToGrid w:val="0"/>
                <w:color w:val="000000"/>
                <w:spacing w:val="-6"/>
                <w:kern w:val="21"/>
                <w:szCs w:val="21"/>
                <w:lang w:val="en-US"/>
              </w:rPr>
              <w:t>排放量（固</w:t>
            </w:r>
            <w:r>
              <w:rPr>
                <w:rFonts w:hint="eastAsia" w:ascii="Times New Roman"/>
                <w:snapToGrid w:val="0"/>
                <w:color w:val="000000"/>
                <w:spacing w:val="-6"/>
                <w:kern w:val="21"/>
                <w:szCs w:val="21"/>
                <w:lang w:val="en-US"/>
              </w:rPr>
              <w:t>体</w:t>
            </w:r>
            <w:r>
              <w:rPr>
                <w:rFonts w:ascii="Times New Roman"/>
                <w:snapToGrid w:val="0"/>
                <w:color w:val="000000"/>
                <w:spacing w:val="-6"/>
                <w:kern w:val="21"/>
                <w:szCs w:val="21"/>
                <w:lang w:val="en-US"/>
              </w:rPr>
              <w:t>废</w:t>
            </w:r>
            <w:r>
              <w:rPr>
                <w:rFonts w:hint="eastAsia" w:ascii="Times New Roman"/>
                <w:snapToGrid w:val="0"/>
                <w:color w:val="000000"/>
                <w:spacing w:val="-6"/>
                <w:kern w:val="21"/>
                <w:szCs w:val="21"/>
                <w:lang w:val="en-US"/>
              </w:rPr>
              <w:t>物</w:t>
            </w:r>
            <w:r>
              <w:rPr>
                <w:rFonts w:ascii="Times New Roman"/>
                <w:snapToGrid w:val="0"/>
                <w:color w:val="000000"/>
                <w:spacing w:val="-6"/>
                <w:kern w:val="21"/>
                <w:szCs w:val="21"/>
                <w:lang w:val="en-US"/>
              </w:rPr>
              <w:t>产生量）</w:t>
            </w:r>
            <w:r>
              <w:rPr>
                <w:rFonts w:ascii="Times New Roman"/>
                <w:snapToGrid w:val="0"/>
                <w:color w:val="000000"/>
                <w:spacing w:val="-6"/>
                <w:kern w:val="21"/>
                <w:szCs w:val="21"/>
                <w:lang w:val="en-US"/>
              </w:rPr>
              <w:fldChar w:fldCharType="begin"/>
            </w:r>
            <w:r>
              <w:rPr>
                <w:rFonts w:ascii="Times New Roman"/>
                <w:snapToGrid w:val="0"/>
                <w:color w:val="000000"/>
                <w:spacing w:val="-6"/>
                <w:kern w:val="21"/>
                <w:szCs w:val="21"/>
                <w:lang w:val="en-US"/>
              </w:rPr>
              <w:instrText xml:space="preserve"> = 3 \* GB3 \* MERGEFORMAT </w:instrText>
            </w:r>
            <w:r>
              <w:rPr>
                <w:rFonts w:ascii="Times New Roman"/>
                <w:snapToGrid w:val="0"/>
                <w:color w:val="000000"/>
                <w:spacing w:val="-6"/>
                <w:kern w:val="21"/>
                <w:szCs w:val="21"/>
                <w:lang w:val="en-US"/>
              </w:rPr>
              <w:fldChar w:fldCharType="separate"/>
            </w:r>
            <w:r>
              <w:rPr>
                <w:rFonts w:hint="eastAsia" w:ascii="Times New Roman" w:cs="宋体"/>
                <w:kern w:val="2"/>
                <w:szCs w:val="21"/>
                <w:lang w:val="en-US"/>
              </w:rPr>
              <w:t>③</w:t>
            </w:r>
            <w:r>
              <w:rPr>
                <w:rFonts w:ascii="Times New Roman"/>
                <w:snapToGrid w:val="0"/>
                <w:color w:val="000000"/>
                <w:spacing w:val="-6"/>
                <w:kern w:val="21"/>
                <w:szCs w:val="21"/>
                <w:lang w:val="en-US"/>
              </w:rPr>
              <w:fldChar w:fldCharType="end"/>
            </w:r>
          </w:p>
        </w:tc>
        <w:tc>
          <w:tcPr>
            <w:tcW w:w="1559" w:type="dxa"/>
            <w:tcMar>
              <w:left w:w="28" w:type="dxa"/>
              <w:right w:w="28" w:type="dxa"/>
            </w:tcMar>
            <w:vAlign w:val="center"/>
          </w:tcPr>
          <w:p>
            <w:pPr>
              <w:pStyle w:val="27"/>
              <w:spacing w:beforeLines="0" w:afterLines="0" w:line="240" w:lineRule="auto"/>
              <w:rPr>
                <w:rFonts w:ascii="Times New Roman"/>
                <w:snapToGrid w:val="0"/>
                <w:color w:val="000000"/>
                <w:spacing w:val="-6"/>
                <w:kern w:val="21"/>
                <w:szCs w:val="21"/>
                <w:lang w:val="en-US"/>
              </w:rPr>
            </w:pPr>
            <w:r>
              <w:rPr>
                <w:rFonts w:ascii="Times New Roman"/>
                <w:snapToGrid w:val="0"/>
                <w:color w:val="000000"/>
                <w:spacing w:val="-6"/>
                <w:kern w:val="21"/>
                <w:szCs w:val="21"/>
                <w:lang w:val="en-US"/>
              </w:rPr>
              <w:t>本项目</w:t>
            </w:r>
          </w:p>
          <w:p>
            <w:pPr>
              <w:pStyle w:val="27"/>
              <w:spacing w:beforeLines="0" w:afterLines="0" w:line="240" w:lineRule="auto"/>
              <w:rPr>
                <w:rFonts w:ascii="Times New Roman"/>
                <w:snapToGrid w:val="0"/>
                <w:color w:val="000000"/>
                <w:spacing w:val="-6"/>
                <w:kern w:val="21"/>
                <w:szCs w:val="21"/>
                <w:lang w:val="en-US"/>
              </w:rPr>
            </w:pPr>
            <w:r>
              <w:rPr>
                <w:rFonts w:ascii="Times New Roman"/>
                <w:snapToGrid w:val="0"/>
                <w:color w:val="000000"/>
                <w:spacing w:val="-6"/>
                <w:kern w:val="21"/>
                <w:szCs w:val="21"/>
                <w:lang w:val="en-US"/>
              </w:rPr>
              <w:t>排放量（固</w:t>
            </w:r>
            <w:r>
              <w:rPr>
                <w:rFonts w:hint="eastAsia" w:ascii="Times New Roman"/>
                <w:snapToGrid w:val="0"/>
                <w:color w:val="000000"/>
                <w:spacing w:val="-6"/>
                <w:kern w:val="21"/>
                <w:szCs w:val="21"/>
                <w:lang w:val="en-US"/>
              </w:rPr>
              <w:t>体</w:t>
            </w:r>
            <w:r>
              <w:rPr>
                <w:rFonts w:ascii="Times New Roman"/>
                <w:snapToGrid w:val="0"/>
                <w:color w:val="000000"/>
                <w:spacing w:val="-6"/>
                <w:kern w:val="21"/>
                <w:szCs w:val="21"/>
                <w:lang w:val="en-US"/>
              </w:rPr>
              <w:t>废</w:t>
            </w:r>
            <w:r>
              <w:rPr>
                <w:rFonts w:hint="eastAsia" w:ascii="Times New Roman"/>
                <w:snapToGrid w:val="0"/>
                <w:color w:val="000000"/>
                <w:spacing w:val="-6"/>
                <w:kern w:val="21"/>
                <w:szCs w:val="21"/>
                <w:lang w:val="en-US"/>
              </w:rPr>
              <w:t>物</w:t>
            </w:r>
            <w:r>
              <w:rPr>
                <w:rFonts w:ascii="Times New Roman"/>
                <w:snapToGrid w:val="0"/>
                <w:color w:val="000000"/>
                <w:spacing w:val="-6"/>
                <w:kern w:val="21"/>
                <w:szCs w:val="21"/>
                <w:lang w:val="en-US"/>
              </w:rPr>
              <w:t>产生量）</w:t>
            </w:r>
            <w:r>
              <w:rPr>
                <w:rFonts w:ascii="Times New Roman"/>
                <w:snapToGrid w:val="0"/>
                <w:color w:val="000000"/>
                <w:spacing w:val="-6"/>
                <w:kern w:val="21"/>
                <w:szCs w:val="21"/>
                <w:lang w:val="en-US"/>
              </w:rPr>
              <w:fldChar w:fldCharType="begin"/>
            </w:r>
            <w:r>
              <w:rPr>
                <w:rFonts w:ascii="Times New Roman"/>
                <w:snapToGrid w:val="0"/>
                <w:color w:val="000000"/>
                <w:spacing w:val="-6"/>
                <w:kern w:val="21"/>
                <w:szCs w:val="21"/>
                <w:lang w:val="en-US"/>
              </w:rPr>
              <w:instrText xml:space="preserve"> = 4 \* GB3 \* MERGEFORMAT </w:instrText>
            </w:r>
            <w:r>
              <w:rPr>
                <w:rFonts w:ascii="Times New Roman"/>
                <w:snapToGrid w:val="0"/>
                <w:color w:val="000000"/>
                <w:spacing w:val="-6"/>
                <w:kern w:val="21"/>
                <w:szCs w:val="21"/>
                <w:lang w:val="en-US"/>
              </w:rPr>
              <w:fldChar w:fldCharType="separate"/>
            </w:r>
            <w:r>
              <w:rPr>
                <w:rFonts w:hint="eastAsia" w:ascii="Times New Roman" w:cs="宋体"/>
                <w:kern w:val="2"/>
                <w:szCs w:val="21"/>
                <w:lang w:val="en-US"/>
              </w:rPr>
              <w:t>④</w:t>
            </w:r>
            <w:r>
              <w:rPr>
                <w:rFonts w:ascii="Times New Roman"/>
                <w:snapToGrid w:val="0"/>
                <w:color w:val="000000"/>
                <w:spacing w:val="-6"/>
                <w:kern w:val="21"/>
                <w:szCs w:val="21"/>
                <w:lang w:val="en-US"/>
              </w:rPr>
              <w:fldChar w:fldCharType="end"/>
            </w:r>
          </w:p>
        </w:tc>
        <w:tc>
          <w:tcPr>
            <w:tcW w:w="1380" w:type="dxa"/>
            <w:tcMar>
              <w:left w:w="28" w:type="dxa"/>
              <w:right w:w="28" w:type="dxa"/>
            </w:tcMar>
            <w:vAlign w:val="center"/>
          </w:tcPr>
          <w:p>
            <w:pPr>
              <w:pStyle w:val="27"/>
              <w:spacing w:beforeLines="0" w:afterLines="0" w:line="240" w:lineRule="auto"/>
              <w:rPr>
                <w:rFonts w:ascii="Times New Roman"/>
                <w:snapToGrid w:val="0"/>
                <w:color w:val="000000"/>
                <w:spacing w:val="-16"/>
                <w:kern w:val="21"/>
                <w:szCs w:val="21"/>
                <w:lang w:val="en-US"/>
              </w:rPr>
            </w:pPr>
            <w:r>
              <w:rPr>
                <w:rFonts w:ascii="Times New Roman"/>
                <w:snapToGrid w:val="0"/>
                <w:color w:val="000000"/>
                <w:spacing w:val="-16"/>
                <w:kern w:val="21"/>
                <w:szCs w:val="21"/>
                <w:lang w:val="en-US"/>
              </w:rPr>
              <w:t>以新带老削减量</w:t>
            </w:r>
          </w:p>
          <w:p>
            <w:pPr>
              <w:pStyle w:val="27"/>
              <w:spacing w:beforeLines="0" w:afterLines="0" w:line="240" w:lineRule="auto"/>
              <w:rPr>
                <w:rFonts w:ascii="Times New Roman"/>
                <w:snapToGrid w:val="0"/>
                <w:color w:val="000000"/>
                <w:spacing w:val="-16"/>
                <w:kern w:val="21"/>
                <w:szCs w:val="21"/>
                <w:lang w:val="en-US"/>
              </w:rPr>
            </w:pPr>
            <w:r>
              <w:rPr>
                <w:rFonts w:ascii="Times New Roman"/>
                <w:snapToGrid w:val="0"/>
                <w:color w:val="000000"/>
                <w:spacing w:val="-16"/>
                <w:kern w:val="21"/>
                <w:szCs w:val="21"/>
                <w:lang w:val="en-US"/>
              </w:rPr>
              <w:t>（新建项目不填）</w:t>
            </w:r>
            <w:r>
              <w:rPr>
                <w:rFonts w:ascii="Times New Roman"/>
                <w:snapToGrid w:val="0"/>
                <w:color w:val="000000"/>
                <w:spacing w:val="-16"/>
                <w:kern w:val="21"/>
                <w:szCs w:val="21"/>
                <w:lang w:val="en-US"/>
              </w:rPr>
              <w:fldChar w:fldCharType="begin"/>
            </w:r>
            <w:r>
              <w:rPr>
                <w:rFonts w:ascii="Times New Roman"/>
                <w:snapToGrid w:val="0"/>
                <w:color w:val="000000"/>
                <w:spacing w:val="-16"/>
                <w:kern w:val="21"/>
                <w:szCs w:val="21"/>
                <w:lang w:val="en-US"/>
              </w:rPr>
              <w:instrText xml:space="preserve"> = 5 \* GB3 \* MERGEFORMAT </w:instrText>
            </w:r>
            <w:r>
              <w:rPr>
                <w:rFonts w:ascii="Times New Roman"/>
                <w:snapToGrid w:val="0"/>
                <w:color w:val="000000"/>
                <w:spacing w:val="-16"/>
                <w:kern w:val="21"/>
                <w:szCs w:val="21"/>
                <w:lang w:val="en-US"/>
              </w:rPr>
              <w:fldChar w:fldCharType="separate"/>
            </w:r>
            <w:r>
              <w:rPr>
                <w:rFonts w:hint="eastAsia" w:ascii="Times New Roman" w:cs="宋体"/>
                <w:kern w:val="2"/>
                <w:szCs w:val="21"/>
                <w:lang w:val="en-US"/>
              </w:rPr>
              <w:t>⑤</w:t>
            </w:r>
            <w:r>
              <w:rPr>
                <w:rFonts w:ascii="Times New Roman"/>
                <w:snapToGrid w:val="0"/>
                <w:color w:val="000000"/>
                <w:spacing w:val="-16"/>
                <w:kern w:val="21"/>
                <w:szCs w:val="21"/>
                <w:lang w:val="en-US"/>
              </w:rPr>
              <w:fldChar w:fldCharType="end"/>
            </w:r>
          </w:p>
        </w:tc>
        <w:tc>
          <w:tcPr>
            <w:tcW w:w="1842" w:type="dxa"/>
            <w:tcMar>
              <w:left w:w="28" w:type="dxa"/>
              <w:right w:w="28" w:type="dxa"/>
            </w:tcMar>
            <w:vAlign w:val="center"/>
          </w:tcPr>
          <w:p>
            <w:pPr>
              <w:pStyle w:val="27"/>
              <w:spacing w:beforeLines="0" w:afterLines="0" w:line="240" w:lineRule="auto"/>
              <w:rPr>
                <w:rFonts w:ascii="Times New Roman"/>
                <w:snapToGrid w:val="0"/>
                <w:color w:val="000000"/>
                <w:spacing w:val="-16"/>
                <w:kern w:val="21"/>
                <w:szCs w:val="21"/>
                <w:lang w:val="en-US"/>
              </w:rPr>
            </w:pPr>
            <w:r>
              <w:rPr>
                <w:rFonts w:ascii="Times New Roman"/>
                <w:snapToGrid w:val="0"/>
                <w:color w:val="000000"/>
                <w:spacing w:val="-16"/>
                <w:kern w:val="21"/>
                <w:szCs w:val="21"/>
                <w:lang w:val="en-US"/>
              </w:rPr>
              <w:t>本项目建成后</w:t>
            </w:r>
          </w:p>
          <w:p>
            <w:pPr>
              <w:pStyle w:val="27"/>
              <w:spacing w:beforeLines="0" w:afterLines="0" w:line="240" w:lineRule="auto"/>
              <w:rPr>
                <w:rFonts w:ascii="Times New Roman"/>
                <w:snapToGrid w:val="0"/>
                <w:color w:val="000000"/>
                <w:spacing w:val="-16"/>
                <w:kern w:val="21"/>
                <w:szCs w:val="21"/>
                <w:lang w:val="en-US"/>
              </w:rPr>
            </w:pPr>
            <w:r>
              <w:rPr>
                <w:rFonts w:hint="eastAsia" w:ascii="Times New Roman"/>
                <w:snapToGrid w:val="0"/>
                <w:color w:val="000000"/>
                <w:spacing w:val="-16"/>
                <w:kern w:val="21"/>
                <w:szCs w:val="21"/>
                <w:lang w:val="en-US"/>
              </w:rPr>
              <w:t>全厂</w:t>
            </w:r>
            <w:r>
              <w:rPr>
                <w:rFonts w:ascii="Times New Roman"/>
                <w:snapToGrid w:val="0"/>
                <w:color w:val="000000"/>
                <w:spacing w:val="-16"/>
                <w:kern w:val="21"/>
                <w:szCs w:val="21"/>
                <w:lang w:val="en-US"/>
              </w:rPr>
              <w:t>排放量（固</w:t>
            </w:r>
            <w:r>
              <w:rPr>
                <w:rFonts w:hint="eastAsia" w:ascii="Times New Roman"/>
                <w:snapToGrid w:val="0"/>
                <w:color w:val="000000"/>
                <w:spacing w:val="-16"/>
                <w:kern w:val="21"/>
                <w:szCs w:val="21"/>
                <w:lang w:val="en-US"/>
              </w:rPr>
              <w:t>体</w:t>
            </w:r>
            <w:r>
              <w:rPr>
                <w:rFonts w:ascii="Times New Roman"/>
                <w:snapToGrid w:val="0"/>
                <w:color w:val="000000"/>
                <w:spacing w:val="-16"/>
                <w:kern w:val="21"/>
                <w:szCs w:val="21"/>
                <w:lang w:val="en-US"/>
              </w:rPr>
              <w:t>废</w:t>
            </w:r>
            <w:r>
              <w:rPr>
                <w:rFonts w:hint="eastAsia" w:ascii="Times New Roman"/>
                <w:snapToGrid w:val="0"/>
                <w:color w:val="000000"/>
                <w:spacing w:val="-16"/>
                <w:kern w:val="21"/>
                <w:szCs w:val="21"/>
                <w:lang w:val="en-US"/>
              </w:rPr>
              <w:t>物</w:t>
            </w:r>
            <w:r>
              <w:rPr>
                <w:rFonts w:ascii="Times New Roman"/>
                <w:snapToGrid w:val="0"/>
                <w:color w:val="000000"/>
                <w:spacing w:val="-16"/>
                <w:kern w:val="21"/>
                <w:szCs w:val="21"/>
                <w:lang w:val="en-US"/>
              </w:rPr>
              <w:t>产生量）</w:t>
            </w:r>
            <w:r>
              <w:rPr>
                <w:rFonts w:ascii="Times New Roman"/>
                <w:snapToGrid w:val="0"/>
                <w:color w:val="000000"/>
                <w:spacing w:val="-16"/>
                <w:kern w:val="21"/>
                <w:szCs w:val="21"/>
                <w:lang w:val="en-US"/>
              </w:rPr>
              <w:fldChar w:fldCharType="begin"/>
            </w:r>
            <w:r>
              <w:rPr>
                <w:rFonts w:ascii="Times New Roman"/>
                <w:snapToGrid w:val="0"/>
                <w:color w:val="000000"/>
                <w:spacing w:val="-16"/>
                <w:kern w:val="21"/>
                <w:szCs w:val="21"/>
                <w:lang w:val="en-US"/>
              </w:rPr>
              <w:instrText xml:space="preserve"> = 6 \* GB3 \* MERGEFORMAT </w:instrText>
            </w:r>
            <w:r>
              <w:rPr>
                <w:rFonts w:ascii="Times New Roman"/>
                <w:snapToGrid w:val="0"/>
                <w:color w:val="000000"/>
                <w:spacing w:val="-16"/>
                <w:kern w:val="21"/>
                <w:szCs w:val="21"/>
                <w:lang w:val="en-US"/>
              </w:rPr>
              <w:fldChar w:fldCharType="separate"/>
            </w:r>
            <w:r>
              <w:rPr>
                <w:rFonts w:hint="eastAsia" w:ascii="Times New Roman" w:cs="宋体"/>
                <w:kern w:val="2"/>
                <w:szCs w:val="21"/>
                <w:lang w:val="en-US"/>
              </w:rPr>
              <w:t>⑥</w:t>
            </w:r>
            <w:r>
              <w:rPr>
                <w:rFonts w:ascii="Times New Roman"/>
                <w:snapToGrid w:val="0"/>
                <w:color w:val="000000"/>
                <w:spacing w:val="-16"/>
                <w:kern w:val="21"/>
                <w:szCs w:val="21"/>
                <w:lang w:val="en-US"/>
              </w:rPr>
              <w:fldChar w:fldCharType="end"/>
            </w:r>
          </w:p>
        </w:tc>
        <w:tc>
          <w:tcPr>
            <w:tcW w:w="1324" w:type="dxa"/>
            <w:tcMar>
              <w:left w:w="28" w:type="dxa"/>
              <w:right w:w="28" w:type="dxa"/>
            </w:tcMar>
            <w:vAlign w:val="center"/>
          </w:tcPr>
          <w:p>
            <w:pPr>
              <w:pStyle w:val="27"/>
              <w:spacing w:beforeLines="0" w:afterLines="0" w:line="240" w:lineRule="auto"/>
              <w:rPr>
                <w:rFonts w:ascii="Times New Roman"/>
                <w:snapToGrid w:val="0"/>
                <w:color w:val="000000"/>
                <w:spacing w:val="-6"/>
                <w:kern w:val="21"/>
                <w:szCs w:val="21"/>
                <w:lang w:val="en-US"/>
              </w:rPr>
            </w:pPr>
            <w:r>
              <w:rPr>
                <w:rFonts w:ascii="Times New Roman"/>
                <w:snapToGrid w:val="0"/>
                <w:color w:val="000000"/>
                <w:spacing w:val="-6"/>
                <w:kern w:val="21"/>
                <w:szCs w:val="21"/>
                <w:lang w:val="en-US"/>
              </w:rPr>
              <w:t>变化量</w:t>
            </w:r>
          </w:p>
          <w:p>
            <w:pPr>
              <w:pStyle w:val="27"/>
              <w:spacing w:beforeLines="0" w:afterLines="0" w:line="240" w:lineRule="auto"/>
              <w:rPr>
                <w:rFonts w:ascii="Times New Roman"/>
                <w:snapToGrid w:val="0"/>
                <w:color w:val="000000"/>
                <w:spacing w:val="-6"/>
                <w:kern w:val="21"/>
                <w:szCs w:val="21"/>
                <w:lang w:val="en-US"/>
              </w:rPr>
            </w:pPr>
            <w:r>
              <w:rPr>
                <w:rFonts w:ascii="Times New Roman"/>
                <w:snapToGrid w:val="0"/>
                <w:color w:val="000000"/>
                <w:spacing w:val="-6"/>
                <w:kern w:val="21"/>
                <w:szCs w:val="21"/>
                <w:lang w:val="en-US"/>
              </w:rPr>
              <w:fldChar w:fldCharType="begin"/>
            </w:r>
            <w:r>
              <w:rPr>
                <w:rFonts w:ascii="Times New Roman"/>
                <w:snapToGrid w:val="0"/>
                <w:color w:val="000000"/>
                <w:spacing w:val="-6"/>
                <w:kern w:val="21"/>
                <w:szCs w:val="21"/>
                <w:lang w:val="en-US"/>
              </w:rPr>
              <w:instrText xml:space="preserve"> = 7 \* GB3 \* MERGEFORMAT </w:instrText>
            </w:r>
            <w:r>
              <w:rPr>
                <w:rFonts w:ascii="Times New Roman"/>
                <w:snapToGrid w:val="0"/>
                <w:color w:val="000000"/>
                <w:spacing w:val="-6"/>
                <w:kern w:val="21"/>
                <w:szCs w:val="21"/>
                <w:lang w:val="en-US"/>
              </w:rPr>
              <w:fldChar w:fldCharType="separate"/>
            </w:r>
            <w:r>
              <w:rPr>
                <w:rFonts w:hint="eastAsia" w:ascii="Times New Roman" w:cs="宋体"/>
                <w:kern w:val="2"/>
                <w:szCs w:val="21"/>
                <w:lang w:val="en-US"/>
              </w:rPr>
              <w:t>⑦</w:t>
            </w:r>
            <w:r>
              <w:rPr>
                <w:rFonts w:ascii="Times New Roman"/>
                <w:snapToGrid w:val="0"/>
                <w:color w:val="000000"/>
                <w:spacing w:val="-6"/>
                <w:kern w:val="21"/>
                <w:szCs w:val="21"/>
                <w:lang w:val="en-US"/>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Align w:val="center"/>
          </w:tcPr>
          <w:p>
            <w:pPr>
              <w:pStyle w:val="27"/>
              <w:spacing w:beforeLines="0" w:afterLines="0" w:line="240" w:lineRule="auto"/>
              <w:rPr>
                <w:rFonts w:ascii="Times New Roman" w:cs="宋体"/>
                <w:snapToGrid w:val="0"/>
                <w:color w:val="000000"/>
                <w:kern w:val="21"/>
                <w:szCs w:val="21"/>
                <w:lang w:val="en-US"/>
              </w:rPr>
            </w:pPr>
            <w:r>
              <w:rPr>
                <w:rFonts w:hint="eastAsia" w:ascii="Times New Roman" w:cs="宋体"/>
                <w:snapToGrid w:val="0"/>
                <w:color w:val="000000"/>
                <w:kern w:val="21"/>
                <w:szCs w:val="21"/>
                <w:lang w:val="en-US"/>
              </w:rPr>
              <w:t>废气</w:t>
            </w:r>
          </w:p>
        </w:tc>
        <w:tc>
          <w:tcPr>
            <w:tcW w:w="1597" w:type="dxa"/>
            <w:vAlign w:val="center"/>
          </w:tcPr>
          <w:p>
            <w:pPr>
              <w:pStyle w:val="27"/>
              <w:spacing w:beforeLines="0" w:afterLines="0" w:line="240" w:lineRule="auto"/>
              <w:rPr>
                <w:rFonts w:ascii="Times New Roman" w:cs="宋体"/>
                <w:snapToGrid w:val="0"/>
                <w:color w:val="000000"/>
                <w:kern w:val="21"/>
                <w:szCs w:val="21"/>
                <w:lang w:val="en-US"/>
              </w:rPr>
            </w:pPr>
            <w:r>
              <w:rPr>
                <w:rFonts w:hint="eastAsia" w:ascii="Times New Roman" w:cs="宋体"/>
                <w:snapToGrid w:val="0"/>
                <w:color w:val="000000"/>
                <w:kern w:val="21"/>
                <w:szCs w:val="21"/>
                <w:lang w:val="en-US"/>
              </w:rPr>
              <w:t>颗粒物</w:t>
            </w: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p>
        </w:tc>
        <w:tc>
          <w:tcPr>
            <w:tcW w:w="1276" w:type="dxa"/>
            <w:vAlign w:val="center"/>
          </w:tcPr>
          <w:p>
            <w:pPr>
              <w:pStyle w:val="27"/>
              <w:spacing w:beforeLines="0" w:afterLines="0" w:line="240" w:lineRule="auto"/>
              <w:rPr>
                <w:rFonts w:ascii="Times New Roman" w:cs="宋体"/>
                <w:snapToGrid w:val="0"/>
                <w:color w:val="000000"/>
                <w:kern w:val="21"/>
                <w:szCs w:val="21"/>
                <w:lang w:val="en-US"/>
              </w:rPr>
            </w:pP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12.71</w:t>
            </w:r>
            <w:r>
              <w:rPr>
                <w:rFonts w:hint="eastAsia" w:ascii="Times New Roman" w:cs="宋体"/>
                <w:snapToGrid w:val="0"/>
                <w:color w:val="000000"/>
                <w:kern w:val="21"/>
                <w:szCs w:val="21"/>
                <w:lang w:val="en-US"/>
              </w:rPr>
              <w:t>t/a</w:t>
            </w:r>
          </w:p>
        </w:tc>
        <w:tc>
          <w:tcPr>
            <w:tcW w:w="1559" w:type="dxa"/>
            <w:vAlign w:val="center"/>
          </w:tcPr>
          <w:p>
            <w:pPr>
              <w:pStyle w:val="27"/>
              <w:spacing w:beforeLines="0" w:afterLines="0" w:line="240" w:lineRule="auto"/>
              <w:rPr>
                <w:rFonts w:ascii="Times New Roman" w:cs="宋体"/>
                <w:snapToGrid w:val="0"/>
                <w:color w:val="000000"/>
                <w:kern w:val="21"/>
                <w:szCs w:val="21"/>
                <w:lang w:val="en-US"/>
              </w:rPr>
            </w:pPr>
          </w:p>
        </w:tc>
        <w:tc>
          <w:tcPr>
            <w:tcW w:w="1380" w:type="dxa"/>
            <w:vAlign w:val="center"/>
          </w:tcPr>
          <w:p>
            <w:pPr>
              <w:pStyle w:val="27"/>
              <w:spacing w:beforeLines="0" w:afterLines="0" w:line="240" w:lineRule="auto"/>
              <w:rPr>
                <w:rFonts w:ascii="Times New Roman" w:cs="宋体"/>
                <w:snapToGrid w:val="0"/>
                <w:color w:val="000000"/>
                <w:kern w:val="21"/>
                <w:szCs w:val="21"/>
                <w:lang w:val="en-US"/>
              </w:rPr>
            </w:pPr>
          </w:p>
        </w:tc>
        <w:tc>
          <w:tcPr>
            <w:tcW w:w="1842"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12.71</w:t>
            </w:r>
            <w:r>
              <w:rPr>
                <w:rFonts w:hint="eastAsia" w:ascii="Times New Roman" w:cs="宋体"/>
                <w:snapToGrid w:val="0"/>
                <w:color w:val="000000"/>
                <w:kern w:val="21"/>
                <w:szCs w:val="21"/>
                <w:lang w:val="en-US"/>
              </w:rPr>
              <w:t>t/a</w:t>
            </w:r>
          </w:p>
        </w:tc>
        <w:tc>
          <w:tcPr>
            <w:tcW w:w="1324"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+12.71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restart"/>
            <w:vAlign w:val="center"/>
          </w:tcPr>
          <w:p>
            <w:pPr>
              <w:pStyle w:val="27"/>
              <w:spacing w:beforeLines="0" w:afterLines="0" w:line="240" w:lineRule="auto"/>
              <w:rPr>
                <w:rFonts w:ascii="Times New Roman" w:cs="宋体"/>
                <w:snapToGrid w:val="0"/>
                <w:color w:val="000000"/>
                <w:kern w:val="21"/>
                <w:szCs w:val="21"/>
                <w:lang w:val="en-US"/>
              </w:rPr>
            </w:pPr>
            <w:r>
              <w:rPr>
                <w:rFonts w:hint="eastAsia" w:ascii="Times New Roman" w:cs="宋体"/>
                <w:snapToGrid w:val="0"/>
                <w:color w:val="000000"/>
                <w:kern w:val="21"/>
                <w:szCs w:val="21"/>
                <w:lang w:val="en-US"/>
              </w:rPr>
              <w:t>废水</w:t>
            </w:r>
          </w:p>
        </w:tc>
        <w:tc>
          <w:tcPr>
            <w:tcW w:w="1597" w:type="dxa"/>
            <w:vAlign w:val="center"/>
          </w:tcPr>
          <w:p>
            <w:pPr>
              <w:pStyle w:val="27"/>
              <w:spacing w:beforeLines="0" w:afterLines="0" w:line="240" w:lineRule="auto"/>
              <w:rPr>
                <w:rFonts w:ascii="Times New Roman" w:cs="宋体"/>
                <w:snapToGrid w:val="0"/>
                <w:color w:val="000000"/>
                <w:kern w:val="21"/>
                <w:szCs w:val="21"/>
                <w:lang w:val="en-US"/>
              </w:rPr>
            </w:pPr>
            <w:r>
              <w:rPr>
                <w:rFonts w:hint="eastAsia" w:ascii="Times New Roman" w:cs="宋体"/>
                <w:snapToGrid w:val="0"/>
                <w:color w:val="000000"/>
                <w:kern w:val="21"/>
                <w:szCs w:val="21"/>
                <w:lang w:val="en-US"/>
              </w:rPr>
              <w:t>生产废水</w:t>
            </w: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p>
        </w:tc>
        <w:tc>
          <w:tcPr>
            <w:tcW w:w="1276" w:type="dxa"/>
            <w:vAlign w:val="center"/>
          </w:tcPr>
          <w:p>
            <w:pPr>
              <w:pStyle w:val="27"/>
              <w:spacing w:beforeLines="0" w:afterLines="0" w:line="240" w:lineRule="auto"/>
              <w:rPr>
                <w:rFonts w:ascii="Times New Roman" w:cs="宋体"/>
                <w:snapToGrid w:val="0"/>
                <w:color w:val="000000"/>
                <w:kern w:val="21"/>
                <w:szCs w:val="21"/>
                <w:lang w:val="en-US"/>
              </w:rPr>
            </w:pP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0</w:t>
            </w:r>
            <w:r>
              <w:rPr>
                <w:rFonts w:hint="eastAsia" w:ascii="Times New Roman" w:cs="宋体"/>
                <w:snapToGrid w:val="0"/>
                <w:color w:val="000000"/>
                <w:kern w:val="21"/>
                <w:szCs w:val="21"/>
                <w:lang w:val="en-US"/>
              </w:rPr>
              <w:t>m</w:t>
            </w:r>
            <w:r>
              <w:rPr>
                <w:rFonts w:ascii="Times New Roman" w:cs="宋体"/>
                <w:snapToGrid w:val="0"/>
                <w:color w:val="000000"/>
                <w:kern w:val="21"/>
                <w:szCs w:val="21"/>
                <w:vertAlign w:val="superscript"/>
                <w:lang w:val="en-US"/>
              </w:rPr>
              <w:t>3</w:t>
            </w:r>
            <w:r>
              <w:rPr>
                <w:rFonts w:hint="eastAsia" w:ascii="Times New Roman" w:cs="宋体"/>
                <w:snapToGrid w:val="0"/>
                <w:color w:val="000000"/>
                <w:kern w:val="21"/>
                <w:szCs w:val="21"/>
                <w:lang w:val="en-US"/>
              </w:rPr>
              <w:t>/d</w:t>
            </w:r>
          </w:p>
        </w:tc>
        <w:tc>
          <w:tcPr>
            <w:tcW w:w="1559" w:type="dxa"/>
            <w:vAlign w:val="center"/>
          </w:tcPr>
          <w:p>
            <w:pPr>
              <w:pStyle w:val="27"/>
              <w:spacing w:beforeLines="0" w:afterLines="0" w:line="240" w:lineRule="auto"/>
              <w:rPr>
                <w:rFonts w:ascii="Times New Roman" w:cs="宋体"/>
                <w:snapToGrid w:val="0"/>
                <w:color w:val="000000"/>
                <w:kern w:val="21"/>
                <w:szCs w:val="21"/>
                <w:lang w:val="en-US"/>
              </w:rPr>
            </w:pPr>
          </w:p>
        </w:tc>
        <w:tc>
          <w:tcPr>
            <w:tcW w:w="1380" w:type="dxa"/>
            <w:vAlign w:val="center"/>
          </w:tcPr>
          <w:p>
            <w:pPr>
              <w:pStyle w:val="27"/>
              <w:spacing w:beforeLines="0" w:afterLines="0" w:line="240" w:lineRule="auto"/>
              <w:rPr>
                <w:rFonts w:ascii="Times New Roman" w:cs="宋体"/>
                <w:snapToGrid w:val="0"/>
                <w:color w:val="000000"/>
                <w:kern w:val="21"/>
                <w:szCs w:val="21"/>
                <w:lang w:val="en-US"/>
              </w:rPr>
            </w:pPr>
          </w:p>
        </w:tc>
        <w:tc>
          <w:tcPr>
            <w:tcW w:w="1842"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0</w:t>
            </w:r>
            <w:r>
              <w:rPr>
                <w:rFonts w:hint="eastAsia" w:ascii="Times New Roman" w:cs="宋体"/>
                <w:snapToGrid w:val="0"/>
                <w:color w:val="000000"/>
                <w:kern w:val="21"/>
                <w:szCs w:val="21"/>
                <w:lang w:val="en-US"/>
              </w:rPr>
              <w:t>m</w:t>
            </w:r>
            <w:r>
              <w:rPr>
                <w:rFonts w:ascii="Times New Roman" w:cs="宋体"/>
                <w:snapToGrid w:val="0"/>
                <w:color w:val="000000"/>
                <w:kern w:val="21"/>
                <w:szCs w:val="21"/>
                <w:vertAlign w:val="superscript"/>
                <w:lang w:val="en-US"/>
              </w:rPr>
              <w:t>3</w:t>
            </w:r>
            <w:r>
              <w:rPr>
                <w:rFonts w:hint="eastAsia" w:ascii="Times New Roman" w:cs="宋体"/>
                <w:snapToGrid w:val="0"/>
                <w:color w:val="000000"/>
                <w:kern w:val="21"/>
                <w:szCs w:val="21"/>
                <w:lang w:val="en-US"/>
              </w:rPr>
              <w:t>/d</w:t>
            </w:r>
          </w:p>
        </w:tc>
        <w:tc>
          <w:tcPr>
            <w:tcW w:w="1324"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continue"/>
            <w:vAlign w:val="center"/>
          </w:tcPr>
          <w:p>
            <w:pPr>
              <w:pStyle w:val="27"/>
              <w:spacing w:beforeLines="0" w:afterLines="0" w:line="240" w:lineRule="auto"/>
              <w:rPr>
                <w:rFonts w:ascii="Times New Roman" w:cs="宋体"/>
                <w:snapToGrid w:val="0"/>
                <w:color w:val="000000"/>
                <w:kern w:val="21"/>
                <w:szCs w:val="21"/>
                <w:lang w:val="en-US"/>
              </w:rPr>
            </w:pPr>
          </w:p>
        </w:tc>
        <w:tc>
          <w:tcPr>
            <w:tcW w:w="1597" w:type="dxa"/>
            <w:vAlign w:val="center"/>
          </w:tcPr>
          <w:p>
            <w:pPr>
              <w:pStyle w:val="27"/>
              <w:spacing w:beforeLines="0" w:afterLines="0" w:line="240" w:lineRule="auto"/>
              <w:rPr>
                <w:rFonts w:ascii="Times New Roman" w:cs="宋体"/>
                <w:snapToGrid w:val="0"/>
                <w:color w:val="000000"/>
                <w:kern w:val="21"/>
                <w:szCs w:val="21"/>
                <w:lang w:val="en-US"/>
              </w:rPr>
            </w:pPr>
            <w:r>
              <w:rPr>
                <w:rFonts w:hint="eastAsia" w:ascii="Times New Roman" w:cs="宋体"/>
                <w:snapToGrid w:val="0"/>
                <w:color w:val="000000"/>
                <w:kern w:val="21"/>
                <w:szCs w:val="21"/>
                <w:lang w:val="en-US"/>
              </w:rPr>
              <w:t>生活污水</w:t>
            </w: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p>
        </w:tc>
        <w:tc>
          <w:tcPr>
            <w:tcW w:w="1276" w:type="dxa"/>
            <w:vAlign w:val="center"/>
          </w:tcPr>
          <w:p>
            <w:pPr>
              <w:pStyle w:val="27"/>
              <w:spacing w:beforeLines="0" w:afterLines="0" w:line="240" w:lineRule="auto"/>
              <w:rPr>
                <w:rFonts w:ascii="Times New Roman" w:cs="宋体"/>
                <w:snapToGrid w:val="0"/>
                <w:color w:val="000000"/>
                <w:kern w:val="21"/>
                <w:szCs w:val="21"/>
                <w:lang w:val="en-US"/>
              </w:rPr>
            </w:pP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2.1</w:t>
            </w:r>
            <w:r>
              <w:rPr>
                <w:rFonts w:hint="eastAsia" w:ascii="Times New Roman" w:cs="宋体"/>
                <w:snapToGrid w:val="0"/>
                <w:color w:val="000000"/>
                <w:kern w:val="21"/>
                <w:szCs w:val="21"/>
                <w:lang w:val="en-US"/>
              </w:rPr>
              <w:t>m</w:t>
            </w:r>
            <w:r>
              <w:rPr>
                <w:rFonts w:ascii="Times New Roman" w:cs="宋体"/>
                <w:snapToGrid w:val="0"/>
                <w:color w:val="000000"/>
                <w:kern w:val="21"/>
                <w:szCs w:val="21"/>
                <w:vertAlign w:val="superscript"/>
                <w:lang w:val="en-US"/>
              </w:rPr>
              <w:t>3</w:t>
            </w:r>
            <w:r>
              <w:rPr>
                <w:rFonts w:hint="eastAsia" w:ascii="Times New Roman" w:cs="宋体"/>
                <w:snapToGrid w:val="0"/>
                <w:color w:val="000000"/>
                <w:kern w:val="21"/>
                <w:szCs w:val="21"/>
                <w:lang w:val="en-US"/>
              </w:rPr>
              <w:t>/d</w:t>
            </w:r>
          </w:p>
        </w:tc>
        <w:tc>
          <w:tcPr>
            <w:tcW w:w="1559" w:type="dxa"/>
            <w:vAlign w:val="center"/>
          </w:tcPr>
          <w:p>
            <w:pPr>
              <w:pStyle w:val="27"/>
              <w:spacing w:beforeLines="0" w:afterLines="0" w:line="240" w:lineRule="auto"/>
              <w:rPr>
                <w:rFonts w:ascii="Times New Roman" w:cs="宋体"/>
                <w:snapToGrid w:val="0"/>
                <w:color w:val="000000"/>
                <w:kern w:val="21"/>
                <w:szCs w:val="21"/>
                <w:lang w:val="en-US"/>
              </w:rPr>
            </w:pPr>
          </w:p>
        </w:tc>
        <w:tc>
          <w:tcPr>
            <w:tcW w:w="1380" w:type="dxa"/>
            <w:vAlign w:val="center"/>
          </w:tcPr>
          <w:p>
            <w:pPr>
              <w:pStyle w:val="27"/>
              <w:spacing w:beforeLines="0" w:afterLines="0" w:line="240" w:lineRule="auto"/>
              <w:rPr>
                <w:rFonts w:ascii="Times New Roman" w:cs="宋体"/>
                <w:snapToGrid w:val="0"/>
                <w:color w:val="000000"/>
                <w:kern w:val="21"/>
                <w:szCs w:val="21"/>
                <w:lang w:val="en-US"/>
              </w:rPr>
            </w:pPr>
          </w:p>
        </w:tc>
        <w:tc>
          <w:tcPr>
            <w:tcW w:w="1842"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2.1</w:t>
            </w:r>
            <w:r>
              <w:rPr>
                <w:rFonts w:hint="eastAsia" w:ascii="Times New Roman" w:cs="宋体"/>
                <w:snapToGrid w:val="0"/>
                <w:color w:val="000000"/>
                <w:kern w:val="21"/>
                <w:szCs w:val="21"/>
                <w:lang w:val="en-US"/>
              </w:rPr>
              <w:t>m</w:t>
            </w:r>
            <w:r>
              <w:rPr>
                <w:rFonts w:ascii="Times New Roman" w:cs="宋体"/>
                <w:snapToGrid w:val="0"/>
                <w:color w:val="000000"/>
                <w:kern w:val="21"/>
                <w:szCs w:val="21"/>
                <w:vertAlign w:val="superscript"/>
                <w:lang w:val="en-US"/>
              </w:rPr>
              <w:t>3</w:t>
            </w:r>
            <w:r>
              <w:rPr>
                <w:rFonts w:hint="eastAsia" w:ascii="Times New Roman" w:cs="宋体"/>
                <w:snapToGrid w:val="0"/>
                <w:color w:val="000000"/>
                <w:kern w:val="21"/>
                <w:szCs w:val="21"/>
                <w:lang w:val="en-US"/>
              </w:rPr>
              <w:t>/d</w:t>
            </w:r>
          </w:p>
        </w:tc>
        <w:tc>
          <w:tcPr>
            <w:tcW w:w="1324"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restart"/>
            <w:vAlign w:val="center"/>
          </w:tcPr>
          <w:p>
            <w:pPr>
              <w:pStyle w:val="27"/>
              <w:spacing w:beforeLines="0" w:afterLines="0" w:line="240" w:lineRule="auto"/>
              <w:rPr>
                <w:rFonts w:ascii="Times New Roman" w:cs="宋体"/>
                <w:snapToGrid w:val="0"/>
                <w:color w:val="000000"/>
                <w:kern w:val="21"/>
                <w:szCs w:val="21"/>
                <w:lang w:val="en-US"/>
              </w:rPr>
            </w:pPr>
            <w:r>
              <w:rPr>
                <w:rFonts w:hint="eastAsia" w:ascii="Times New Roman" w:cs="宋体"/>
                <w:snapToGrid w:val="0"/>
                <w:color w:val="000000"/>
                <w:kern w:val="21"/>
                <w:szCs w:val="21"/>
                <w:lang w:val="en-US"/>
              </w:rPr>
              <w:t>一般工业</w:t>
            </w:r>
          </w:p>
          <w:p>
            <w:pPr>
              <w:pStyle w:val="27"/>
              <w:spacing w:beforeLines="0" w:afterLines="0" w:line="240" w:lineRule="auto"/>
              <w:rPr>
                <w:rFonts w:ascii="Times New Roman" w:cs="宋体"/>
                <w:snapToGrid w:val="0"/>
                <w:color w:val="000000"/>
                <w:kern w:val="21"/>
                <w:szCs w:val="21"/>
                <w:lang w:val="en-US"/>
              </w:rPr>
            </w:pPr>
            <w:r>
              <w:rPr>
                <w:rFonts w:hint="eastAsia" w:ascii="Times New Roman" w:cs="宋体"/>
                <w:snapToGrid w:val="0"/>
                <w:color w:val="000000"/>
                <w:kern w:val="21"/>
                <w:szCs w:val="21"/>
                <w:lang w:val="en-US"/>
              </w:rPr>
              <w:t>固体废物</w:t>
            </w:r>
          </w:p>
        </w:tc>
        <w:tc>
          <w:tcPr>
            <w:tcW w:w="1597" w:type="dxa"/>
            <w:vAlign w:val="center"/>
          </w:tcPr>
          <w:p>
            <w:pPr>
              <w:pStyle w:val="27"/>
              <w:spacing w:beforeLines="0" w:afterLines="0" w:line="240" w:lineRule="auto"/>
              <w:rPr>
                <w:rFonts w:ascii="Times New Roman" w:cs="宋体"/>
                <w:snapToGrid w:val="0"/>
                <w:color w:val="000000"/>
                <w:kern w:val="21"/>
                <w:szCs w:val="21"/>
                <w:lang w:val="en-US"/>
              </w:rPr>
            </w:pPr>
            <w:r>
              <w:rPr>
                <w:rFonts w:hint="eastAsia"/>
                <w:color w:val="000000"/>
              </w:rPr>
              <w:t>生活垃圾</w:t>
            </w: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p>
        </w:tc>
        <w:tc>
          <w:tcPr>
            <w:tcW w:w="1276" w:type="dxa"/>
            <w:vAlign w:val="center"/>
          </w:tcPr>
          <w:p>
            <w:pPr>
              <w:pStyle w:val="27"/>
              <w:spacing w:beforeLines="0" w:afterLines="0" w:line="240" w:lineRule="auto"/>
              <w:rPr>
                <w:rFonts w:ascii="Times New Roman" w:cs="宋体"/>
                <w:snapToGrid w:val="0"/>
                <w:color w:val="000000"/>
                <w:kern w:val="21"/>
                <w:szCs w:val="21"/>
                <w:lang w:val="en-US"/>
              </w:rPr>
            </w:pP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0.33t/a</w:t>
            </w:r>
          </w:p>
        </w:tc>
        <w:tc>
          <w:tcPr>
            <w:tcW w:w="1559" w:type="dxa"/>
            <w:vAlign w:val="center"/>
          </w:tcPr>
          <w:p>
            <w:pPr>
              <w:pStyle w:val="27"/>
              <w:spacing w:beforeLines="0" w:afterLines="0" w:line="240" w:lineRule="auto"/>
              <w:rPr>
                <w:rFonts w:ascii="Times New Roman" w:cs="宋体"/>
                <w:snapToGrid w:val="0"/>
                <w:color w:val="000000"/>
                <w:kern w:val="21"/>
                <w:szCs w:val="21"/>
                <w:lang w:val="en-US"/>
              </w:rPr>
            </w:pPr>
          </w:p>
        </w:tc>
        <w:tc>
          <w:tcPr>
            <w:tcW w:w="1380" w:type="dxa"/>
            <w:vAlign w:val="center"/>
          </w:tcPr>
          <w:p>
            <w:pPr>
              <w:pStyle w:val="27"/>
              <w:spacing w:beforeLines="0" w:afterLines="0" w:line="240" w:lineRule="auto"/>
              <w:rPr>
                <w:rFonts w:ascii="Times New Roman" w:cs="宋体"/>
                <w:snapToGrid w:val="0"/>
                <w:color w:val="000000"/>
                <w:kern w:val="21"/>
                <w:szCs w:val="21"/>
                <w:lang w:val="en-US"/>
              </w:rPr>
            </w:pPr>
          </w:p>
        </w:tc>
        <w:tc>
          <w:tcPr>
            <w:tcW w:w="1842"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0.33t/a</w:t>
            </w:r>
          </w:p>
        </w:tc>
        <w:tc>
          <w:tcPr>
            <w:tcW w:w="1324"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+0.33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continue"/>
            <w:vAlign w:val="center"/>
          </w:tcPr>
          <w:p>
            <w:pPr>
              <w:pStyle w:val="27"/>
              <w:spacing w:beforeLines="0" w:afterLines="0" w:line="240" w:lineRule="auto"/>
              <w:rPr>
                <w:rFonts w:ascii="Times New Roman" w:cs="宋体"/>
                <w:snapToGrid w:val="0"/>
                <w:color w:val="000000"/>
                <w:kern w:val="21"/>
                <w:szCs w:val="21"/>
                <w:lang w:val="en-US"/>
              </w:rPr>
            </w:pPr>
          </w:p>
        </w:tc>
        <w:tc>
          <w:tcPr>
            <w:tcW w:w="1597" w:type="dxa"/>
            <w:vAlign w:val="center"/>
          </w:tcPr>
          <w:p>
            <w:pPr>
              <w:pStyle w:val="27"/>
              <w:spacing w:beforeLines="0" w:afterLines="0" w:line="240" w:lineRule="auto"/>
              <w:rPr>
                <w:rFonts w:ascii="Times New Roman" w:cs="宋体"/>
                <w:snapToGrid w:val="0"/>
                <w:color w:val="000000"/>
                <w:kern w:val="21"/>
                <w:szCs w:val="21"/>
                <w:lang w:val="en-US"/>
              </w:rPr>
            </w:pPr>
            <w:r>
              <w:rPr>
                <w:rFonts w:hint="eastAsia" w:ascii="Times New Roman" w:cs="宋体"/>
                <w:snapToGrid w:val="0"/>
                <w:color w:val="000000"/>
                <w:kern w:val="21"/>
                <w:szCs w:val="21"/>
                <w:lang w:val="en-US"/>
              </w:rPr>
              <w:t>浓密罐污泥</w:t>
            </w: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p>
        </w:tc>
        <w:tc>
          <w:tcPr>
            <w:tcW w:w="1276" w:type="dxa"/>
            <w:vAlign w:val="center"/>
          </w:tcPr>
          <w:p>
            <w:pPr>
              <w:pStyle w:val="27"/>
              <w:spacing w:beforeLines="0" w:afterLines="0" w:line="240" w:lineRule="auto"/>
              <w:rPr>
                <w:rFonts w:ascii="Times New Roman" w:cs="宋体"/>
                <w:snapToGrid w:val="0"/>
                <w:color w:val="000000"/>
                <w:kern w:val="21"/>
                <w:szCs w:val="21"/>
                <w:lang w:val="en-US"/>
              </w:rPr>
            </w:pP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6.55</w:t>
            </w:r>
            <w:r>
              <w:rPr>
                <w:rFonts w:hint="eastAsia" w:ascii="Times New Roman" w:cs="宋体"/>
                <w:snapToGrid w:val="0"/>
                <w:color w:val="000000"/>
                <w:kern w:val="21"/>
                <w:szCs w:val="21"/>
                <w:lang w:val="en-US"/>
              </w:rPr>
              <w:t>万t/a</w:t>
            </w:r>
          </w:p>
        </w:tc>
        <w:tc>
          <w:tcPr>
            <w:tcW w:w="1559" w:type="dxa"/>
            <w:vAlign w:val="center"/>
          </w:tcPr>
          <w:p>
            <w:pPr>
              <w:pStyle w:val="27"/>
              <w:spacing w:beforeLines="0" w:afterLines="0" w:line="240" w:lineRule="auto"/>
              <w:rPr>
                <w:rFonts w:ascii="Times New Roman" w:cs="宋体"/>
                <w:snapToGrid w:val="0"/>
                <w:color w:val="000000"/>
                <w:kern w:val="21"/>
                <w:szCs w:val="21"/>
                <w:lang w:val="en-US"/>
              </w:rPr>
            </w:pPr>
          </w:p>
        </w:tc>
        <w:tc>
          <w:tcPr>
            <w:tcW w:w="1380" w:type="dxa"/>
            <w:vAlign w:val="center"/>
          </w:tcPr>
          <w:p>
            <w:pPr>
              <w:pStyle w:val="27"/>
              <w:spacing w:beforeLines="0" w:afterLines="0" w:line="240" w:lineRule="auto"/>
              <w:rPr>
                <w:rFonts w:ascii="Times New Roman" w:cs="宋体"/>
                <w:snapToGrid w:val="0"/>
                <w:color w:val="000000"/>
                <w:kern w:val="21"/>
                <w:szCs w:val="21"/>
                <w:lang w:val="en-US"/>
              </w:rPr>
            </w:pPr>
          </w:p>
        </w:tc>
        <w:tc>
          <w:tcPr>
            <w:tcW w:w="1842"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6.55</w:t>
            </w:r>
            <w:r>
              <w:rPr>
                <w:rFonts w:hint="eastAsia" w:ascii="Times New Roman" w:cs="宋体"/>
                <w:snapToGrid w:val="0"/>
                <w:color w:val="000000"/>
                <w:kern w:val="21"/>
                <w:szCs w:val="21"/>
                <w:lang w:val="en-US"/>
              </w:rPr>
              <w:t>万t/a</w:t>
            </w:r>
          </w:p>
        </w:tc>
        <w:tc>
          <w:tcPr>
            <w:tcW w:w="1324"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+6.55</w:t>
            </w:r>
            <w:r>
              <w:rPr>
                <w:rFonts w:hint="eastAsia" w:ascii="Times New Roman" w:cs="宋体"/>
                <w:snapToGrid w:val="0"/>
                <w:color w:val="000000"/>
                <w:kern w:val="21"/>
                <w:szCs w:val="21"/>
                <w:lang w:val="en-US"/>
              </w:rPr>
              <w:t>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Align w:val="center"/>
          </w:tcPr>
          <w:p>
            <w:pPr>
              <w:pStyle w:val="27"/>
              <w:spacing w:beforeLines="0" w:afterLines="0" w:line="240" w:lineRule="auto"/>
              <w:rPr>
                <w:rFonts w:ascii="Times New Roman" w:cs="宋体"/>
                <w:snapToGrid w:val="0"/>
                <w:color w:val="000000"/>
                <w:kern w:val="21"/>
                <w:szCs w:val="21"/>
                <w:lang w:val="en-US"/>
              </w:rPr>
            </w:pPr>
            <w:r>
              <w:rPr>
                <w:rFonts w:hint="eastAsia" w:ascii="Times New Roman" w:cs="宋体"/>
                <w:snapToGrid w:val="0"/>
                <w:color w:val="000000"/>
                <w:kern w:val="21"/>
                <w:szCs w:val="21"/>
                <w:lang w:val="en-US"/>
              </w:rPr>
              <w:t>危险废物</w:t>
            </w:r>
          </w:p>
        </w:tc>
        <w:tc>
          <w:tcPr>
            <w:tcW w:w="1597" w:type="dxa"/>
            <w:vAlign w:val="center"/>
          </w:tcPr>
          <w:p>
            <w:pPr>
              <w:pStyle w:val="27"/>
              <w:spacing w:beforeLines="0" w:afterLines="0" w:line="240" w:lineRule="auto"/>
              <w:rPr>
                <w:rFonts w:ascii="Times New Roman" w:cs="宋体"/>
                <w:snapToGrid w:val="0"/>
                <w:color w:val="000000"/>
                <w:kern w:val="21"/>
                <w:szCs w:val="21"/>
                <w:lang w:val="en-US"/>
              </w:rPr>
            </w:pPr>
            <w:r>
              <w:rPr>
                <w:rFonts w:hint="eastAsia" w:ascii="Times New Roman" w:cs="宋体"/>
                <w:snapToGrid w:val="0"/>
                <w:color w:val="000000"/>
                <w:kern w:val="21"/>
                <w:szCs w:val="21"/>
                <w:lang w:val="en-US"/>
              </w:rPr>
              <w:t>设备检修废油</w:t>
            </w: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p>
        </w:tc>
        <w:tc>
          <w:tcPr>
            <w:tcW w:w="1276" w:type="dxa"/>
            <w:vAlign w:val="center"/>
          </w:tcPr>
          <w:p>
            <w:pPr>
              <w:pStyle w:val="27"/>
              <w:spacing w:beforeLines="0" w:afterLines="0" w:line="240" w:lineRule="auto"/>
              <w:rPr>
                <w:rFonts w:ascii="Times New Roman" w:cs="宋体"/>
                <w:snapToGrid w:val="0"/>
                <w:color w:val="000000"/>
                <w:kern w:val="21"/>
                <w:szCs w:val="21"/>
                <w:lang w:val="en-US"/>
              </w:rPr>
            </w:pPr>
          </w:p>
        </w:tc>
        <w:tc>
          <w:tcPr>
            <w:tcW w:w="1701"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0.1t/a</w:t>
            </w:r>
          </w:p>
        </w:tc>
        <w:tc>
          <w:tcPr>
            <w:tcW w:w="1559" w:type="dxa"/>
            <w:vAlign w:val="center"/>
          </w:tcPr>
          <w:p>
            <w:pPr>
              <w:pStyle w:val="27"/>
              <w:spacing w:beforeLines="0" w:afterLines="0" w:line="240" w:lineRule="auto"/>
              <w:rPr>
                <w:rFonts w:ascii="Times New Roman" w:cs="宋体"/>
                <w:snapToGrid w:val="0"/>
                <w:color w:val="000000"/>
                <w:kern w:val="21"/>
                <w:szCs w:val="21"/>
                <w:lang w:val="en-US"/>
              </w:rPr>
            </w:pPr>
          </w:p>
        </w:tc>
        <w:tc>
          <w:tcPr>
            <w:tcW w:w="1380" w:type="dxa"/>
            <w:vAlign w:val="center"/>
          </w:tcPr>
          <w:p>
            <w:pPr>
              <w:pStyle w:val="27"/>
              <w:spacing w:beforeLines="0" w:afterLines="0" w:line="240" w:lineRule="auto"/>
              <w:rPr>
                <w:rFonts w:ascii="Times New Roman" w:cs="宋体"/>
                <w:snapToGrid w:val="0"/>
                <w:color w:val="000000"/>
                <w:kern w:val="21"/>
                <w:szCs w:val="21"/>
                <w:lang w:val="en-US"/>
              </w:rPr>
            </w:pPr>
          </w:p>
        </w:tc>
        <w:tc>
          <w:tcPr>
            <w:tcW w:w="1842"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0.1t/a</w:t>
            </w:r>
          </w:p>
        </w:tc>
        <w:tc>
          <w:tcPr>
            <w:tcW w:w="1324" w:type="dxa"/>
            <w:vAlign w:val="center"/>
          </w:tcPr>
          <w:p>
            <w:pPr>
              <w:pStyle w:val="27"/>
              <w:spacing w:beforeLines="0" w:afterLines="0" w:line="240" w:lineRule="auto"/>
              <w:rPr>
                <w:rFonts w:ascii="Times New Roman" w:cs="宋体"/>
                <w:snapToGrid w:val="0"/>
                <w:color w:val="000000"/>
                <w:kern w:val="21"/>
                <w:szCs w:val="21"/>
                <w:lang w:val="en-US"/>
              </w:rPr>
            </w:pPr>
            <w:r>
              <w:rPr>
                <w:rFonts w:ascii="Times New Roman" w:cs="宋体"/>
                <w:snapToGrid w:val="0"/>
                <w:color w:val="000000"/>
                <w:kern w:val="21"/>
                <w:szCs w:val="21"/>
                <w:lang w:val="en-US"/>
              </w:rPr>
              <w:t>+0.1</w:t>
            </w:r>
          </w:p>
        </w:tc>
      </w:tr>
    </w:tbl>
    <w:p>
      <w:pPr>
        <w:pStyle w:val="27"/>
        <w:spacing w:before="192" w:beforeLines="80" w:after="24"/>
        <w:jc w:val="left"/>
        <w:rPr>
          <w:rFonts w:cs="宋体"/>
          <w:szCs w:val="21"/>
          <w:lang w:val="en-US"/>
        </w:rPr>
      </w:pPr>
      <w:r>
        <w:rPr>
          <w:rFonts w:ascii="Times New Roman"/>
          <w:snapToGrid w:val="0"/>
          <w:color w:val="000000"/>
          <w:kern w:val="21"/>
          <w:szCs w:val="21"/>
        </w:rPr>
        <w:t>注</w:t>
      </w:r>
      <w:r>
        <w:rPr>
          <w:rFonts w:ascii="Times New Roman"/>
          <w:snapToGrid w:val="0"/>
          <w:color w:val="000000"/>
          <w:kern w:val="21"/>
          <w:szCs w:val="21"/>
          <w:lang w:val="en-US"/>
        </w:rPr>
        <w:t>：</w:t>
      </w:r>
      <w:r>
        <w:rPr>
          <w:rFonts w:ascii="Times New Roman"/>
          <w:snapToGrid w:val="0"/>
          <w:color w:val="000000"/>
          <w:spacing w:val="-16"/>
          <w:kern w:val="21"/>
          <w:szCs w:val="21"/>
        </w:rPr>
        <w:fldChar w:fldCharType="begin"/>
      </w:r>
      <w:r>
        <w:rPr>
          <w:rFonts w:ascii="Times New Roman"/>
          <w:snapToGrid w:val="0"/>
          <w:color w:val="000000"/>
          <w:spacing w:val="-16"/>
          <w:kern w:val="21"/>
          <w:szCs w:val="21"/>
          <w:lang w:val="en-US"/>
        </w:rPr>
        <w:instrText xml:space="preserve"> = 6 \* GB3 \* MERGEFORMAT </w:instrText>
      </w:r>
      <w:r>
        <w:rPr>
          <w:rFonts w:ascii="Times New Roman"/>
          <w:snapToGrid w:val="0"/>
          <w:color w:val="000000"/>
          <w:spacing w:val="-16"/>
          <w:kern w:val="21"/>
          <w:szCs w:val="21"/>
        </w:rPr>
        <w:fldChar w:fldCharType="separate"/>
      </w:r>
      <w:r>
        <w:rPr>
          <w:rFonts w:hint="eastAsia" w:ascii="Times New Roman"/>
          <w:szCs w:val="21"/>
          <w:lang w:val="en-US"/>
        </w:rPr>
        <w:t>⑥</w:t>
      </w:r>
      <w:r>
        <w:rPr>
          <w:rFonts w:ascii="Times New Roman"/>
          <w:snapToGrid w:val="0"/>
          <w:color w:val="000000"/>
          <w:spacing w:val="-16"/>
          <w:kern w:val="21"/>
          <w:szCs w:val="21"/>
        </w:rPr>
        <w:fldChar w:fldCharType="end"/>
      </w:r>
      <w:r>
        <w:rPr>
          <w:rFonts w:ascii="Times New Roman"/>
          <w:snapToGrid w:val="0"/>
          <w:color w:val="000000"/>
          <w:spacing w:val="-16"/>
          <w:kern w:val="21"/>
          <w:szCs w:val="21"/>
          <w:lang w:val="en-US"/>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lang w:val="en-US"/>
        </w:rPr>
        <w:instrText xml:space="preserve"> = 1 \* GB3 \* MERGEFORMAT </w:instrText>
      </w:r>
      <w:r>
        <w:rPr>
          <w:rFonts w:ascii="Times New Roman"/>
          <w:snapToGrid w:val="0"/>
          <w:color w:val="000000"/>
          <w:spacing w:val="-6"/>
          <w:kern w:val="21"/>
          <w:szCs w:val="21"/>
        </w:rPr>
        <w:fldChar w:fldCharType="separate"/>
      </w:r>
      <w:r>
        <w:rPr>
          <w:rFonts w:hint="eastAsia" w:ascii="Times New Roman"/>
          <w:szCs w:val="21"/>
          <w:lang w:val="en-US"/>
        </w:rPr>
        <w:t>①</w:t>
      </w:r>
      <w:r>
        <w:rPr>
          <w:rFonts w:ascii="Times New Roman"/>
          <w:snapToGrid w:val="0"/>
          <w:color w:val="000000"/>
          <w:spacing w:val="-6"/>
          <w:kern w:val="21"/>
          <w:szCs w:val="21"/>
        </w:rPr>
        <w:fldChar w:fldCharType="end"/>
      </w:r>
      <w:r>
        <w:rPr>
          <w:rFonts w:ascii="Times New Roman"/>
          <w:snapToGrid w:val="0"/>
          <w:color w:val="000000"/>
          <w:spacing w:val="-6"/>
          <w:kern w:val="21"/>
          <w:szCs w:val="21"/>
          <w:lang w:val="en-US"/>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lang w:val="en-US"/>
        </w:rPr>
        <w:instrText xml:space="preserve"> = 3 \* GB3 \* MERGEFORMAT </w:instrText>
      </w:r>
      <w:r>
        <w:rPr>
          <w:rFonts w:ascii="Times New Roman"/>
          <w:snapToGrid w:val="0"/>
          <w:color w:val="000000"/>
          <w:spacing w:val="-6"/>
          <w:kern w:val="21"/>
          <w:szCs w:val="21"/>
        </w:rPr>
        <w:fldChar w:fldCharType="separate"/>
      </w:r>
      <w:r>
        <w:rPr>
          <w:rFonts w:hint="eastAsia" w:ascii="Times New Roman"/>
          <w:szCs w:val="21"/>
          <w:lang w:val="en-US"/>
        </w:rPr>
        <w:t>③</w:t>
      </w:r>
      <w:r>
        <w:rPr>
          <w:rFonts w:ascii="Times New Roman"/>
          <w:snapToGrid w:val="0"/>
          <w:color w:val="000000"/>
          <w:spacing w:val="-6"/>
          <w:kern w:val="21"/>
          <w:szCs w:val="21"/>
        </w:rPr>
        <w:fldChar w:fldCharType="end"/>
      </w:r>
      <w:r>
        <w:rPr>
          <w:rFonts w:ascii="Times New Roman"/>
          <w:snapToGrid w:val="0"/>
          <w:color w:val="000000"/>
          <w:spacing w:val="-6"/>
          <w:kern w:val="21"/>
          <w:szCs w:val="21"/>
          <w:lang w:val="en-US"/>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lang w:val="en-US"/>
        </w:rPr>
        <w:instrText xml:space="preserve"> = 4 \* GB3 \* MERGEFORMAT </w:instrText>
      </w:r>
      <w:r>
        <w:rPr>
          <w:rFonts w:ascii="Times New Roman"/>
          <w:snapToGrid w:val="0"/>
          <w:color w:val="000000"/>
          <w:spacing w:val="-6"/>
          <w:kern w:val="21"/>
          <w:szCs w:val="21"/>
        </w:rPr>
        <w:fldChar w:fldCharType="separate"/>
      </w:r>
      <w:r>
        <w:rPr>
          <w:rFonts w:hint="eastAsia" w:ascii="Times New Roman"/>
          <w:szCs w:val="21"/>
          <w:lang w:val="en-US"/>
        </w:rPr>
        <w:t>④</w:t>
      </w:r>
      <w:r>
        <w:rPr>
          <w:rFonts w:ascii="Times New Roman"/>
          <w:snapToGrid w:val="0"/>
          <w:color w:val="000000"/>
          <w:spacing w:val="-6"/>
          <w:kern w:val="21"/>
          <w:szCs w:val="21"/>
        </w:rPr>
        <w:fldChar w:fldCharType="end"/>
      </w:r>
      <w:r>
        <w:rPr>
          <w:rFonts w:ascii="Times New Roman"/>
          <w:snapToGrid w:val="0"/>
          <w:color w:val="000000"/>
          <w:spacing w:val="-6"/>
          <w:kern w:val="21"/>
          <w:szCs w:val="21"/>
          <w:lang w:val="en-US"/>
        </w:rPr>
        <w:t>-</w:t>
      </w:r>
      <w:r>
        <w:rPr>
          <w:rFonts w:ascii="Times New Roman"/>
          <w:snapToGrid w:val="0"/>
          <w:color w:val="000000"/>
          <w:spacing w:val="-16"/>
          <w:kern w:val="21"/>
          <w:szCs w:val="21"/>
        </w:rPr>
        <w:fldChar w:fldCharType="begin"/>
      </w:r>
      <w:r>
        <w:rPr>
          <w:rFonts w:ascii="Times New Roman"/>
          <w:snapToGrid w:val="0"/>
          <w:color w:val="000000"/>
          <w:spacing w:val="-16"/>
          <w:kern w:val="21"/>
          <w:szCs w:val="21"/>
          <w:lang w:val="en-US"/>
        </w:rPr>
        <w:instrText xml:space="preserve"> = 5 \* GB3 \* MERGEFORMAT </w:instrText>
      </w:r>
      <w:r>
        <w:rPr>
          <w:rFonts w:ascii="Times New Roman"/>
          <w:snapToGrid w:val="0"/>
          <w:color w:val="000000"/>
          <w:spacing w:val="-16"/>
          <w:kern w:val="21"/>
          <w:szCs w:val="21"/>
        </w:rPr>
        <w:fldChar w:fldCharType="separate"/>
      </w:r>
      <w:r>
        <w:rPr>
          <w:rFonts w:hint="eastAsia" w:ascii="Times New Roman"/>
          <w:szCs w:val="21"/>
          <w:lang w:val="en-US"/>
        </w:rPr>
        <w:t>⑤</w:t>
      </w:r>
      <w:r>
        <w:rPr>
          <w:rFonts w:ascii="Times New Roman"/>
          <w:snapToGrid w:val="0"/>
          <w:color w:val="000000"/>
          <w:spacing w:val="-16"/>
          <w:kern w:val="21"/>
          <w:szCs w:val="21"/>
        </w:rPr>
        <w:fldChar w:fldCharType="end"/>
      </w:r>
      <w:r>
        <w:rPr>
          <w:rFonts w:ascii="Times New Roman"/>
          <w:snapToGrid w:val="0"/>
          <w:color w:val="000000"/>
          <w:spacing w:val="-16"/>
          <w:kern w:val="21"/>
          <w:szCs w:val="21"/>
          <w:lang w:val="en-US"/>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lang w:val="en-US"/>
        </w:rPr>
        <w:instrText xml:space="preserve"> = 7 \* GB3 \* MERGEFORMAT </w:instrText>
      </w:r>
      <w:r>
        <w:rPr>
          <w:rFonts w:ascii="Times New Roman"/>
          <w:snapToGrid w:val="0"/>
          <w:color w:val="000000"/>
          <w:spacing w:val="-6"/>
          <w:kern w:val="21"/>
          <w:szCs w:val="21"/>
        </w:rPr>
        <w:fldChar w:fldCharType="separate"/>
      </w:r>
      <w:r>
        <w:rPr>
          <w:rFonts w:hint="eastAsia" w:ascii="Times New Roman"/>
          <w:szCs w:val="21"/>
          <w:lang w:val="en-US"/>
        </w:rPr>
        <w:t>⑦</w:t>
      </w:r>
      <w:r>
        <w:rPr>
          <w:rFonts w:ascii="Times New Roman"/>
          <w:snapToGrid w:val="0"/>
          <w:color w:val="000000"/>
          <w:spacing w:val="-6"/>
          <w:kern w:val="21"/>
          <w:szCs w:val="21"/>
        </w:rPr>
        <w:fldChar w:fldCharType="end"/>
      </w:r>
      <w:r>
        <w:rPr>
          <w:rFonts w:ascii="Times New Roman"/>
          <w:snapToGrid w:val="0"/>
          <w:color w:val="000000"/>
          <w:spacing w:val="-6"/>
          <w:kern w:val="21"/>
          <w:szCs w:val="21"/>
          <w:lang w:val="en-US"/>
        </w:rPr>
        <w:t>=</w:t>
      </w:r>
      <w:r>
        <w:rPr>
          <w:rFonts w:ascii="Times New Roman"/>
          <w:snapToGrid w:val="0"/>
          <w:color w:val="000000"/>
          <w:spacing w:val="-16"/>
          <w:kern w:val="21"/>
          <w:szCs w:val="21"/>
        </w:rPr>
        <w:fldChar w:fldCharType="begin"/>
      </w:r>
      <w:r>
        <w:rPr>
          <w:rFonts w:ascii="Times New Roman"/>
          <w:snapToGrid w:val="0"/>
          <w:color w:val="000000"/>
          <w:spacing w:val="-16"/>
          <w:kern w:val="21"/>
          <w:szCs w:val="21"/>
          <w:lang w:val="en-US"/>
        </w:rPr>
        <w:instrText xml:space="preserve"> = 6 \* GB3 \* MERGEFORMAT </w:instrText>
      </w:r>
      <w:r>
        <w:rPr>
          <w:rFonts w:ascii="Times New Roman"/>
          <w:snapToGrid w:val="0"/>
          <w:color w:val="000000"/>
          <w:spacing w:val="-16"/>
          <w:kern w:val="21"/>
          <w:szCs w:val="21"/>
        </w:rPr>
        <w:fldChar w:fldCharType="separate"/>
      </w:r>
      <w:r>
        <w:rPr>
          <w:rFonts w:hint="eastAsia" w:ascii="Times New Roman"/>
          <w:szCs w:val="21"/>
          <w:lang w:val="en-US"/>
        </w:rPr>
        <w:t>⑥</w:t>
      </w:r>
      <w:r>
        <w:rPr>
          <w:rFonts w:ascii="Times New Roman"/>
          <w:snapToGrid w:val="0"/>
          <w:color w:val="000000"/>
          <w:spacing w:val="-16"/>
          <w:kern w:val="21"/>
          <w:szCs w:val="21"/>
        </w:rPr>
        <w:fldChar w:fldCharType="end"/>
      </w:r>
      <w:r>
        <w:rPr>
          <w:rFonts w:ascii="Times New Roman"/>
          <w:snapToGrid w:val="0"/>
          <w:color w:val="000000"/>
          <w:spacing w:val="-16"/>
          <w:kern w:val="21"/>
          <w:szCs w:val="21"/>
          <w:lang w:val="en-US"/>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lang w:val="en-US"/>
        </w:rPr>
        <w:instrText xml:space="preserve"> = 1 \* GB3 \* MERGEFORMAT </w:instrText>
      </w:r>
      <w:r>
        <w:rPr>
          <w:rFonts w:ascii="Times New Roman"/>
          <w:snapToGrid w:val="0"/>
          <w:color w:val="000000"/>
          <w:spacing w:val="-6"/>
          <w:kern w:val="21"/>
          <w:szCs w:val="21"/>
        </w:rPr>
        <w:fldChar w:fldCharType="separate"/>
      </w:r>
      <w:r>
        <w:rPr>
          <w:rFonts w:hint="eastAsia" w:ascii="Times New Roman"/>
          <w:szCs w:val="21"/>
          <w:lang w:val="en-US"/>
        </w:rPr>
        <w:t>①</w:t>
      </w:r>
      <w:r>
        <w:rPr>
          <w:rFonts w:ascii="Times New Roman"/>
          <w:snapToGrid w:val="0"/>
          <w:color w:val="000000"/>
          <w:spacing w:val="-6"/>
          <w:kern w:val="21"/>
          <w:szCs w:val="21"/>
        </w:rPr>
        <w:fldChar w:fldCharType="end"/>
      </w:r>
    </w:p>
    <w:sectPr>
      <w:footerReference r:id="rId6" w:type="default"/>
      <w:pgSz w:w="16838" w:h="11906" w:orient="landscape"/>
      <w:pgMar w:top="1531" w:right="1701" w:bottom="1531" w:left="170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Wingdings 2">
    <w:altName w:val="Wingdings"/>
    <w:panose1 w:val="05020102010507070707"/>
    <w:charset w:val="02"/>
    <w:family w:val="roman"/>
    <w:pitch w:val="default"/>
    <w:sig w:usb0="00000000" w:usb1="00000000" w:usb2="00000000" w:usb3="00000000" w:csb0="80000000" w:csb1="00000000"/>
  </w:font>
  <w:font w:name="等线">
    <w:altName w:val="微软雅黑"/>
    <w:panose1 w:val="02010600030101010101"/>
    <w:charset w:val="86"/>
    <w:family w:val="auto"/>
    <w:pitch w:val="default"/>
    <w:sig w:usb0="00000000" w:usb1="00000000" w:usb2="00000016" w:usb3="00000000" w:csb0="0004000F" w:csb1="00000000"/>
  </w:font>
  <w:font w:name="Helvetica">
    <w:altName w:val="Arial"/>
    <w:panose1 w:val="020B0604020202020204"/>
    <w:charset w:val="00"/>
    <w:family w:val="swiss"/>
    <w:pitch w:val="default"/>
    <w:sig w:usb0="00000000" w:usb1="00000000" w:usb2="00000000" w:usb3="00000000" w:csb0="00000000" w:csb1="00000000"/>
  </w:font>
  <w:font w:name="Yu Mincho">
    <w:altName w:val="MS PMincho"/>
    <w:panose1 w:val="02020400000000000000"/>
    <w:charset w:val="80"/>
    <w:family w:val="roman"/>
    <w:pitch w:val="default"/>
    <w:sig w:usb0="00000000" w:usb1="00000000" w:usb2="00000012" w:usb3="00000000" w:csb0="0002009F" w:csb1="00000000"/>
  </w:font>
  <w:font w:name="Cambria Math">
    <w:panose1 w:val="02040503050406030204"/>
    <w:charset w:val="00"/>
    <w:family w:val="roman"/>
    <w:pitch w:val="default"/>
    <w:sig w:usb0="E00002FF" w:usb1="420024FF"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7"/>
      </w:rPr>
    </w:pPr>
    <w:r>
      <w:fldChar w:fldCharType="begin"/>
    </w:r>
    <w:r>
      <w:rPr>
        <w:rStyle w:val="17"/>
      </w:rPr>
      <w:instrText xml:space="preserve">PAGE  </w:instrText>
    </w:r>
    <w:r>
      <w:fldChar w:fldCharType="end"/>
    </w:r>
  </w:p>
  <w:p>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81"/>
      <w:rPr>
        <w:rStyle w:val="17"/>
        <w:rFonts w:ascii="宋体" w:hAnsi="宋体"/>
        <w:sz w:val="28"/>
        <w:szCs w:val="28"/>
      </w:rPr>
    </w:pPr>
    <w:r>
      <w:rPr>
        <w:rStyle w:val="17"/>
        <w:rFonts w:hint="eastAsia" w:ascii="宋体" w:hAnsi="宋体"/>
        <w:sz w:val="28"/>
        <w:szCs w:val="28"/>
      </w:rPr>
      <w:t>—</w:t>
    </w:r>
    <w:r>
      <w:rPr>
        <w:rStyle w:val="17"/>
        <w:rFonts w:hint="eastAsia" w:ascii="宋体" w:hAnsi="宋体"/>
        <w:sz w:val="20"/>
      </w:rPr>
      <w:t xml:space="preserve">  </w:t>
    </w:r>
    <w:r>
      <w:rPr>
        <w:rStyle w:val="17"/>
        <w:sz w:val="24"/>
      </w:rPr>
      <w:fldChar w:fldCharType="begin"/>
    </w:r>
    <w:r>
      <w:rPr>
        <w:rStyle w:val="17"/>
        <w:sz w:val="24"/>
      </w:rPr>
      <w:instrText xml:space="preserve">PAGE   \* MERGEFORMAT</w:instrText>
    </w:r>
    <w:r>
      <w:rPr>
        <w:rStyle w:val="17"/>
        <w:sz w:val="24"/>
      </w:rPr>
      <w:fldChar w:fldCharType="separate"/>
    </w:r>
    <w:r>
      <w:rPr>
        <w:rStyle w:val="17"/>
        <w:sz w:val="24"/>
      </w:rPr>
      <w:t>30</w:t>
    </w:r>
    <w:r>
      <w:rPr>
        <w:rStyle w:val="17"/>
        <w:sz w:val="24"/>
      </w:rPr>
      <w:fldChar w:fldCharType="end"/>
    </w:r>
    <w:r>
      <w:rPr>
        <w:rStyle w:val="17"/>
        <w:rFonts w:hint="eastAsia" w:ascii="宋体" w:hAnsi="宋体"/>
        <w:sz w:val="20"/>
      </w:rPr>
      <w:t xml:space="preserve">  </w:t>
    </w:r>
    <w:r>
      <w:rPr>
        <w:rStyle w:val="17"/>
        <w:rFonts w:hint="eastAsia" w:ascii="宋体" w:hAnsi="宋体"/>
        <w:sz w:val="28"/>
        <w:szCs w:val="28"/>
      </w:rPr>
      <w:t>—</w:t>
    </w:r>
  </w:p>
  <w:p>
    <w:pPr>
      <w:pStyle w:val="10"/>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7"/>
        <w:rFonts w:ascii="宋体" w:hAnsi="宋体"/>
        <w:sz w:val="28"/>
        <w:szCs w:val="28"/>
      </w:rPr>
    </w:pPr>
    <w:r>
      <w:rPr>
        <w:rStyle w:val="17"/>
        <w:rFonts w:hint="eastAsia" w:ascii="宋体" w:hAnsi="宋体"/>
        <w:sz w:val="28"/>
        <w:szCs w:val="28"/>
      </w:rPr>
      <w:t>—</w:t>
    </w:r>
    <w:r>
      <w:rPr>
        <w:rStyle w:val="17"/>
        <w:rFonts w:hint="eastAsia" w:ascii="宋体" w:hAnsi="宋体"/>
        <w:sz w:val="20"/>
      </w:rPr>
      <w:t xml:space="preserve">  </w:t>
    </w:r>
    <w:r>
      <w:rPr>
        <w:rStyle w:val="17"/>
        <w:rFonts w:ascii="宋体" w:hAnsi="宋体"/>
        <w:sz w:val="26"/>
        <w:szCs w:val="26"/>
      </w:rPr>
      <w:fldChar w:fldCharType="begin"/>
    </w:r>
    <w:r>
      <w:rPr>
        <w:rStyle w:val="17"/>
        <w:rFonts w:ascii="宋体" w:hAnsi="宋体"/>
        <w:sz w:val="26"/>
        <w:szCs w:val="26"/>
      </w:rPr>
      <w:instrText xml:space="preserve">PAGE  </w:instrText>
    </w:r>
    <w:r>
      <w:rPr>
        <w:rStyle w:val="17"/>
        <w:rFonts w:ascii="宋体" w:hAnsi="宋体"/>
        <w:sz w:val="26"/>
        <w:szCs w:val="26"/>
      </w:rPr>
      <w:fldChar w:fldCharType="separate"/>
    </w:r>
    <w:r>
      <w:rPr>
        <w:rStyle w:val="17"/>
        <w:rFonts w:ascii="宋体" w:hAnsi="宋体"/>
        <w:sz w:val="26"/>
        <w:szCs w:val="26"/>
      </w:rPr>
      <w:t>77</w:t>
    </w:r>
    <w:r>
      <w:rPr>
        <w:rStyle w:val="17"/>
        <w:rFonts w:ascii="宋体" w:hAnsi="宋体"/>
        <w:sz w:val="26"/>
        <w:szCs w:val="26"/>
      </w:rPr>
      <w:fldChar w:fldCharType="end"/>
    </w:r>
    <w:r>
      <w:rPr>
        <w:rStyle w:val="17"/>
        <w:rFonts w:hint="eastAsia" w:ascii="宋体" w:hAnsi="宋体"/>
        <w:sz w:val="20"/>
      </w:rPr>
      <w:t xml:space="preserve">  </w:t>
    </w:r>
    <w:r>
      <w:rPr>
        <w:rStyle w:val="17"/>
        <w:rFonts w:hint="eastAsia" w:ascii="宋体" w:hAnsi="宋体"/>
        <w:sz w:val="28"/>
        <w:szCs w:val="28"/>
      </w:rPr>
      <w:t>—</w:t>
    </w:r>
  </w:p>
  <w:p>
    <w:pPr>
      <w:pStyle w:val="10"/>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yODMwOTJkZTdlODU2OTdiN2Y5ZjU3OTgyOWMxMWYifQ=="/>
    <w:docVar w:name="KSO_WPS_MARK_KEY" w:val="3dd19d1e-b135-43bd-9a9a-e469cada736d"/>
  </w:docVars>
  <w:rsids>
    <w:rsidRoot w:val="00A14947"/>
    <w:rsid w:val="000032D1"/>
    <w:rsid w:val="000060B3"/>
    <w:rsid w:val="000133AA"/>
    <w:rsid w:val="00016E2D"/>
    <w:rsid w:val="000174D3"/>
    <w:rsid w:val="00023802"/>
    <w:rsid w:val="00024FA1"/>
    <w:rsid w:val="00027BC7"/>
    <w:rsid w:val="00030BC1"/>
    <w:rsid w:val="00033342"/>
    <w:rsid w:val="0004364B"/>
    <w:rsid w:val="0004690B"/>
    <w:rsid w:val="000522F8"/>
    <w:rsid w:val="00052C8D"/>
    <w:rsid w:val="00053859"/>
    <w:rsid w:val="0005719B"/>
    <w:rsid w:val="00061B1F"/>
    <w:rsid w:val="00065DBD"/>
    <w:rsid w:val="0006708F"/>
    <w:rsid w:val="000733C4"/>
    <w:rsid w:val="00074004"/>
    <w:rsid w:val="00074783"/>
    <w:rsid w:val="0007571A"/>
    <w:rsid w:val="0008070B"/>
    <w:rsid w:val="00080AEA"/>
    <w:rsid w:val="000810AC"/>
    <w:rsid w:val="000817D2"/>
    <w:rsid w:val="00081A02"/>
    <w:rsid w:val="00081AA7"/>
    <w:rsid w:val="0008212E"/>
    <w:rsid w:val="00082231"/>
    <w:rsid w:val="00092D38"/>
    <w:rsid w:val="0009377B"/>
    <w:rsid w:val="000A20C9"/>
    <w:rsid w:val="000A32E4"/>
    <w:rsid w:val="000A5C6A"/>
    <w:rsid w:val="000B058F"/>
    <w:rsid w:val="000B1584"/>
    <w:rsid w:val="000B4467"/>
    <w:rsid w:val="000B4DB9"/>
    <w:rsid w:val="000C09AC"/>
    <w:rsid w:val="000C1B7E"/>
    <w:rsid w:val="000C767F"/>
    <w:rsid w:val="000D4ACE"/>
    <w:rsid w:val="000D5A44"/>
    <w:rsid w:val="000E3ED2"/>
    <w:rsid w:val="000F1A02"/>
    <w:rsid w:val="000F3BAB"/>
    <w:rsid w:val="000F3BD9"/>
    <w:rsid w:val="00103D56"/>
    <w:rsid w:val="00104CE1"/>
    <w:rsid w:val="001078BA"/>
    <w:rsid w:val="00121034"/>
    <w:rsid w:val="00121892"/>
    <w:rsid w:val="00124A76"/>
    <w:rsid w:val="00126B08"/>
    <w:rsid w:val="00130792"/>
    <w:rsid w:val="00131B34"/>
    <w:rsid w:val="00131F42"/>
    <w:rsid w:val="001330BB"/>
    <w:rsid w:val="001357F1"/>
    <w:rsid w:val="00136BB9"/>
    <w:rsid w:val="0014099B"/>
    <w:rsid w:val="00140FA8"/>
    <w:rsid w:val="00142FEB"/>
    <w:rsid w:val="00143292"/>
    <w:rsid w:val="00143A2D"/>
    <w:rsid w:val="00144E02"/>
    <w:rsid w:val="00145A41"/>
    <w:rsid w:val="0014717E"/>
    <w:rsid w:val="00147314"/>
    <w:rsid w:val="00151675"/>
    <w:rsid w:val="001568D1"/>
    <w:rsid w:val="00157435"/>
    <w:rsid w:val="00163D9E"/>
    <w:rsid w:val="00172B33"/>
    <w:rsid w:val="00173530"/>
    <w:rsid w:val="0017504D"/>
    <w:rsid w:val="0017671A"/>
    <w:rsid w:val="00177422"/>
    <w:rsid w:val="00184590"/>
    <w:rsid w:val="001870D1"/>
    <w:rsid w:val="0018781E"/>
    <w:rsid w:val="0019262D"/>
    <w:rsid w:val="00192F81"/>
    <w:rsid w:val="00197368"/>
    <w:rsid w:val="001A1B35"/>
    <w:rsid w:val="001A48A2"/>
    <w:rsid w:val="001A6F61"/>
    <w:rsid w:val="001B408E"/>
    <w:rsid w:val="001B72B8"/>
    <w:rsid w:val="001B76ED"/>
    <w:rsid w:val="001B7ECD"/>
    <w:rsid w:val="001C69B3"/>
    <w:rsid w:val="001D5595"/>
    <w:rsid w:val="001D7874"/>
    <w:rsid w:val="001D7F22"/>
    <w:rsid w:val="001E521F"/>
    <w:rsid w:val="001F0F17"/>
    <w:rsid w:val="001F3347"/>
    <w:rsid w:val="001F69E4"/>
    <w:rsid w:val="001F6C4E"/>
    <w:rsid w:val="001F7926"/>
    <w:rsid w:val="001F7B25"/>
    <w:rsid w:val="00200ED6"/>
    <w:rsid w:val="00204D4A"/>
    <w:rsid w:val="002125B4"/>
    <w:rsid w:val="002155B8"/>
    <w:rsid w:val="00222DB1"/>
    <w:rsid w:val="0022300F"/>
    <w:rsid w:val="002241AC"/>
    <w:rsid w:val="00224839"/>
    <w:rsid w:val="002249B2"/>
    <w:rsid w:val="00226574"/>
    <w:rsid w:val="002278EC"/>
    <w:rsid w:val="0023280E"/>
    <w:rsid w:val="002377D1"/>
    <w:rsid w:val="002417E6"/>
    <w:rsid w:val="00242512"/>
    <w:rsid w:val="00244CC1"/>
    <w:rsid w:val="002506BC"/>
    <w:rsid w:val="0025364A"/>
    <w:rsid w:val="00254345"/>
    <w:rsid w:val="00255522"/>
    <w:rsid w:val="00256486"/>
    <w:rsid w:val="00257E8E"/>
    <w:rsid w:val="00264557"/>
    <w:rsid w:val="00265D4B"/>
    <w:rsid w:val="002674DF"/>
    <w:rsid w:val="002805AB"/>
    <w:rsid w:val="00283224"/>
    <w:rsid w:val="00284204"/>
    <w:rsid w:val="00285510"/>
    <w:rsid w:val="00286CE0"/>
    <w:rsid w:val="00291773"/>
    <w:rsid w:val="00292ADA"/>
    <w:rsid w:val="002961CC"/>
    <w:rsid w:val="00296250"/>
    <w:rsid w:val="002965B8"/>
    <w:rsid w:val="002A168C"/>
    <w:rsid w:val="002A3DC7"/>
    <w:rsid w:val="002A70FB"/>
    <w:rsid w:val="002A7386"/>
    <w:rsid w:val="002A7EA5"/>
    <w:rsid w:val="002B271C"/>
    <w:rsid w:val="002B49E2"/>
    <w:rsid w:val="002B586A"/>
    <w:rsid w:val="002B6AF5"/>
    <w:rsid w:val="002B7B00"/>
    <w:rsid w:val="002B7C44"/>
    <w:rsid w:val="002C0CA8"/>
    <w:rsid w:val="002C1708"/>
    <w:rsid w:val="002C2B17"/>
    <w:rsid w:val="002C2DF7"/>
    <w:rsid w:val="002C5C97"/>
    <w:rsid w:val="002D0100"/>
    <w:rsid w:val="002D3DD0"/>
    <w:rsid w:val="002E1F3A"/>
    <w:rsid w:val="002E298A"/>
    <w:rsid w:val="002E444D"/>
    <w:rsid w:val="002E67C3"/>
    <w:rsid w:val="002F09CC"/>
    <w:rsid w:val="002F6DB1"/>
    <w:rsid w:val="00301978"/>
    <w:rsid w:val="0030332C"/>
    <w:rsid w:val="003034C2"/>
    <w:rsid w:val="003051C2"/>
    <w:rsid w:val="0030644E"/>
    <w:rsid w:val="00306B31"/>
    <w:rsid w:val="00306DCF"/>
    <w:rsid w:val="00312296"/>
    <w:rsid w:val="00314EA8"/>
    <w:rsid w:val="00314F0E"/>
    <w:rsid w:val="00321D8E"/>
    <w:rsid w:val="00322934"/>
    <w:rsid w:val="00322AED"/>
    <w:rsid w:val="00325928"/>
    <w:rsid w:val="00332863"/>
    <w:rsid w:val="0033684D"/>
    <w:rsid w:val="00337B42"/>
    <w:rsid w:val="00341B42"/>
    <w:rsid w:val="0034348F"/>
    <w:rsid w:val="00343F43"/>
    <w:rsid w:val="003453A8"/>
    <w:rsid w:val="00350EF4"/>
    <w:rsid w:val="00356653"/>
    <w:rsid w:val="0035743F"/>
    <w:rsid w:val="00357BE2"/>
    <w:rsid w:val="00360DAF"/>
    <w:rsid w:val="0036170C"/>
    <w:rsid w:val="00362397"/>
    <w:rsid w:val="00364756"/>
    <w:rsid w:val="00364951"/>
    <w:rsid w:val="00366E0F"/>
    <w:rsid w:val="003707F4"/>
    <w:rsid w:val="00375F12"/>
    <w:rsid w:val="0038160D"/>
    <w:rsid w:val="00381A72"/>
    <w:rsid w:val="00384676"/>
    <w:rsid w:val="00384C24"/>
    <w:rsid w:val="00390857"/>
    <w:rsid w:val="00396B2A"/>
    <w:rsid w:val="003A052F"/>
    <w:rsid w:val="003A4BF3"/>
    <w:rsid w:val="003A7F6F"/>
    <w:rsid w:val="003B420D"/>
    <w:rsid w:val="003B62C1"/>
    <w:rsid w:val="003C01D1"/>
    <w:rsid w:val="003C03BF"/>
    <w:rsid w:val="003C08AE"/>
    <w:rsid w:val="003C6C16"/>
    <w:rsid w:val="003D27B4"/>
    <w:rsid w:val="003D3ABD"/>
    <w:rsid w:val="003D49A6"/>
    <w:rsid w:val="003D4DF0"/>
    <w:rsid w:val="003D6F58"/>
    <w:rsid w:val="003D794D"/>
    <w:rsid w:val="003E3058"/>
    <w:rsid w:val="003E76A9"/>
    <w:rsid w:val="003F0809"/>
    <w:rsid w:val="003F2085"/>
    <w:rsid w:val="003F3CD6"/>
    <w:rsid w:val="003F6A8C"/>
    <w:rsid w:val="003F755C"/>
    <w:rsid w:val="004028B4"/>
    <w:rsid w:val="00406F01"/>
    <w:rsid w:val="004106A1"/>
    <w:rsid w:val="00411C53"/>
    <w:rsid w:val="00415268"/>
    <w:rsid w:val="00416D50"/>
    <w:rsid w:val="00416FD5"/>
    <w:rsid w:val="00417772"/>
    <w:rsid w:val="00420E6A"/>
    <w:rsid w:val="00420E77"/>
    <w:rsid w:val="00425A9E"/>
    <w:rsid w:val="00426D6B"/>
    <w:rsid w:val="00431E6C"/>
    <w:rsid w:val="00433CE7"/>
    <w:rsid w:val="0043408F"/>
    <w:rsid w:val="00436B5E"/>
    <w:rsid w:val="0044274E"/>
    <w:rsid w:val="00443714"/>
    <w:rsid w:val="00444D88"/>
    <w:rsid w:val="004457B3"/>
    <w:rsid w:val="0045122B"/>
    <w:rsid w:val="0045160B"/>
    <w:rsid w:val="00452738"/>
    <w:rsid w:val="00453BD2"/>
    <w:rsid w:val="00456091"/>
    <w:rsid w:val="004656C1"/>
    <w:rsid w:val="00466321"/>
    <w:rsid w:val="00472CF5"/>
    <w:rsid w:val="004758E1"/>
    <w:rsid w:val="00484625"/>
    <w:rsid w:val="00484B9B"/>
    <w:rsid w:val="00484BFA"/>
    <w:rsid w:val="004855F6"/>
    <w:rsid w:val="0048661E"/>
    <w:rsid w:val="00492AE4"/>
    <w:rsid w:val="00493277"/>
    <w:rsid w:val="00494670"/>
    <w:rsid w:val="00496AEB"/>
    <w:rsid w:val="004A3823"/>
    <w:rsid w:val="004B38CF"/>
    <w:rsid w:val="004C0FE4"/>
    <w:rsid w:val="004C7181"/>
    <w:rsid w:val="004D7CF8"/>
    <w:rsid w:val="004E0728"/>
    <w:rsid w:val="004E331D"/>
    <w:rsid w:val="004E6946"/>
    <w:rsid w:val="004F1AD8"/>
    <w:rsid w:val="004F454A"/>
    <w:rsid w:val="004F4DD8"/>
    <w:rsid w:val="005039CB"/>
    <w:rsid w:val="0050558F"/>
    <w:rsid w:val="00506286"/>
    <w:rsid w:val="00510813"/>
    <w:rsid w:val="00511990"/>
    <w:rsid w:val="00511DE0"/>
    <w:rsid w:val="005126A5"/>
    <w:rsid w:val="00514870"/>
    <w:rsid w:val="00514B9B"/>
    <w:rsid w:val="00517F02"/>
    <w:rsid w:val="0052001E"/>
    <w:rsid w:val="00521A42"/>
    <w:rsid w:val="00522C4C"/>
    <w:rsid w:val="00524303"/>
    <w:rsid w:val="005258A2"/>
    <w:rsid w:val="005401AE"/>
    <w:rsid w:val="00542E07"/>
    <w:rsid w:val="00545424"/>
    <w:rsid w:val="00547083"/>
    <w:rsid w:val="0055266F"/>
    <w:rsid w:val="00554A7B"/>
    <w:rsid w:val="00554DCD"/>
    <w:rsid w:val="0055572C"/>
    <w:rsid w:val="005567A5"/>
    <w:rsid w:val="0056106A"/>
    <w:rsid w:val="00561943"/>
    <w:rsid w:val="00563122"/>
    <w:rsid w:val="00565493"/>
    <w:rsid w:val="005655D7"/>
    <w:rsid w:val="00565E6E"/>
    <w:rsid w:val="005720AE"/>
    <w:rsid w:val="005722BB"/>
    <w:rsid w:val="00573BFA"/>
    <w:rsid w:val="00586C68"/>
    <w:rsid w:val="00594D77"/>
    <w:rsid w:val="005969E4"/>
    <w:rsid w:val="00597F29"/>
    <w:rsid w:val="005A06B7"/>
    <w:rsid w:val="005A1759"/>
    <w:rsid w:val="005A68A7"/>
    <w:rsid w:val="005B44AE"/>
    <w:rsid w:val="005C6D05"/>
    <w:rsid w:val="005D1A42"/>
    <w:rsid w:val="005D36AB"/>
    <w:rsid w:val="005D3779"/>
    <w:rsid w:val="005E1931"/>
    <w:rsid w:val="005E558E"/>
    <w:rsid w:val="005F7E29"/>
    <w:rsid w:val="006128F1"/>
    <w:rsid w:val="006147F6"/>
    <w:rsid w:val="00617CC3"/>
    <w:rsid w:val="00620536"/>
    <w:rsid w:val="006248C7"/>
    <w:rsid w:val="00625E77"/>
    <w:rsid w:val="00626BDB"/>
    <w:rsid w:val="00630AF8"/>
    <w:rsid w:val="006310F4"/>
    <w:rsid w:val="006377A6"/>
    <w:rsid w:val="00637A3D"/>
    <w:rsid w:val="00640545"/>
    <w:rsid w:val="006411EF"/>
    <w:rsid w:val="006544A5"/>
    <w:rsid w:val="00660640"/>
    <w:rsid w:val="00667F20"/>
    <w:rsid w:val="00672E2F"/>
    <w:rsid w:val="006748B8"/>
    <w:rsid w:val="006766D1"/>
    <w:rsid w:val="00677467"/>
    <w:rsid w:val="006775C3"/>
    <w:rsid w:val="006833F9"/>
    <w:rsid w:val="0069290A"/>
    <w:rsid w:val="006954D0"/>
    <w:rsid w:val="00696E41"/>
    <w:rsid w:val="0069775A"/>
    <w:rsid w:val="00697813"/>
    <w:rsid w:val="006A3EE8"/>
    <w:rsid w:val="006A6B0E"/>
    <w:rsid w:val="006A72BF"/>
    <w:rsid w:val="006A7ACE"/>
    <w:rsid w:val="006B03F2"/>
    <w:rsid w:val="006B0486"/>
    <w:rsid w:val="006B0585"/>
    <w:rsid w:val="006B37DC"/>
    <w:rsid w:val="006B49E5"/>
    <w:rsid w:val="006B4F68"/>
    <w:rsid w:val="006C0592"/>
    <w:rsid w:val="006C0EAC"/>
    <w:rsid w:val="006C2310"/>
    <w:rsid w:val="006C272E"/>
    <w:rsid w:val="006C5479"/>
    <w:rsid w:val="006D13B5"/>
    <w:rsid w:val="006E0CFE"/>
    <w:rsid w:val="006E12FF"/>
    <w:rsid w:val="006E23E9"/>
    <w:rsid w:val="006E607E"/>
    <w:rsid w:val="006E6E4D"/>
    <w:rsid w:val="006E7649"/>
    <w:rsid w:val="006F26AF"/>
    <w:rsid w:val="0070408F"/>
    <w:rsid w:val="00706C5D"/>
    <w:rsid w:val="0071469F"/>
    <w:rsid w:val="00714B0B"/>
    <w:rsid w:val="007154E6"/>
    <w:rsid w:val="00716AFC"/>
    <w:rsid w:val="00723A98"/>
    <w:rsid w:val="00732922"/>
    <w:rsid w:val="00732AA9"/>
    <w:rsid w:val="007365F0"/>
    <w:rsid w:val="007424D2"/>
    <w:rsid w:val="00745FA5"/>
    <w:rsid w:val="0075162E"/>
    <w:rsid w:val="00754034"/>
    <w:rsid w:val="007542F5"/>
    <w:rsid w:val="00756556"/>
    <w:rsid w:val="00757AED"/>
    <w:rsid w:val="007605C9"/>
    <w:rsid w:val="007618C4"/>
    <w:rsid w:val="007635A9"/>
    <w:rsid w:val="00767980"/>
    <w:rsid w:val="00770B19"/>
    <w:rsid w:val="00772A91"/>
    <w:rsid w:val="0077463F"/>
    <w:rsid w:val="00782CA4"/>
    <w:rsid w:val="00782EFE"/>
    <w:rsid w:val="007836EA"/>
    <w:rsid w:val="00784CDA"/>
    <w:rsid w:val="007857C4"/>
    <w:rsid w:val="007857E5"/>
    <w:rsid w:val="0078756D"/>
    <w:rsid w:val="007906C4"/>
    <w:rsid w:val="0079226F"/>
    <w:rsid w:val="007940EA"/>
    <w:rsid w:val="007967E8"/>
    <w:rsid w:val="007A0055"/>
    <w:rsid w:val="007A2170"/>
    <w:rsid w:val="007A22BF"/>
    <w:rsid w:val="007A2D2E"/>
    <w:rsid w:val="007A3323"/>
    <w:rsid w:val="007B0CA7"/>
    <w:rsid w:val="007B72B8"/>
    <w:rsid w:val="007B7A58"/>
    <w:rsid w:val="007C21B5"/>
    <w:rsid w:val="007D040B"/>
    <w:rsid w:val="007D3137"/>
    <w:rsid w:val="007E3265"/>
    <w:rsid w:val="007E4059"/>
    <w:rsid w:val="007E4BD2"/>
    <w:rsid w:val="007F1DE0"/>
    <w:rsid w:val="007F47F2"/>
    <w:rsid w:val="00801393"/>
    <w:rsid w:val="00801627"/>
    <w:rsid w:val="00802EFF"/>
    <w:rsid w:val="00802F88"/>
    <w:rsid w:val="0081293E"/>
    <w:rsid w:val="00815465"/>
    <w:rsid w:val="00816235"/>
    <w:rsid w:val="00817E9A"/>
    <w:rsid w:val="008223C8"/>
    <w:rsid w:val="008306BD"/>
    <w:rsid w:val="008307D5"/>
    <w:rsid w:val="00831A80"/>
    <w:rsid w:val="00832A51"/>
    <w:rsid w:val="00833743"/>
    <w:rsid w:val="008340A4"/>
    <w:rsid w:val="00837ADA"/>
    <w:rsid w:val="00840382"/>
    <w:rsid w:val="00841FD4"/>
    <w:rsid w:val="00844582"/>
    <w:rsid w:val="00846B1C"/>
    <w:rsid w:val="00846FA5"/>
    <w:rsid w:val="00850821"/>
    <w:rsid w:val="008712E2"/>
    <w:rsid w:val="0087135F"/>
    <w:rsid w:val="00872D94"/>
    <w:rsid w:val="008740B3"/>
    <w:rsid w:val="00876F30"/>
    <w:rsid w:val="00880364"/>
    <w:rsid w:val="00881016"/>
    <w:rsid w:val="00884763"/>
    <w:rsid w:val="00891592"/>
    <w:rsid w:val="00891E9E"/>
    <w:rsid w:val="008966FF"/>
    <w:rsid w:val="008A2F68"/>
    <w:rsid w:val="008B0941"/>
    <w:rsid w:val="008B4FA6"/>
    <w:rsid w:val="008B5282"/>
    <w:rsid w:val="008B7C17"/>
    <w:rsid w:val="008C2C7A"/>
    <w:rsid w:val="008C2D01"/>
    <w:rsid w:val="008C40E6"/>
    <w:rsid w:val="008D0F7A"/>
    <w:rsid w:val="008D41C5"/>
    <w:rsid w:val="008D68E4"/>
    <w:rsid w:val="008D78A8"/>
    <w:rsid w:val="008E0506"/>
    <w:rsid w:val="008E0A50"/>
    <w:rsid w:val="008E0CFF"/>
    <w:rsid w:val="008E5D6B"/>
    <w:rsid w:val="008E76F0"/>
    <w:rsid w:val="008F15FE"/>
    <w:rsid w:val="008F2AD3"/>
    <w:rsid w:val="008F2D29"/>
    <w:rsid w:val="008F5187"/>
    <w:rsid w:val="008F60D8"/>
    <w:rsid w:val="00900E83"/>
    <w:rsid w:val="00902727"/>
    <w:rsid w:val="0090312B"/>
    <w:rsid w:val="00904EE8"/>
    <w:rsid w:val="00906598"/>
    <w:rsid w:val="009074AF"/>
    <w:rsid w:val="00912836"/>
    <w:rsid w:val="009166F1"/>
    <w:rsid w:val="0091736D"/>
    <w:rsid w:val="0092010A"/>
    <w:rsid w:val="00921868"/>
    <w:rsid w:val="00924BA2"/>
    <w:rsid w:val="0093037A"/>
    <w:rsid w:val="00935F2B"/>
    <w:rsid w:val="0094009F"/>
    <w:rsid w:val="0094154D"/>
    <w:rsid w:val="00944AC8"/>
    <w:rsid w:val="00944B1C"/>
    <w:rsid w:val="00944D87"/>
    <w:rsid w:val="00945D00"/>
    <w:rsid w:val="0095155F"/>
    <w:rsid w:val="00954429"/>
    <w:rsid w:val="00954713"/>
    <w:rsid w:val="009563CE"/>
    <w:rsid w:val="00960D33"/>
    <w:rsid w:val="009611DD"/>
    <w:rsid w:val="0096665C"/>
    <w:rsid w:val="00976328"/>
    <w:rsid w:val="0097680D"/>
    <w:rsid w:val="00980192"/>
    <w:rsid w:val="00980F55"/>
    <w:rsid w:val="00982438"/>
    <w:rsid w:val="0098404C"/>
    <w:rsid w:val="00985283"/>
    <w:rsid w:val="00987F3B"/>
    <w:rsid w:val="00995992"/>
    <w:rsid w:val="00995D5E"/>
    <w:rsid w:val="009974A1"/>
    <w:rsid w:val="009A03E5"/>
    <w:rsid w:val="009A0F3B"/>
    <w:rsid w:val="009A1BB4"/>
    <w:rsid w:val="009A2628"/>
    <w:rsid w:val="009A3200"/>
    <w:rsid w:val="009B0897"/>
    <w:rsid w:val="009B4EF5"/>
    <w:rsid w:val="009B7BD9"/>
    <w:rsid w:val="009B7F59"/>
    <w:rsid w:val="009C1BDE"/>
    <w:rsid w:val="009C7DD5"/>
    <w:rsid w:val="009D1B5F"/>
    <w:rsid w:val="009D4B46"/>
    <w:rsid w:val="009D7668"/>
    <w:rsid w:val="009E227D"/>
    <w:rsid w:val="009E5019"/>
    <w:rsid w:val="00A02F81"/>
    <w:rsid w:val="00A04F1B"/>
    <w:rsid w:val="00A0501B"/>
    <w:rsid w:val="00A0540D"/>
    <w:rsid w:val="00A12721"/>
    <w:rsid w:val="00A14947"/>
    <w:rsid w:val="00A1607E"/>
    <w:rsid w:val="00A16D5B"/>
    <w:rsid w:val="00A236B7"/>
    <w:rsid w:val="00A249AD"/>
    <w:rsid w:val="00A25B69"/>
    <w:rsid w:val="00A26DFF"/>
    <w:rsid w:val="00A32516"/>
    <w:rsid w:val="00A32A83"/>
    <w:rsid w:val="00A33678"/>
    <w:rsid w:val="00A33FD8"/>
    <w:rsid w:val="00A35064"/>
    <w:rsid w:val="00A368DB"/>
    <w:rsid w:val="00A423AA"/>
    <w:rsid w:val="00A45108"/>
    <w:rsid w:val="00A4789E"/>
    <w:rsid w:val="00A5378E"/>
    <w:rsid w:val="00A53EC6"/>
    <w:rsid w:val="00A55C0F"/>
    <w:rsid w:val="00A61E2F"/>
    <w:rsid w:val="00A6458D"/>
    <w:rsid w:val="00A70FC5"/>
    <w:rsid w:val="00A71AD6"/>
    <w:rsid w:val="00A74981"/>
    <w:rsid w:val="00A770E3"/>
    <w:rsid w:val="00A773F0"/>
    <w:rsid w:val="00A86728"/>
    <w:rsid w:val="00A8713F"/>
    <w:rsid w:val="00A90BA1"/>
    <w:rsid w:val="00A91F37"/>
    <w:rsid w:val="00A94F0C"/>
    <w:rsid w:val="00A969F6"/>
    <w:rsid w:val="00A97A9A"/>
    <w:rsid w:val="00AA0671"/>
    <w:rsid w:val="00AA2531"/>
    <w:rsid w:val="00AB1A7E"/>
    <w:rsid w:val="00AB1E09"/>
    <w:rsid w:val="00AB421E"/>
    <w:rsid w:val="00AB5330"/>
    <w:rsid w:val="00AB60B0"/>
    <w:rsid w:val="00AB7651"/>
    <w:rsid w:val="00AB7747"/>
    <w:rsid w:val="00AC14CE"/>
    <w:rsid w:val="00AC2A56"/>
    <w:rsid w:val="00AD055E"/>
    <w:rsid w:val="00AD2436"/>
    <w:rsid w:val="00AD47A7"/>
    <w:rsid w:val="00AD670B"/>
    <w:rsid w:val="00AD7ED2"/>
    <w:rsid w:val="00AE1992"/>
    <w:rsid w:val="00AE1E8F"/>
    <w:rsid w:val="00AE27E5"/>
    <w:rsid w:val="00AE38B2"/>
    <w:rsid w:val="00AF0CBF"/>
    <w:rsid w:val="00AF257F"/>
    <w:rsid w:val="00AF33CF"/>
    <w:rsid w:val="00AF4D50"/>
    <w:rsid w:val="00AF52AB"/>
    <w:rsid w:val="00AF6179"/>
    <w:rsid w:val="00B1295A"/>
    <w:rsid w:val="00B208CE"/>
    <w:rsid w:val="00B20A45"/>
    <w:rsid w:val="00B22B0C"/>
    <w:rsid w:val="00B22C5C"/>
    <w:rsid w:val="00B24F30"/>
    <w:rsid w:val="00B31ABF"/>
    <w:rsid w:val="00B33BE3"/>
    <w:rsid w:val="00B46CFF"/>
    <w:rsid w:val="00B5345C"/>
    <w:rsid w:val="00B53B5D"/>
    <w:rsid w:val="00B544A6"/>
    <w:rsid w:val="00B54C57"/>
    <w:rsid w:val="00B6055E"/>
    <w:rsid w:val="00B61FFE"/>
    <w:rsid w:val="00B626B3"/>
    <w:rsid w:val="00B6317D"/>
    <w:rsid w:val="00B65A82"/>
    <w:rsid w:val="00B7723F"/>
    <w:rsid w:val="00B80534"/>
    <w:rsid w:val="00B81B29"/>
    <w:rsid w:val="00B8433C"/>
    <w:rsid w:val="00B84558"/>
    <w:rsid w:val="00B87491"/>
    <w:rsid w:val="00BA29E9"/>
    <w:rsid w:val="00BA5402"/>
    <w:rsid w:val="00BA7142"/>
    <w:rsid w:val="00BB237C"/>
    <w:rsid w:val="00BB41A3"/>
    <w:rsid w:val="00BC0608"/>
    <w:rsid w:val="00BC32DC"/>
    <w:rsid w:val="00BC35B6"/>
    <w:rsid w:val="00BC3CBB"/>
    <w:rsid w:val="00BD0FD1"/>
    <w:rsid w:val="00BD1B51"/>
    <w:rsid w:val="00BD3627"/>
    <w:rsid w:val="00BD4596"/>
    <w:rsid w:val="00BD5226"/>
    <w:rsid w:val="00BD6DC3"/>
    <w:rsid w:val="00BE1405"/>
    <w:rsid w:val="00BE312D"/>
    <w:rsid w:val="00BE3AC4"/>
    <w:rsid w:val="00BE77F8"/>
    <w:rsid w:val="00BF07B1"/>
    <w:rsid w:val="00BF1C20"/>
    <w:rsid w:val="00BF364C"/>
    <w:rsid w:val="00BF6886"/>
    <w:rsid w:val="00C00B2F"/>
    <w:rsid w:val="00C023E4"/>
    <w:rsid w:val="00C04A9A"/>
    <w:rsid w:val="00C10578"/>
    <w:rsid w:val="00C135BC"/>
    <w:rsid w:val="00C15C95"/>
    <w:rsid w:val="00C20D33"/>
    <w:rsid w:val="00C22F95"/>
    <w:rsid w:val="00C250E4"/>
    <w:rsid w:val="00C2596A"/>
    <w:rsid w:val="00C26BCE"/>
    <w:rsid w:val="00C27537"/>
    <w:rsid w:val="00C31127"/>
    <w:rsid w:val="00C328FE"/>
    <w:rsid w:val="00C33507"/>
    <w:rsid w:val="00C404CA"/>
    <w:rsid w:val="00C414E2"/>
    <w:rsid w:val="00C41844"/>
    <w:rsid w:val="00C41893"/>
    <w:rsid w:val="00C4409D"/>
    <w:rsid w:val="00C44E72"/>
    <w:rsid w:val="00C45A06"/>
    <w:rsid w:val="00C46F14"/>
    <w:rsid w:val="00C47E5B"/>
    <w:rsid w:val="00C531DE"/>
    <w:rsid w:val="00C61345"/>
    <w:rsid w:val="00C61544"/>
    <w:rsid w:val="00C61E4B"/>
    <w:rsid w:val="00C62951"/>
    <w:rsid w:val="00C64BFF"/>
    <w:rsid w:val="00C704E9"/>
    <w:rsid w:val="00C70A9F"/>
    <w:rsid w:val="00C759B1"/>
    <w:rsid w:val="00C763C9"/>
    <w:rsid w:val="00C80057"/>
    <w:rsid w:val="00C82232"/>
    <w:rsid w:val="00C82913"/>
    <w:rsid w:val="00C85FEE"/>
    <w:rsid w:val="00C924CE"/>
    <w:rsid w:val="00C92A4F"/>
    <w:rsid w:val="00C9701E"/>
    <w:rsid w:val="00C972B1"/>
    <w:rsid w:val="00CA1535"/>
    <w:rsid w:val="00CA2CCE"/>
    <w:rsid w:val="00CA43FD"/>
    <w:rsid w:val="00CA7EF8"/>
    <w:rsid w:val="00CB0707"/>
    <w:rsid w:val="00CC2475"/>
    <w:rsid w:val="00CC489B"/>
    <w:rsid w:val="00CC6DE1"/>
    <w:rsid w:val="00CD0CF5"/>
    <w:rsid w:val="00CD12C4"/>
    <w:rsid w:val="00CD2BCD"/>
    <w:rsid w:val="00CD3A4C"/>
    <w:rsid w:val="00CD6087"/>
    <w:rsid w:val="00CD74C5"/>
    <w:rsid w:val="00CE10E9"/>
    <w:rsid w:val="00CE2910"/>
    <w:rsid w:val="00CE345D"/>
    <w:rsid w:val="00CE4336"/>
    <w:rsid w:val="00CE5393"/>
    <w:rsid w:val="00CE5EBA"/>
    <w:rsid w:val="00CF369F"/>
    <w:rsid w:val="00CF36BE"/>
    <w:rsid w:val="00CF5896"/>
    <w:rsid w:val="00CF6000"/>
    <w:rsid w:val="00D003F3"/>
    <w:rsid w:val="00D02867"/>
    <w:rsid w:val="00D0364F"/>
    <w:rsid w:val="00D06834"/>
    <w:rsid w:val="00D06C78"/>
    <w:rsid w:val="00D07994"/>
    <w:rsid w:val="00D16FD9"/>
    <w:rsid w:val="00D20F86"/>
    <w:rsid w:val="00D237AF"/>
    <w:rsid w:val="00D308ED"/>
    <w:rsid w:val="00D36D86"/>
    <w:rsid w:val="00D428AA"/>
    <w:rsid w:val="00D50A34"/>
    <w:rsid w:val="00D53EFA"/>
    <w:rsid w:val="00D623DB"/>
    <w:rsid w:val="00D635C6"/>
    <w:rsid w:val="00D82842"/>
    <w:rsid w:val="00D86FB4"/>
    <w:rsid w:val="00D94A7C"/>
    <w:rsid w:val="00D95896"/>
    <w:rsid w:val="00DA2C0E"/>
    <w:rsid w:val="00DB2983"/>
    <w:rsid w:val="00DB512E"/>
    <w:rsid w:val="00DC1257"/>
    <w:rsid w:val="00DC3DC0"/>
    <w:rsid w:val="00DC5B2B"/>
    <w:rsid w:val="00DD1660"/>
    <w:rsid w:val="00DD318D"/>
    <w:rsid w:val="00DE025F"/>
    <w:rsid w:val="00DE4A58"/>
    <w:rsid w:val="00DE695E"/>
    <w:rsid w:val="00DE6999"/>
    <w:rsid w:val="00DE7014"/>
    <w:rsid w:val="00DF2E12"/>
    <w:rsid w:val="00DF3AA4"/>
    <w:rsid w:val="00DF431E"/>
    <w:rsid w:val="00DF4CD7"/>
    <w:rsid w:val="00DF514A"/>
    <w:rsid w:val="00DF6690"/>
    <w:rsid w:val="00DF6804"/>
    <w:rsid w:val="00DF7373"/>
    <w:rsid w:val="00E0075C"/>
    <w:rsid w:val="00E00805"/>
    <w:rsid w:val="00E0358D"/>
    <w:rsid w:val="00E04323"/>
    <w:rsid w:val="00E05CCB"/>
    <w:rsid w:val="00E070A2"/>
    <w:rsid w:val="00E10A1A"/>
    <w:rsid w:val="00E13BCB"/>
    <w:rsid w:val="00E13ECF"/>
    <w:rsid w:val="00E17D6C"/>
    <w:rsid w:val="00E238F0"/>
    <w:rsid w:val="00E261FB"/>
    <w:rsid w:val="00E2656A"/>
    <w:rsid w:val="00E307C5"/>
    <w:rsid w:val="00E407AB"/>
    <w:rsid w:val="00E40E37"/>
    <w:rsid w:val="00E412D0"/>
    <w:rsid w:val="00E516A6"/>
    <w:rsid w:val="00E56322"/>
    <w:rsid w:val="00E6054D"/>
    <w:rsid w:val="00E60982"/>
    <w:rsid w:val="00E62C62"/>
    <w:rsid w:val="00E654C1"/>
    <w:rsid w:val="00E65D97"/>
    <w:rsid w:val="00E66B74"/>
    <w:rsid w:val="00E70EF7"/>
    <w:rsid w:val="00E72A5A"/>
    <w:rsid w:val="00E73354"/>
    <w:rsid w:val="00E76140"/>
    <w:rsid w:val="00E867C5"/>
    <w:rsid w:val="00E870FC"/>
    <w:rsid w:val="00E9242D"/>
    <w:rsid w:val="00EA7157"/>
    <w:rsid w:val="00EB38F3"/>
    <w:rsid w:val="00EB5255"/>
    <w:rsid w:val="00EB5C47"/>
    <w:rsid w:val="00EB7C50"/>
    <w:rsid w:val="00EC4907"/>
    <w:rsid w:val="00ED0639"/>
    <w:rsid w:val="00ED7B7B"/>
    <w:rsid w:val="00EE3BF1"/>
    <w:rsid w:val="00EF2DE1"/>
    <w:rsid w:val="00EF3E1D"/>
    <w:rsid w:val="00EF4755"/>
    <w:rsid w:val="00EF7135"/>
    <w:rsid w:val="00EF7BDF"/>
    <w:rsid w:val="00F027DB"/>
    <w:rsid w:val="00F070C2"/>
    <w:rsid w:val="00F14A7A"/>
    <w:rsid w:val="00F22985"/>
    <w:rsid w:val="00F23E34"/>
    <w:rsid w:val="00F3383E"/>
    <w:rsid w:val="00F33FF7"/>
    <w:rsid w:val="00F40AC9"/>
    <w:rsid w:val="00F465A7"/>
    <w:rsid w:val="00F466E4"/>
    <w:rsid w:val="00F50A6D"/>
    <w:rsid w:val="00F50B7C"/>
    <w:rsid w:val="00F550E6"/>
    <w:rsid w:val="00F61309"/>
    <w:rsid w:val="00F6137D"/>
    <w:rsid w:val="00F62DB5"/>
    <w:rsid w:val="00F667C5"/>
    <w:rsid w:val="00F67969"/>
    <w:rsid w:val="00F74345"/>
    <w:rsid w:val="00F807D2"/>
    <w:rsid w:val="00F80A0A"/>
    <w:rsid w:val="00F82B19"/>
    <w:rsid w:val="00F9212D"/>
    <w:rsid w:val="00F965DA"/>
    <w:rsid w:val="00FA406A"/>
    <w:rsid w:val="00FA5BE7"/>
    <w:rsid w:val="00FA5D1A"/>
    <w:rsid w:val="00FA7FCB"/>
    <w:rsid w:val="00FB227C"/>
    <w:rsid w:val="00FB3295"/>
    <w:rsid w:val="00FB503A"/>
    <w:rsid w:val="00FB516C"/>
    <w:rsid w:val="00FC6887"/>
    <w:rsid w:val="00FD0236"/>
    <w:rsid w:val="00FD1608"/>
    <w:rsid w:val="00FD18F4"/>
    <w:rsid w:val="00FD3FC5"/>
    <w:rsid w:val="00FD4EB6"/>
    <w:rsid w:val="00FD54DB"/>
    <w:rsid w:val="00FD619F"/>
    <w:rsid w:val="00FE1135"/>
    <w:rsid w:val="00FE1D89"/>
    <w:rsid w:val="00FE2559"/>
    <w:rsid w:val="00FE3C34"/>
    <w:rsid w:val="00FF34C0"/>
    <w:rsid w:val="00FF395D"/>
    <w:rsid w:val="01290F7E"/>
    <w:rsid w:val="015D1E09"/>
    <w:rsid w:val="02697903"/>
    <w:rsid w:val="02F96569"/>
    <w:rsid w:val="03EA7B21"/>
    <w:rsid w:val="05F83EAE"/>
    <w:rsid w:val="063E7D85"/>
    <w:rsid w:val="07293586"/>
    <w:rsid w:val="07295285"/>
    <w:rsid w:val="07636392"/>
    <w:rsid w:val="07770C56"/>
    <w:rsid w:val="092217DD"/>
    <w:rsid w:val="093A7294"/>
    <w:rsid w:val="0A263993"/>
    <w:rsid w:val="0A2D3AC2"/>
    <w:rsid w:val="0AA755DF"/>
    <w:rsid w:val="0B120D44"/>
    <w:rsid w:val="0BD27BF6"/>
    <w:rsid w:val="0C3B3C7D"/>
    <w:rsid w:val="0CAB2EAE"/>
    <w:rsid w:val="0D621C7D"/>
    <w:rsid w:val="0E73034D"/>
    <w:rsid w:val="0F13775A"/>
    <w:rsid w:val="0F5F45FE"/>
    <w:rsid w:val="0F9A112B"/>
    <w:rsid w:val="106D2F64"/>
    <w:rsid w:val="10B63710"/>
    <w:rsid w:val="10F10820"/>
    <w:rsid w:val="111C2F7A"/>
    <w:rsid w:val="11665CA1"/>
    <w:rsid w:val="13951726"/>
    <w:rsid w:val="14396509"/>
    <w:rsid w:val="14DD2C3C"/>
    <w:rsid w:val="16087E1D"/>
    <w:rsid w:val="17701D14"/>
    <w:rsid w:val="17735226"/>
    <w:rsid w:val="189F624C"/>
    <w:rsid w:val="1A1C66C0"/>
    <w:rsid w:val="1A42393B"/>
    <w:rsid w:val="1AAD45DE"/>
    <w:rsid w:val="1B046F80"/>
    <w:rsid w:val="1B3267B5"/>
    <w:rsid w:val="1B40161D"/>
    <w:rsid w:val="1B441859"/>
    <w:rsid w:val="1B6606B1"/>
    <w:rsid w:val="1C5E7925"/>
    <w:rsid w:val="1CFD070F"/>
    <w:rsid w:val="1D5F6196"/>
    <w:rsid w:val="1D6132A5"/>
    <w:rsid w:val="1D8E56D5"/>
    <w:rsid w:val="1E7A43DA"/>
    <w:rsid w:val="1FE7539E"/>
    <w:rsid w:val="20671BE0"/>
    <w:rsid w:val="20963CB8"/>
    <w:rsid w:val="20A81A1B"/>
    <w:rsid w:val="20B07FB6"/>
    <w:rsid w:val="20B646FB"/>
    <w:rsid w:val="213B74B1"/>
    <w:rsid w:val="215A2310"/>
    <w:rsid w:val="21DE318A"/>
    <w:rsid w:val="21EF5B80"/>
    <w:rsid w:val="22576990"/>
    <w:rsid w:val="22F47480"/>
    <w:rsid w:val="23DE1C48"/>
    <w:rsid w:val="240210CD"/>
    <w:rsid w:val="242D15B2"/>
    <w:rsid w:val="24BF09F7"/>
    <w:rsid w:val="252D53FE"/>
    <w:rsid w:val="25EC2D81"/>
    <w:rsid w:val="277057A2"/>
    <w:rsid w:val="29206EB8"/>
    <w:rsid w:val="29595666"/>
    <w:rsid w:val="29874881"/>
    <w:rsid w:val="29E325E0"/>
    <w:rsid w:val="2A452503"/>
    <w:rsid w:val="2BA936A8"/>
    <w:rsid w:val="2C315A5A"/>
    <w:rsid w:val="2C4B1C25"/>
    <w:rsid w:val="2D9E56F5"/>
    <w:rsid w:val="2E667F96"/>
    <w:rsid w:val="2E8226AB"/>
    <w:rsid w:val="2FD065E6"/>
    <w:rsid w:val="2FD96870"/>
    <w:rsid w:val="30580BC9"/>
    <w:rsid w:val="311E2ED7"/>
    <w:rsid w:val="315619EE"/>
    <w:rsid w:val="315C449C"/>
    <w:rsid w:val="31B82709"/>
    <w:rsid w:val="31D05482"/>
    <w:rsid w:val="32400B34"/>
    <w:rsid w:val="329E6876"/>
    <w:rsid w:val="333015F2"/>
    <w:rsid w:val="334B6320"/>
    <w:rsid w:val="33D934D4"/>
    <w:rsid w:val="33FE2F6A"/>
    <w:rsid w:val="340E07E5"/>
    <w:rsid w:val="34235BF7"/>
    <w:rsid w:val="358A10D1"/>
    <w:rsid w:val="358C5FA8"/>
    <w:rsid w:val="35C15DF1"/>
    <w:rsid w:val="36074A7F"/>
    <w:rsid w:val="36923549"/>
    <w:rsid w:val="36B75FBF"/>
    <w:rsid w:val="36BD0C45"/>
    <w:rsid w:val="37E00298"/>
    <w:rsid w:val="38B302F9"/>
    <w:rsid w:val="38F12CD3"/>
    <w:rsid w:val="38F94775"/>
    <w:rsid w:val="392971ED"/>
    <w:rsid w:val="39325651"/>
    <w:rsid w:val="3A872856"/>
    <w:rsid w:val="3B3763D1"/>
    <w:rsid w:val="3C2F6E1E"/>
    <w:rsid w:val="3C4F64BA"/>
    <w:rsid w:val="3CDA245A"/>
    <w:rsid w:val="3D1E06B7"/>
    <w:rsid w:val="3EDA0523"/>
    <w:rsid w:val="407A6407"/>
    <w:rsid w:val="4200449D"/>
    <w:rsid w:val="423A3BCC"/>
    <w:rsid w:val="424E57D2"/>
    <w:rsid w:val="42B26C49"/>
    <w:rsid w:val="433A6FE6"/>
    <w:rsid w:val="43480868"/>
    <w:rsid w:val="4350713C"/>
    <w:rsid w:val="436653E0"/>
    <w:rsid w:val="43C4431A"/>
    <w:rsid w:val="44B951CC"/>
    <w:rsid w:val="44CD14E0"/>
    <w:rsid w:val="44F20B0B"/>
    <w:rsid w:val="452E5F4C"/>
    <w:rsid w:val="45612018"/>
    <w:rsid w:val="458946E9"/>
    <w:rsid w:val="45A47C0E"/>
    <w:rsid w:val="46577FD6"/>
    <w:rsid w:val="46D955A7"/>
    <w:rsid w:val="47133957"/>
    <w:rsid w:val="47A07E0C"/>
    <w:rsid w:val="4870272E"/>
    <w:rsid w:val="49DC7715"/>
    <w:rsid w:val="4A023139"/>
    <w:rsid w:val="4A7B576F"/>
    <w:rsid w:val="4AF561A9"/>
    <w:rsid w:val="4C4A0649"/>
    <w:rsid w:val="4C7E5ECA"/>
    <w:rsid w:val="4C876AA5"/>
    <w:rsid w:val="4D0E00FB"/>
    <w:rsid w:val="4D176606"/>
    <w:rsid w:val="4DEC4FB0"/>
    <w:rsid w:val="4E075D8A"/>
    <w:rsid w:val="4EC00FAD"/>
    <w:rsid w:val="4F9843DC"/>
    <w:rsid w:val="4FC62A8C"/>
    <w:rsid w:val="4FE20F0D"/>
    <w:rsid w:val="4FE51552"/>
    <w:rsid w:val="50504C4B"/>
    <w:rsid w:val="509C6E7C"/>
    <w:rsid w:val="5162104E"/>
    <w:rsid w:val="53A039CC"/>
    <w:rsid w:val="53A1505A"/>
    <w:rsid w:val="54063E08"/>
    <w:rsid w:val="543437E8"/>
    <w:rsid w:val="54F73313"/>
    <w:rsid w:val="54F80955"/>
    <w:rsid w:val="555170A7"/>
    <w:rsid w:val="5587536D"/>
    <w:rsid w:val="559B174B"/>
    <w:rsid w:val="55CE0CF4"/>
    <w:rsid w:val="56B22A9C"/>
    <w:rsid w:val="57B72A76"/>
    <w:rsid w:val="57C3426C"/>
    <w:rsid w:val="57CE1F93"/>
    <w:rsid w:val="588743D1"/>
    <w:rsid w:val="5887701A"/>
    <w:rsid w:val="59C0439F"/>
    <w:rsid w:val="5ABE2233"/>
    <w:rsid w:val="5BDF5D95"/>
    <w:rsid w:val="5BFE7528"/>
    <w:rsid w:val="5E2467F1"/>
    <w:rsid w:val="5F1A2B43"/>
    <w:rsid w:val="5FB837BB"/>
    <w:rsid w:val="60CC405A"/>
    <w:rsid w:val="61E215D8"/>
    <w:rsid w:val="621B3775"/>
    <w:rsid w:val="62364782"/>
    <w:rsid w:val="6394356A"/>
    <w:rsid w:val="63C61B2C"/>
    <w:rsid w:val="63D40BE9"/>
    <w:rsid w:val="64102431"/>
    <w:rsid w:val="643D4132"/>
    <w:rsid w:val="64A5243A"/>
    <w:rsid w:val="64F531DE"/>
    <w:rsid w:val="65373578"/>
    <w:rsid w:val="671F124A"/>
    <w:rsid w:val="677A33C6"/>
    <w:rsid w:val="681F6961"/>
    <w:rsid w:val="68610A2F"/>
    <w:rsid w:val="68805514"/>
    <w:rsid w:val="69316E2F"/>
    <w:rsid w:val="694E2071"/>
    <w:rsid w:val="69766163"/>
    <w:rsid w:val="697A3B33"/>
    <w:rsid w:val="69D44760"/>
    <w:rsid w:val="6A520EC7"/>
    <w:rsid w:val="6AF87E20"/>
    <w:rsid w:val="6B322639"/>
    <w:rsid w:val="6C636C38"/>
    <w:rsid w:val="6DB34098"/>
    <w:rsid w:val="6DB545B6"/>
    <w:rsid w:val="6DE02FB4"/>
    <w:rsid w:val="6E514CED"/>
    <w:rsid w:val="6EB563D5"/>
    <w:rsid w:val="6ED92677"/>
    <w:rsid w:val="6F225983"/>
    <w:rsid w:val="6FFC5590"/>
    <w:rsid w:val="706D1DD0"/>
    <w:rsid w:val="70856B87"/>
    <w:rsid w:val="70D527EE"/>
    <w:rsid w:val="715B5300"/>
    <w:rsid w:val="71D27F8A"/>
    <w:rsid w:val="72553024"/>
    <w:rsid w:val="73122968"/>
    <w:rsid w:val="731F5D5E"/>
    <w:rsid w:val="73C51AD5"/>
    <w:rsid w:val="741E793C"/>
    <w:rsid w:val="745E3944"/>
    <w:rsid w:val="7635099D"/>
    <w:rsid w:val="77762421"/>
    <w:rsid w:val="77B56B1F"/>
    <w:rsid w:val="780F09F4"/>
    <w:rsid w:val="78A90480"/>
    <w:rsid w:val="7A364017"/>
    <w:rsid w:val="7A8265E1"/>
    <w:rsid w:val="7B686D42"/>
    <w:rsid w:val="7B841746"/>
    <w:rsid w:val="7C6C5AC7"/>
    <w:rsid w:val="7CC6544B"/>
    <w:rsid w:val="7D0239FF"/>
    <w:rsid w:val="7D5E40CD"/>
    <w:rsid w:val="7DCD56F2"/>
    <w:rsid w:val="7F001CE7"/>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ocked="1"/>
    <w:lsdException w:unhideWhenUsed="0" w:uiPriority="0" w:semiHidden="0" w:name="footnote text" w:locked="1"/>
    <w:lsdException w:qFormat="1" w:unhideWhenUsed="0" w:uiPriority="0" w:name="annotation text"/>
    <w:lsdException w:unhideWhenUsed="0" w:uiPriority="0" w:semiHidden="0" w:name="header"/>
    <w:lsdException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unhideWhenUsed="0" w:uiPriority="99"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uiPriority="99" w:name="Normal Table"/>
    <w:lsdException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nhideWhenUsed="0" w:uiPriority="0" w:name="Balloon Text"/>
    <w:lsdException w:qFormat="1" w:unhideWhenUsed="0" w:uiPriority="0" w:semiHidden="0" w:name="Table Grid"/>
    <w:lsdException w:uiPriority="0" w:name="Table Theme" w:locked="1"/>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link w:val="51"/>
    <w:semiHidden/>
    <w:unhideWhenUsed/>
    <w:qFormat/>
    <w:locked/>
    <w:uiPriority w:val="0"/>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5"/>
    <w:semiHidden/>
    <w:qFormat/>
    <w:uiPriority w:val="0"/>
    <w:pPr>
      <w:jc w:val="left"/>
    </w:pPr>
    <w:rPr>
      <w:kern w:val="0"/>
      <w:sz w:val="24"/>
      <w:szCs w:val="20"/>
      <w:lang w:val="zh-CN"/>
    </w:rPr>
  </w:style>
  <w:style w:type="paragraph" w:styleId="5">
    <w:name w:val="Body Text 3"/>
    <w:basedOn w:val="1"/>
    <w:link w:val="49"/>
    <w:locked/>
    <w:uiPriority w:val="0"/>
    <w:pPr>
      <w:spacing w:after="120"/>
    </w:pPr>
    <w:rPr>
      <w:sz w:val="16"/>
      <w:szCs w:val="16"/>
      <w:lang w:val="zh-CN"/>
    </w:rPr>
  </w:style>
  <w:style w:type="paragraph" w:styleId="6">
    <w:name w:val="Body Text"/>
    <w:basedOn w:val="1"/>
    <w:link w:val="24"/>
    <w:uiPriority w:val="0"/>
    <w:pPr>
      <w:widowControl/>
      <w:snapToGrid w:val="0"/>
      <w:spacing w:before="60" w:after="160" w:line="259" w:lineRule="auto"/>
      <w:ind w:right="113"/>
    </w:pPr>
    <w:rPr>
      <w:kern w:val="0"/>
      <w:sz w:val="18"/>
      <w:szCs w:val="20"/>
      <w:lang w:val="zh-CN"/>
    </w:rPr>
  </w:style>
  <w:style w:type="paragraph" w:styleId="7">
    <w:name w:val="Body Text Indent"/>
    <w:basedOn w:val="1"/>
    <w:link w:val="33"/>
    <w:uiPriority w:val="0"/>
    <w:pPr>
      <w:spacing w:after="120"/>
      <w:ind w:left="420" w:leftChars="200"/>
    </w:pPr>
    <w:rPr>
      <w:kern w:val="0"/>
      <w:sz w:val="24"/>
      <w:szCs w:val="20"/>
      <w:lang w:val="zh-CN"/>
    </w:rPr>
  </w:style>
  <w:style w:type="paragraph" w:styleId="8">
    <w:name w:val="Date"/>
    <w:basedOn w:val="1"/>
    <w:next w:val="1"/>
    <w:link w:val="20"/>
    <w:qFormat/>
    <w:uiPriority w:val="0"/>
    <w:pPr>
      <w:ind w:left="100" w:leftChars="2500"/>
    </w:pPr>
    <w:rPr>
      <w:kern w:val="0"/>
      <w:sz w:val="24"/>
      <w:szCs w:val="20"/>
      <w:lang w:val="zh-CN"/>
    </w:rPr>
  </w:style>
  <w:style w:type="paragraph" w:styleId="9">
    <w:name w:val="Balloon Text"/>
    <w:basedOn w:val="1"/>
    <w:link w:val="29"/>
    <w:semiHidden/>
    <w:uiPriority w:val="0"/>
    <w:rPr>
      <w:kern w:val="0"/>
      <w:sz w:val="18"/>
      <w:szCs w:val="20"/>
      <w:lang w:val="zh-CN"/>
    </w:rPr>
  </w:style>
  <w:style w:type="paragraph" w:styleId="10">
    <w:name w:val="footer"/>
    <w:basedOn w:val="1"/>
    <w:link w:val="19"/>
    <w:uiPriority w:val="99"/>
    <w:pPr>
      <w:tabs>
        <w:tab w:val="center" w:pos="4153"/>
        <w:tab w:val="right" w:pos="8306"/>
      </w:tabs>
      <w:snapToGrid w:val="0"/>
      <w:jc w:val="left"/>
    </w:pPr>
    <w:rPr>
      <w:kern w:val="0"/>
      <w:sz w:val="18"/>
      <w:szCs w:val="20"/>
      <w:lang w:val="zh-CN"/>
    </w:rPr>
  </w:style>
  <w:style w:type="paragraph" w:styleId="11">
    <w:name w:val="header"/>
    <w:basedOn w:val="1"/>
    <w:link w:val="31"/>
    <w:uiPriority w:val="0"/>
    <w:pPr>
      <w:pBdr>
        <w:bottom w:val="single" w:color="auto" w:sz="6" w:space="1"/>
      </w:pBdr>
      <w:tabs>
        <w:tab w:val="center" w:pos="4153"/>
        <w:tab w:val="right" w:pos="8306"/>
      </w:tabs>
      <w:snapToGrid w:val="0"/>
      <w:jc w:val="center"/>
    </w:pPr>
    <w:rPr>
      <w:kern w:val="0"/>
      <w:sz w:val="18"/>
      <w:szCs w:val="20"/>
      <w:lang w:val="zh-CN"/>
    </w:rPr>
  </w:style>
  <w:style w:type="paragraph" w:styleId="12">
    <w:name w:val="Normal (Web)"/>
    <w:basedOn w:val="1"/>
    <w:link w:val="22"/>
    <w:uiPriority w:val="99"/>
    <w:pPr>
      <w:widowControl/>
      <w:spacing w:before="100" w:beforeAutospacing="1" w:after="100" w:afterAutospacing="1"/>
      <w:jc w:val="left"/>
    </w:pPr>
    <w:rPr>
      <w:rFonts w:ascii="宋体" w:hAnsi="宋体"/>
      <w:kern w:val="0"/>
      <w:sz w:val="24"/>
      <w:szCs w:val="20"/>
      <w:lang w:val="zh-CN"/>
    </w:rPr>
  </w:style>
  <w:style w:type="paragraph" w:styleId="13">
    <w:name w:val="annotation subject"/>
    <w:basedOn w:val="4"/>
    <w:next w:val="4"/>
    <w:link w:val="30"/>
    <w:semiHidden/>
    <w:uiPriority w:val="0"/>
    <w:rPr>
      <w:b/>
      <w:kern w:val="2"/>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locked/>
    <w:uiPriority w:val="0"/>
  </w:style>
  <w:style w:type="character" w:styleId="18">
    <w:name w:val="annotation reference"/>
    <w:semiHidden/>
    <w:qFormat/>
    <w:uiPriority w:val="0"/>
    <w:rPr>
      <w:sz w:val="21"/>
    </w:rPr>
  </w:style>
  <w:style w:type="character" w:customStyle="1" w:styleId="19">
    <w:name w:val="页脚 字符1"/>
    <w:link w:val="10"/>
    <w:qFormat/>
    <w:locked/>
    <w:uiPriority w:val="99"/>
    <w:rPr>
      <w:sz w:val="18"/>
    </w:rPr>
  </w:style>
  <w:style w:type="character" w:customStyle="1" w:styleId="20">
    <w:name w:val="日期 字符1"/>
    <w:link w:val="8"/>
    <w:qFormat/>
    <w:locked/>
    <w:uiPriority w:val="0"/>
    <w:rPr>
      <w:rFonts w:ascii="Times New Roman" w:hAnsi="Times New Roman" w:eastAsia="宋体"/>
      <w:sz w:val="24"/>
    </w:rPr>
  </w:style>
  <w:style w:type="character" w:customStyle="1" w:styleId="21">
    <w:name w:val="页脚 字符"/>
    <w:basedOn w:val="16"/>
    <w:qFormat/>
    <w:uiPriority w:val="99"/>
  </w:style>
  <w:style w:type="character" w:customStyle="1" w:styleId="22">
    <w:name w:val="普通(网站) 字符"/>
    <w:link w:val="12"/>
    <w:qFormat/>
    <w:locked/>
    <w:uiPriority w:val="0"/>
    <w:rPr>
      <w:rFonts w:ascii="宋体" w:hAnsi="宋体" w:eastAsia="宋体"/>
      <w:sz w:val="24"/>
    </w:rPr>
  </w:style>
  <w:style w:type="character" w:customStyle="1" w:styleId="23">
    <w:name w:val="正文文本 字符1"/>
    <w:semiHidden/>
    <w:qFormat/>
    <w:uiPriority w:val="0"/>
    <w:rPr>
      <w:rFonts w:ascii="Times New Roman" w:hAnsi="Times New Roman" w:eastAsia="宋体"/>
      <w:sz w:val="24"/>
    </w:rPr>
  </w:style>
  <w:style w:type="character" w:customStyle="1" w:styleId="24">
    <w:name w:val="正文文本 字符"/>
    <w:link w:val="6"/>
    <w:qFormat/>
    <w:locked/>
    <w:uiPriority w:val="0"/>
    <w:rPr>
      <w:sz w:val="18"/>
    </w:rPr>
  </w:style>
  <w:style w:type="character" w:customStyle="1" w:styleId="25">
    <w:name w:val="批注文字 字符"/>
    <w:link w:val="4"/>
    <w:qFormat/>
    <w:locked/>
    <w:uiPriority w:val="0"/>
    <w:rPr>
      <w:rFonts w:ascii="Times New Roman" w:hAnsi="Times New Roman" w:eastAsia="宋体"/>
      <w:sz w:val="24"/>
    </w:rPr>
  </w:style>
  <w:style w:type="character" w:customStyle="1" w:styleId="26">
    <w:name w:val="表格 Char"/>
    <w:link w:val="27"/>
    <w:qFormat/>
    <w:locked/>
    <w:uiPriority w:val="0"/>
    <w:rPr>
      <w:rFonts w:ascii="宋体"/>
      <w:sz w:val="21"/>
    </w:rPr>
  </w:style>
  <w:style w:type="paragraph" w:customStyle="1" w:styleId="27">
    <w:name w:val="表格"/>
    <w:basedOn w:val="1"/>
    <w:next w:val="1"/>
    <w:link w:val="26"/>
    <w:qFormat/>
    <w:uiPriority w:val="0"/>
    <w:pPr>
      <w:adjustRightInd w:val="0"/>
      <w:snapToGrid w:val="0"/>
      <w:spacing w:beforeLines="10" w:afterLines="10" w:line="259" w:lineRule="auto"/>
      <w:jc w:val="center"/>
    </w:pPr>
    <w:rPr>
      <w:rFonts w:ascii="宋体"/>
      <w:kern w:val="0"/>
      <w:szCs w:val="20"/>
      <w:lang w:val="zh-CN"/>
    </w:rPr>
  </w:style>
  <w:style w:type="character" w:customStyle="1" w:styleId="28">
    <w:name w:val="日期 字符"/>
    <w:semiHidden/>
    <w:qFormat/>
    <w:uiPriority w:val="0"/>
    <w:rPr>
      <w:rFonts w:ascii="Times New Roman" w:hAnsi="Times New Roman" w:eastAsia="宋体"/>
      <w:sz w:val="24"/>
    </w:rPr>
  </w:style>
  <w:style w:type="character" w:customStyle="1" w:styleId="29">
    <w:name w:val="批注框文本 字符"/>
    <w:link w:val="9"/>
    <w:semiHidden/>
    <w:qFormat/>
    <w:locked/>
    <w:uiPriority w:val="0"/>
    <w:rPr>
      <w:rFonts w:ascii="Times New Roman" w:hAnsi="Times New Roman" w:eastAsia="宋体"/>
      <w:sz w:val="18"/>
    </w:rPr>
  </w:style>
  <w:style w:type="character" w:customStyle="1" w:styleId="30">
    <w:name w:val="批注主题 字符"/>
    <w:link w:val="13"/>
    <w:semiHidden/>
    <w:qFormat/>
    <w:locked/>
    <w:uiPriority w:val="0"/>
    <w:rPr>
      <w:rFonts w:ascii="Times New Roman" w:hAnsi="Times New Roman" w:eastAsia="宋体"/>
      <w:b/>
      <w:kern w:val="2"/>
      <w:sz w:val="24"/>
    </w:rPr>
  </w:style>
  <w:style w:type="character" w:customStyle="1" w:styleId="31">
    <w:name w:val="页眉 字符"/>
    <w:link w:val="11"/>
    <w:qFormat/>
    <w:locked/>
    <w:uiPriority w:val="0"/>
    <w:rPr>
      <w:sz w:val="18"/>
    </w:rPr>
  </w:style>
  <w:style w:type="character" w:customStyle="1" w:styleId="32">
    <w:name w:val="批注文字 字符1"/>
    <w:semiHidden/>
    <w:qFormat/>
    <w:uiPriority w:val="0"/>
    <w:rPr>
      <w:rFonts w:ascii="Times New Roman" w:hAnsi="Times New Roman" w:eastAsia="宋体"/>
      <w:sz w:val="24"/>
    </w:rPr>
  </w:style>
  <w:style w:type="character" w:customStyle="1" w:styleId="33">
    <w:name w:val="正文文本缩进 字符"/>
    <w:link w:val="7"/>
    <w:semiHidden/>
    <w:qFormat/>
    <w:locked/>
    <w:uiPriority w:val="0"/>
    <w:rPr>
      <w:rFonts w:ascii="Times New Roman" w:hAnsi="Times New Roman" w:eastAsia="宋体"/>
      <w:sz w:val="24"/>
    </w:rPr>
  </w:style>
  <w:style w:type="paragraph" w:customStyle="1" w:styleId="34">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36">
    <w:name w:val="13"/>
    <w:basedOn w:val="1"/>
    <w:link w:val="37"/>
    <w:qFormat/>
    <w:uiPriority w:val="0"/>
    <w:pPr>
      <w:wordWrap w:val="0"/>
      <w:autoSpaceDE w:val="0"/>
      <w:autoSpaceDN w:val="0"/>
      <w:adjustRightInd w:val="0"/>
      <w:jc w:val="center"/>
    </w:pPr>
    <w:rPr>
      <w:kern w:val="0"/>
      <w:szCs w:val="21"/>
    </w:rPr>
  </w:style>
  <w:style w:type="character" w:customStyle="1" w:styleId="37">
    <w:name w:val="13 Char"/>
    <w:link w:val="36"/>
    <w:qFormat/>
    <w:uiPriority w:val="0"/>
    <w:rPr>
      <w:sz w:val="21"/>
      <w:szCs w:val="21"/>
    </w:rPr>
  </w:style>
  <w:style w:type="paragraph" w:customStyle="1" w:styleId="38">
    <w:name w:val="12"/>
    <w:basedOn w:val="1"/>
    <w:link w:val="39"/>
    <w:qFormat/>
    <w:uiPriority w:val="0"/>
    <w:pPr>
      <w:wordWrap w:val="0"/>
      <w:topLinePunct/>
      <w:adjustRightInd w:val="0"/>
      <w:snapToGrid w:val="0"/>
      <w:spacing w:line="360" w:lineRule="auto"/>
      <w:ind w:firstLine="200" w:firstLineChars="200"/>
      <w:jc w:val="left"/>
    </w:pPr>
    <w:rPr>
      <w:sz w:val="24"/>
    </w:rPr>
  </w:style>
  <w:style w:type="character" w:customStyle="1" w:styleId="39">
    <w:name w:val="12 Char"/>
    <w:link w:val="38"/>
    <w:qFormat/>
    <w:uiPriority w:val="0"/>
    <w:rPr>
      <w:kern w:val="2"/>
      <w:sz w:val="24"/>
      <w:szCs w:val="24"/>
    </w:rPr>
  </w:style>
  <w:style w:type="paragraph" w:customStyle="1" w:styleId="40">
    <w:name w:val="14"/>
    <w:basedOn w:val="1"/>
    <w:link w:val="41"/>
    <w:qFormat/>
    <w:uiPriority w:val="0"/>
    <w:pPr>
      <w:tabs>
        <w:tab w:val="right" w:pos="8306"/>
      </w:tabs>
      <w:spacing w:line="360" w:lineRule="auto"/>
      <w:jc w:val="center"/>
    </w:pPr>
    <w:rPr>
      <w:b/>
      <w:bCs/>
      <w:color w:val="000000"/>
      <w:szCs w:val="21"/>
    </w:rPr>
  </w:style>
  <w:style w:type="character" w:customStyle="1" w:styleId="41">
    <w:name w:val="14 Char"/>
    <w:link w:val="40"/>
    <w:qFormat/>
    <w:uiPriority w:val="0"/>
    <w:rPr>
      <w:b/>
      <w:bCs/>
      <w:color w:val="000000"/>
      <w:kern w:val="2"/>
      <w:sz w:val="21"/>
      <w:szCs w:val="21"/>
    </w:rPr>
  </w:style>
  <w:style w:type="paragraph" w:customStyle="1" w:styleId="42">
    <w:name w:val="Normal_0"/>
    <w:basedOn w:val="1"/>
    <w:qFormat/>
    <w:uiPriority w:val="0"/>
    <w:pPr>
      <w:spacing w:line="360" w:lineRule="auto"/>
      <w:ind w:firstLine="200" w:firstLineChars="200"/>
    </w:pPr>
    <w:rPr>
      <w:rFonts w:eastAsia="仿宋"/>
      <w:sz w:val="28"/>
      <w:szCs w:val="28"/>
    </w:rPr>
  </w:style>
  <w:style w:type="character" w:customStyle="1" w:styleId="43">
    <w:name w:val="10"/>
    <w:qFormat/>
    <w:uiPriority w:val="0"/>
    <w:rPr>
      <w:rFonts w:hint="default" w:ascii="Calibri" w:hAnsi="Calibri" w:cs="Calibri"/>
    </w:rPr>
  </w:style>
  <w:style w:type="paragraph" w:customStyle="1" w:styleId="44">
    <w:name w:val="Normal_0_0"/>
    <w:qFormat/>
    <w:uiPriority w:val="0"/>
    <w:pPr>
      <w:widowControl w:val="0"/>
      <w:spacing w:line="360" w:lineRule="auto"/>
      <w:ind w:firstLine="200" w:firstLineChars="200"/>
      <w:jc w:val="both"/>
    </w:pPr>
    <w:rPr>
      <w:rFonts w:ascii="Times New Roman" w:hAnsi="Times New Roman" w:eastAsia="仿宋" w:cs="Times New Roman"/>
      <w:kern w:val="2"/>
      <w:sz w:val="28"/>
      <w:szCs w:val="21"/>
      <w:lang w:val="en-US" w:eastAsia="zh-CN" w:bidi="ar-SA"/>
    </w:rPr>
  </w:style>
  <w:style w:type="table" w:customStyle="1" w:styleId="45">
    <w:name w:val="Table Grid_0"/>
    <w:basedOn w:val="14"/>
    <w:qFormat/>
    <w:uiPriority w:val="0"/>
    <w:rPr>
      <w:rFonts w:eastAsia="仿宋"/>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6">
    <w:name w:val="表内容 Char"/>
    <w:link w:val="47"/>
    <w:qFormat/>
    <w:uiPriority w:val="0"/>
    <w:rPr>
      <w:kern w:val="2"/>
      <w:sz w:val="21"/>
      <w:szCs w:val="21"/>
    </w:rPr>
  </w:style>
  <w:style w:type="paragraph" w:customStyle="1" w:styleId="47">
    <w:name w:val="表内容"/>
    <w:basedOn w:val="1"/>
    <w:next w:val="1"/>
    <w:link w:val="46"/>
    <w:qFormat/>
    <w:uiPriority w:val="0"/>
    <w:pPr>
      <w:jc w:val="center"/>
    </w:pPr>
    <w:rPr>
      <w:szCs w:val="21"/>
    </w:rPr>
  </w:style>
  <w:style w:type="character" w:customStyle="1" w:styleId="48">
    <w:name w:val="正文文本 3 字符"/>
    <w:basedOn w:val="16"/>
    <w:qFormat/>
    <w:uiPriority w:val="0"/>
    <w:rPr>
      <w:kern w:val="2"/>
      <w:sz w:val="16"/>
      <w:szCs w:val="16"/>
    </w:rPr>
  </w:style>
  <w:style w:type="character" w:customStyle="1" w:styleId="49">
    <w:name w:val="正文文本 3 字符1"/>
    <w:link w:val="5"/>
    <w:qFormat/>
    <w:uiPriority w:val="0"/>
    <w:rPr>
      <w:kern w:val="2"/>
      <w:sz w:val="16"/>
      <w:szCs w:val="16"/>
      <w:lang w:val="zh-CN" w:eastAsia="zh-CN"/>
    </w:rPr>
  </w:style>
  <w:style w:type="paragraph" w:customStyle="1" w:styleId="50">
    <w:name w:val="表格字体"/>
    <w:qFormat/>
    <w:uiPriority w:val="0"/>
    <w:pPr>
      <w:snapToGrid w:val="0"/>
      <w:jc w:val="center"/>
    </w:pPr>
    <w:rPr>
      <w:rFonts w:ascii="Times New Roman" w:hAnsi="Times New Roman" w:eastAsia="宋体" w:cs="Times New Roman"/>
      <w:kern w:val="2"/>
      <w:sz w:val="21"/>
      <w:lang w:val="en-US" w:eastAsia="zh-CN" w:bidi="ar-SA"/>
    </w:rPr>
  </w:style>
  <w:style w:type="character" w:customStyle="1" w:styleId="51">
    <w:name w:val="标题 3 字符"/>
    <w:basedOn w:val="16"/>
    <w:link w:val="3"/>
    <w:semiHidden/>
    <w:qFormat/>
    <w:uiPriority w:val="0"/>
    <w:rPr>
      <w:b/>
      <w:bCs/>
      <w:kern w:val="2"/>
      <w:sz w:val="32"/>
      <w:szCs w:val="32"/>
    </w:rPr>
  </w:style>
  <w:style w:type="paragraph" w:customStyle="1" w:styleId="52">
    <w:name w:val="表格文字"/>
    <w:basedOn w:val="1"/>
    <w:next w:val="1"/>
    <w:qFormat/>
    <w:uiPriority w:val="0"/>
    <w:pPr>
      <w:adjustRightInd w:val="0"/>
      <w:spacing w:line="300" w:lineRule="exact"/>
      <w:ind w:firstLine="200" w:firstLineChars="200"/>
      <w:jc w:val="center"/>
      <w:textAlignment w:val="center"/>
    </w:pPr>
    <w:rPr>
      <w:rFonts w:ascii="宋体"/>
      <w:b/>
      <w:bCs/>
      <w:sz w:val="18"/>
      <w:szCs w:val="20"/>
    </w:rPr>
  </w:style>
  <w:style w:type="paragraph" w:customStyle="1" w:styleId="53">
    <w:name w:val="Default"/>
    <w:link w:val="54"/>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54">
    <w:name w:val="Default 字符"/>
    <w:link w:val="53"/>
    <w:qFormat/>
    <w:uiPriority w:val="0"/>
    <w:rPr>
      <w:rFonts w:ascii="宋体"/>
      <w:color w:val="000000"/>
      <w:sz w:val="24"/>
      <w:szCs w:val="24"/>
    </w:rPr>
  </w:style>
  <w:style w:type="character" w:styleId="55">
    <w:name w:val="Placeholder Text"/>
    <w:basedOn w:val="16"/>
    <w:semiHidden/>
    <w:qFormat/>
    <w:uiPriority w:val="99"/>
    <w:rPr>
      <w:color w:val="808080"/>
    </w:rPr>
  </w:style>
  <w:style w:type="paragraph" w:styleId="56">
    <w:name w:val="List Paragraph"/>
    <w:basedOn w:val="1"/>
    <w:qFormat/>
    <w:uiPriority w:val="99"/>
    <w:pPr>
      <w:ind w:firstLine="420" w:firstLineChars="200"/>
    </w:pPr>
  </w:style>
  <w:style w:type="paragraph" w:customStyle="1" w:styleId="57">
    <w:name w:val="正文-龙池"/>
    <w:basedOn w:val="1"/>
    <w:qFormat/>
    <w:uiPriority w:val="0"/>
    <w:pPr>
      <w:autoSpaceDE w:val="0"/>
      <w:autoSpaceDN w:val="0"/>
      <w:adjustRightInd w:val="0"/>
      <w:spacing w:line="360" w:lineRule="auto"/>
      <w:ind w:firstLine="480" w:firstLineChars="200"/>
      <w:contextualSpacing/>
    </w:pPr>
    <w:rPr>
      <w:kern w:val="0"/>
      <w:sz w:val="24"/>
    </w:rPr>
  </w:style>
  <w:style w:type="paragraph" w:customStyle="1" w:styleId="58">
    <w:name w:val="标题-龙池"/>
    <w:basedOn w:val="1"/>
    <w:qFormat/>
    <w:uiPriority w:val="0"/>
    <w:pPr>
      <w:tabs>
        <w:tab w:val="left" w:pos="841"/>
      </w:tabs>
      <w:kinsoku w:val="0"/>
      <w:overflowPunct w:val="0"/>
      <w:autoSpaceDE w:val="0"/>
      <w:autoSpaceDN w:val="0"/>
      <w:adjustRightInd w:val="0"/>
      <w:spacing w:line="360" w:lineRule="auto"/>
      <w:contextualSpacing/>
      <w:jc w:val="center"/>
    </w:pPr>
    <w:rPr>
      <w:b/>
      <w:kern w:val="0"/>
      <w:szCs w:val="21"/>
    </w:rPr>
  </w:style>
  <w:style w:type="paragraph" w:customStyle="1" w:styleId="59">
    <w:name w:val="表格内容-龙池"/>
    <w:basedOn w:val="1"/>
    <w:qFormat/>
    <w:uiPriority w:val="0"/>
    <w:pPr>
      <w:autoSpaceDE w:val="0"/>
      <w:autoSpaceDN w:val="0"/>
      <w:adjustRightInd w:val="0"/>
      <w:contextualSpacing/>
      <w:jc w:val="center"/>
    </w:pPr>
    <w:rPr>
      <w:kern w:val="0"/>
      <w:szCs w:val="21"/>
    </w:rPr>
  </w:style>
  <w:style w:type="paragraph" w:customStyle="1" w:styleId="60">
    <w:name w:val="正文文本缩进1"/>
    <w:basedOn w:val="1"/>
    <w:qFormat/>
    <w:uiPriority w:val="0"/>
    <w:pPr>
      <w:spacing w:line="360" w:lineRule="auto"/>
      <w:ind w:firstLine="480"/>
    </w:pPr>
    <w:rPr>
      <w:rFonts w:ascii="宋体"/>
      <w:sz w:val="24"/>
    </w:rPr>
  </w:style>
  <w:style w:type="paragraph" w:styleId="61">
    <w:name w:val="No Spacing"/>
    <w:next w:val="1"/>
    <w:qFormat/>
    <w:uiPriority w:val="1"/>
    <w:pPr>
      <w:widowControl w:val="0"/>
      <w:spacing w:line="340" w:lineRule="exact"/>
      <w:jc w:val="center"/>
    </w:pPr>
    <w:rPr>
      <w:rFonts w:ascii="Times New Roman" w:hAnsi="Times New Roman" w:eastAsia="宋体" w:cs="Arial"/>
      <w:snapToGrid w:val="0"/>
      <w:color w:val="1F497D"/>
      <w:sz w:val="21"/>
      <w:szCs w:val="21"/>
      <w:lang w:val="zh-CN" w:eastAsia="zh-CN" w:bidi="ar-SA"/>
    </w:rPr>
  </w:style>
  <w:style w:type="paragraph" w:customStyle="1" w:styleId="62">
    <w:name w:val="表格首行"/>
    <w:basedOn w:val="1"/>
    <w:next w:val="2"/>
    <w:qFormat/>
    <w:uiPriority w:val="0"/>
    <w:pPr>
      <w:adjustRightInd w:val="0"/>
      <w:jc w:val="center"/>
    </w:pPr>
    <w:rPr>
      <w:rFonts w:cs="宋体"/>
      <w:b/>
    </w:rPr>
  </w:style>
  <w:style w:type="paragraph" w:customStyle="1" w:styleId="63">
    <w:name w:val="我的正文"/>
    <w:basedOn w:val="1"/>
    <w:link w:val="64"/>
    <w:qFormat/>
    <w:uiPriority w:val="0"/>
    <w:pPr>
      <w:widowControl/>
      <w:kinsoku w:val="0"/>
      <w:overflowPunct w:val="0"/>
      <w:autoSpaceDE w:val="0"/>
      <w:autoSpaceDN w:val="0"/>
    </w:pPr>
  </w:style>
  <w:style w:type="character" w:customStyle="1" w:styleId="64">
    <w:name w:val="我的正文 字符"/>
    <w:link w:val="63"/>
    <w:qFormat/>
    <w:uiPriority w:val="0"/>
    <w:rPr>
      <w:kern w:val="2"/>
      <w:sz w:val="21"/>
      <w:szCs w:val="24"/>
    </w:rPr>
  </w:style>
  <w:style w:type="paragraph" w:customStyle="1" w:styleId="65">
    <w:name w:val="表内字"/>
    <w:basedOn w:val="1"/>
    <w:link w:val="66"/>
    <w:qFormat/>
    <w:uiPriority w:val="0"/>
    <w:pPr>
      <w:snapToGrid w:val="0"/>
      <w:jc w:val="center"/>
    </w:pPr>
    <w:rPr>
      <w:rFonts w:cs="宋体"/>
      <w:bCs/>
      <w:szCs w:val="21"/>
    </w:rPr>
  </w:style>
  <w:style w:type="character" w:customStyle="1" w:styleId="66">
    <w:name w:val="表内字 字符"/>
    <w:link w:val="65"/>
    <w:qFormat/>
    <w:uiPriority w:val="0"/>
    <w:rPr>
      <w:rFonts w:cs="宋体"/>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wmf"/><Relationship Id="rId16" Type="http://schemas.openxmlformats.org/officeDocument/2006/relationships/image" Target="media/image9.wmf"/><Relationship Id="rId15" Type="http://schemas.openxmlformats.org/officeDocument/2006/relationships/image" Target="media/image8.wmf"/><Relationship Id="rId14" Type="http://schemas.openxmlformats.org/officeDocument/2006/relationships/image" Target="media/image7.wmf"/><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BEDA24-FA85-4D11-8809-9C8F7EADC55D}">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79</Pages>
  <Words>46948</Words>
  <Characters>50957</Characters>
  <Lines>388</Lines>
  <Paragraphs>109</Paragraphs>
  <TotalTime>5684</TotalTime>
  <ScaleCrop>false</ScaleCrop>
  <LinksUpToDate>false</LinksUpToDate>
  <CharactersWithSpaces>51170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2023-05-29T01:53:00Z</dcterms:created>
  <dc:creator>lhj</dc:creator>
  <cp:lastModifiedBy>lx</cp:lastModifiedBy>
  <cp:lastPrinted>2023-06-28T01:41:00Z</cp:lastPrinted>
  <dcterms:modified xsi:type="dcterms:W3CDTF">2024-05-10T01:09:54Z</dcterms:modified>
  <dc:title>附件2</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F2D36DD7EDAD4C8A92018E7508CE3FD8_12</vt:lpwstr>
  </property>
</Properties>
</file>