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仿宋" w:eastAsia="黑体" w:cs="仿宋"/>
          <w:kern w:val="0"/>
          <w:sz w:val="32"/>
          <w:szCs w:val="32"/>
        </w:rPr>
      </w:pPr>
      <w:r>
        <w:rPr>
          <w:rFonts w:hint="eastAsia" w:ascii="黑体" w:hAnsi="仿宋" w:eastAsia="黑体" w:cs="仿宋"/>
          <w:kern w:val="0"/>
          <w:sz w:val="32"/>
          <w:szCs w:val="32"/>
        </w:rPr>
        <w:t>附件</w:t>
      </w:r>
      <w:r>
        <w:rPr>
          <w:rFonts w:ascii="黑体" w:hAnsi="仿宋" w:eastAsia="黑体" w:cs="仿宋"/>
          <w:kern w:val="0"/>
          <w:sz w:val="32"/>
          <w:szCs w:val="32"/>
        </w:rPr>
        <w:t>1</w:t>
      </w:r>
    </w:p>
    <w:p>
      <w:pPr>
        <w:spacing w:line="560" w:lineRule="exact"/>
        <w:rPr>
          <w:rFonts w:ascii="黑体" w:hAnsi="仿宋" w:eastAsia="黑体" w:cs="仿宋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乐山市沙湾区企业人才及团队创扶激励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支持细则</w:t>
      </w:r>
      <w:bookmarkEnd w:id="0"/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对获得市级以上人才项目资金支持的项目或团队，按上级资助标准的</w:t>
      </w:r>
      <w:r>
        <w:rPr>
          <w:rFonts w:ascii="仿宋_GB2312" w:eastAsia="仿宋_GB2312"/>
          <w:sz w:val="32"/>
          <w:szCs w:val="32"/>
        </w:rPr>
        <w:t>50%</w:t>
      </w:r>
      <w:r>
        <w:rPr>
          <w:rFonts w:hint="eastAsia" w:ascii="仿宋_GB2312" w:eastAsia="仿宋_GB2312"/>
          <w:sz w:val="32"/>
          <w:szCs w:val="32"/>
        </w:rPr>
        <w:t>给予配套扶持，单个项目或团队最高不超过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对年主营业务收入首次达到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亿元、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亿元、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亿元、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hint="eastAsia" w:ascii="仿宋_GB2312" w:eastAsia="仿宋_GB2312"/>
          <w:sz w:val="32"/>
          <w:szCs w:val="32"/>
        </w:rPr>
        <w:t>亿元、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亿元、</w:t>
      </w:r>
      <w:r>
        <w:rPr>
          <w:rFonts w:ascii="仿宋_GB2312" w:eastAsia="仿宋_GB2312"/>
          <w:sz w:val="32"/>
          <w:szCs w:val="32"/>
        </w:rPr>
        <w:t>30</w:t>
      </w:r>
      <w:r>
        <w:rPr>
          <w:rFonts w:hint="eastAsia" w:ascii="仿宋_GB2312" w:eastAsia="仿宋_GB2312"/>
          <w:sz w:val="32"/>
          <w:szCs w:val="32"/>
        </w:rPr>
        <w:t>亿元以上，且年纳税额依次达到</w:t>
      </w:r>
      <w:r>
        <w:rPr>
          <w:rFonts w:ascii="仿宋_GB2312" w:eastAsia="仿宋_GB2312"/>
          <w:sz w:val="32"/>
          <w:szCs w:val="32"/>
        </w:rPr>
        <w:t>300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600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1000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2000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4000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6000</w:t>
      </w:r>
      <w:r>
        <w:rPr>
          <w:rFonts w:hint="eastAsia" w:ascii="仿宋_GB2312" w:eastAsia="仿宋_GB2312"/>
          <w:sz w:val="32"/>
          <w:szCs w:val="32"/>
        </w:rPr>
        <w:t>万元以上的民营企业；或对区级财政收入贡献在</w:t>
      </w:r>
      <w:r>
        <w:rPr>
          <w:rFonts w:ascii="仿宋_GB2312" w:eastAsia="仿宋_GB2312"/>
          <w:sz w:val="32"/>
          <w:szCs w:val="32"/>
        </w:rPr>
        <w:t>200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400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600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800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1500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2000</w:t>
      </w:r>
      <w:r>
        <w:rPr>
          <w:rFonts w:hint="eastAsia" w:ascii="仿宋_GB2312" w:eastAsia="仿宋_GB2312"/>
          <w:sz w:val="32"/>
          <w:szCs w:val="32"/>
        </w:rPr>
        <w:t>万元以上，且当年增加幅度超过</w:t>
      </w:r>
      <w:r>
        <w:rPr>
          <w:rFonts w:ascii="仿宋_GB2312" w:eastAsia="仿宋_GB2312"/>
          <w:sz w:val="32"/>
          <w:szCs w:val="32"/>
        </w:rPr>
        <w:t>20%</w:t>
      </w:r>
      <w:r>
        <w:rPr>
          <w:rFonts w:hint="eastAsia" w:ascii="仿宋_GB2312" w:eastAsia="仿宋_GB2312"/>
          <w:sz w:val="32"/>
          <w:szCs w:val="32"/>
        </w:rPr>
        <w:t>，不欠税、欠保和欠工资的规模以上民营企业，每年按照“一事一议”依次对应给予其高层管理团队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40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万元、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万元激励，每家企业累计不超过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万元激励。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对携项目、资金、技术到我区，在新材料、文旅、现代农业、电子商务、现代物流、投融资平台等沙湾重点发展行业和产业，办理工商登记，引入项目投资（技术转化）</w:t>
      </w:r>
      <w:r>
        <w:rPr>
          <w:rFonts w:ascii="仿宋_GB2312" w:eastAsia="仿宋_GB2312"/>
          <w:sz w:val="32"/>
          <w:szCs w:val="32"/>
        </w:rPr>
        <w:t>5000</w:t>
      </w:r>
      <w:r>
        <w:rPr>
          <w:rFonts w:hint="eastAsia" w:ascii="仿宋_GB2312" w:eastAsia="仿宋_GB2312"/>
          <w:sz w:val="32"/>
          <w:szCs w:val="32"/>
        </w:rPr>
        <w:t>万元以上，成效显著和贡献较大的优秀人才，按照“一事一议”“一企一策”，择优给予其法定代表人、项目牵头人或项目团队一次性激励，每人或单个项目团队最高不超过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参加省级及以上技能大赛，并获得省级一类大赛前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名或国家级一类大赛前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名的优秀技能人才，经“一事一议”，给予一次性不超过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万元激励。（国家级、省级是指党中央、国务院及其组成部门和直属机构，省委、省政府及其组成部门和直属机构，协会和社会团体奖励不纳入奖励范畴）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对区内大学生、返乡农民工和科技人才的创业创新典型，吸纳就业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人以上，并正常生产经营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年以上，经“一事一议”，每年度择优给予一次性激励，最高不超过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经区人才工作领导小组“一事一议”议定的其他企业人才激励项目或团队。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第七条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符合本政策规定项目或团队同时符合区内其他支持政策规定的，按照就高不重复的原则予以支持。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74450"/>
    <w:rsid w:val="18F7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2022-03-23T06:21:00Z</dcterms:created>
  <dc:creator>不二</dc:creator>
  <cp:lastModifiedBy>不二</cp:lastModifiedBy>
  <dcterms:modified xsi:type="dcterms:W3CDTF">2022-03-23T06:23:22Z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