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3</w:t>
      </w:r>
    </w:p>
    <w:p>
      <w:pPr>
        <w:spacing w:line="30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</w:p>
    <w:p>
      <w:pPr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bookmarkStart w:id="0" w:name="_GoBack"/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全区房屋建筑和人员聚集场所安全风险整治情况统计表</w:t>
      </w:r>
    </w:p>
    <w:bookmarkEnd w:id="0"/>
    <w:p>
      <w:pPr>
        <w:spacing w:line="400" w:lineRule="exact"/>
        <w:rPr>
          <w:rFonts w:hint="eastAsia" w:asci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填报单位：                                                                      填报时间：</w:t>
      </w:r>
    </w:p>
    <w:tbl>
      <w:tblPr>
        <w:tblStyle w:val="2"/>
        <w:tblW w:w="147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7"/>
        <w:gridCol w:w="2154"/>
        <w:gridCol w:w="2154"/>
        <w:gridCol w:w="2154"/>
        <w:gridCol w:w="2154"/>
        <w:gridCol w:w="2154"/>
        <w:gridCol w:w="1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1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存在问题隐患的建筑（场所、项目）数量</w:t>
            </w:r>
          </w:p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（个）</w:t>
            </w:r>
          </w:p>
        </w:tc>
        <w:tc>
          <w:tcPr>
            <w:tcW w:w="107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排查整治问题隐患</w:t>
            </w:r>
          </w:p>
        </w:tc>
        <w:tc>
          <w:tcPr>
            <w:tcW w:w="18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21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21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总计</w:t>
            </w:r>
          </w:p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（项）</w:t>
            </w:r>
          </w:p>
        </w:tc>
        <w:tc>
          <w:tcPr>
            <w:tcW w:w="4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一般问题隐患</w:t>
            </w:r>
          </w:p>
        </w:tc>
        <w:tc>
          <w:tcPr>
            <w:tcW w:w="4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重大问题隐患</w:t>
            </w:r>
          </w:p>
        </w:tc>
        <w:tc>
          <w:tcPr>
            <w:tcW w:w="18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21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21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排查（项）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已整治（项）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排查（项）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已整治（项）</w:t>
            </w:r>
          </w:p>
        </w:tc>
        <w:tc>
          <w:tcPr>
            <w:tcW w:w="18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4" w:hRule="atLeast"/>
          <w:jc w:val="center"/>
        </w:trPr>
        <w:tc>
          <w:tcPr>
            <w:tcW w:w="2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cs="仿宋_GB2312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E2028"/>
    <w:rsid w:val="2CEE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2021-03-22T01:23:00Z</dcterms:created>
  <dc:creator>不二</dc:creator>
  <cp:lastModifiedBy>不二</cp:lastModifiedBy>
  <dcterms:modified xsi:type="dcterms:W3CDTF">2021-03-22T01:24:40Z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