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olor w:val="000000"/>
          <w:kern w:val="0"/>
          <w:sz w:val="32"/>
          <w:szCs w:val="32"/>
          <w:lang w:val="zh-CN"/>
        </w:rPr>
      </w:pPr>
      <w:r>
        <w:rPr>
          <w:rFonts w:hint="eastAsia" w:ascii="黑体" w:hAnsi="黑体" w:eastAsia="黑体"/>
          <w:color w:val="000000"/>
          <w:kern w:val="0"/>
          <w:sz w:val="32"/>
          <w:szCs w:val="32"/>
          <w:lang w:val="zh-CN"/>
        </w:rPr>
        <w:t>附件2</w:t>
      </w:r>
    </w:p>
    <w:p>
      <w:pPr>
        <w:spacing w:line="560" w:lineRule="exact"/>
        <w:jc w:val="center"/>
        <w:rPr>
          <w:rFonts w:hint="eastAsia" w:ascii="方正小标宋_GBK" w:hAnsi="方正小标宋简体" w:eastAsia="方正小标宋_GBK" w:cs="方正小标宋简体"/>
          <w:color w:val="000000"/>
          <w:kern w:val="0"/>
          <w:sz w:val="44"/>
          <w:szCs w:val="44"/>
          <w:lang w:val="zh-CN"/>
        </w:rPr>
      </w:pPr>
      <w:r>
        <w:rPr>
          <w:rFonts w:hint="eastAsia" w:ascii="仿宋_GB2312" w:hAnsi="仿宋_GB2312" w:eastAsia="仿宋_GB2312" w:cs="仿宋_GB2312"/>
          <w:spacing w:val="-12"/>
          <w:kern w:val="0"/>
          <w:sz w:val="32"/>
          <w:szCs w:val="32"/>
          <w:lang w:val="zh-CN"/>
        </w:rPr>
        <w:t xml:space="preserve">      </w:t>
      </w:r>
      <w:r>
        <w:rPr>
          <w:rFonts w:hint="eastAsia" w:ascii="方正小标宋_GBK" w:hAnsi="仿宋_GB2312" w:eastAsia="方正小标宋_GBK" w:cs="仿宋_GB2312"/>
          <w:spacing w:val="-12"/>
          <w:kern w:val="0"/>
          <w:sz w:val="32"/>
          <w:szCs w:val="32"/>
        </w:rPr>
        <w:t xml:space="preserve"> </w:t>
      </w:r>
      <w:r>
        <w:rPr>
          <w:rFonts w:hint="eastAsia" w:ascii="方正小标宋_GBK" w:hAnsi="方正小标宋简体" w:eastAsia="方正小标宋_GBK" w:cs="方正小标宋简体"/>
          <w:color w:val="000000"/>
          <w:kern w:val="0"/>
          <w:sz w:val="44"/>
          <w:szCs w:val="44"/>
          <w:lang w:val="zh-CN"/>
        </w:rPr>
        <w:t>沙湾区创建四川省农产品质量安全监管示范县目标任务分解表</w:t>
      </w:r>
    </w:p>
    <w:p>
      <w:pPr>
        <w:spacing w:line="320" w:lineRule="exact"/>
        <w:rPr>
          <w:rFonts w:eastAsia="仿宋_GB2312"/>
          <w:color w:val="000000"/>
          <w:kern w:val="0"/>
          <w:sz w:val="32"/>
          <w:szCs w:val="32"/>
          <w:lang w:val="zh-CN"/>
        </w:rPr>
      </w:pPr>
    </w:p>
    <w:tbl>
      <w:tblPr>
        <w:tblStyle w:val="2"/>
        <w:tblW w:w="10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5514"/>
        <w:gridCol w:w="2036"/>
        <w:gridCol w:w="1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28" w:type="dxa"/>
            <w:noWrap w:val="0"/>
            <w:vAlign w:val="center"/>
          </w:tcPr>
          <w:p>
            <w:pPr>
              <w:spacing w:line="320" w:lineRule="exact"/>
              <w:rPr>
                <w:rFonts w:hint="eastAsia" w:ascii="黑体" w:hAnsi="黑体" w:eastAsia="黑体" w:cs="黑体"/>
                <w:bCs/>
                <w:sz w:val="24"/>
              </w:rPr>
            </w:pPr>
            <w:r>
              <w:rPr>
                <w:rFonts w:hint="eastAsia" w:ascii="黑体" w:hAnsi="黑体" w:eastAsia="黑体" w:cs="黑体"/>
                <w:bCs/>
                <w:sz w:val="24"/>
              </w:rPr>
              <w:t>序号</w:t>
            </w:r>
          </w:p>
        </w:tc>
        <w:tc>
          <w:tcPr>
            <w:tcW w:w="5514" w:type="dxa"/>
            <w:noWrap w:val="0"/>
            <w:vAlign w:val="center"/>
          </w:tcPr>
          <w:p>
            <w:pPr>
              <w:spacing w:line="320" w:lineRule="exact"/>
              <w:jc w:val="center"/>
              <w:rPr>
                <w:rFonts w:hint="eastAsia" w:ascii="黑体" w:hAnsi="黑体" w:eastAsia="黑体" w:cs="黑体"/>
                <w:bCs/>
                <w:sz w:val="24"/>
              </w:rPr>
            </w:pPr>
            <w:r>
              <w:rPr>
                <w:rFonts w:hint="eastAsia" w:ascii="黑体" w:hAnsi="黑体" w:eastAsia="黑体" w:cs="黑体"/>
                <w:bCs/>
                <w:sz w:val="24"/>
              </w:rPr>
              <w:t>主要目标责任</w:t>
            </w:r>
          </w:p>
        </w:tc>
        <w:tc>
          <w:tcPr>
            <w:tcW w:w="2036" w:type="dxa"/>
            <w:noWrap w:val="0"/>
            <w:vAlign w:val="center"/>
          </w:tcPr>
          <w:p>
            <w:pPr>
              <w:spacing w:line="320" w:lineRule="exact"/>
              <w:jc w:val="center"/>
              <w:rPr>
                <w:rFonts w:hint="eastAsia" w:ascii="黑体" w:hAnsi="黑体" w:eastAsia="黑体" w:cs="黑体"/>
                <w:bCs/>
                <w:sz w:val="24"/>
              </w:rPr>
            </w:pPr>
            <w:r>
              <w:rPr>
                <w:rFonts w:hint="eastAsia" w:ascii="黑体" w:hAnsi="黑体" w:eastAsia="黑体" w:cs="黑体"/>
                <w:bCs/>
                <w:sz w:val="24"/>
              </w:rPr>
              <w:t>责任主体</w:t>
            </w:r>
          </w:p>
        </w:tc>
        <w:tc>
          <w:tcPr>
            <w:tcW w:w="1648" w:type="dxa"/>
            <w:noWrap w:val="0"/>
            <w:vAlign w:val="center"/>
          </w:tcPr>
          <w:p>
            <w:pPr>
              <w:spacing w:line="320" w:lineRule="exact"/>
              <w:jc w:val="center"/>
              <w:rPr>
                <w:rFonts w:hint="eastAsia" w:ascii="黑体" w:hAnsi="黑体" w:eastAsia="黑体" w:cs="黑体"/>
                <w:bCs/>
                <w:sz w:val="24"/>
              </w:rPr>
            </w:pPr>
            <w:r>
              <w:rPr>
                <w:rFonts w:hint="eastAsia" w:ascii="黑体" w:hAnsi="黑体" w:eastAsia="黑体" w:cs="黑体"/>
                <w:bCs/>
                <w:sz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28" w:type="dxa"/>
            <w:noWrap w:val="0"/>
            <w:vAlign w:val="center"/>
          </w:tcPr>
          <w:p>
            <w:pPr>
              <w:spacing w:line="320" w:lineRule="exact"/>
              <w:jc w:val="center"/>
              <w:rPr>
                <w:rFonts w:ascii="仿宋_GB2312" w:hAnsi="仿宋" w:eastAsia="仿宋_GB2312"/>
                <w:sz w:val="24"/>
              </w:rPr>
            </w:pPr>
            <w:r>
              <w:rPr>
                <w:rFonts w:ascii="仿宋_GB2312" w:hAnsi="仿宋" w:eastAsia="仿宋_GB2312"/>
                <w:sz w:val="24"/>
              </w:rPr>
              <w:t>1</w:t>
            </w:r>
          </w:p>
        </w:tc>
        <w:tc>
          <w:tcPr>
            <w:tcW w:w="5514" w:type="dxa"/>
            <w:noWrap w:val="0"/>
            <w:vAlign w:val="center"/>
          </w:tcPr>
          <w:p>
            <w:pPr>
              <w:spacing w:line="320" w:lineRule="exact"/>
              <w:rPr>
                <w:rFonts w:ascii="仿宋_GB2312" w:hAnsi="仿宋" w:eastAsia="仿宋_GB2312"/>
                <w:color w:val="000000"/>
                <w:kern w:val="0"/>
                <w:sz w:val="24"/>
                <w:lang w:val="zh-CN"/>
              </w:rPr>
            </w:pPr>
            <w:r>
              <w:rPr>
                <w:rFonts w:hint="eastAsia" w:ascii="仿宋_GB2312" w:hAnsi="仿宋" w:eastAsia="仿宋_GB2312"/>
                <w:sz w:val="24"/>
              </w:rPr>
              <w:t>将农产品质量安全监管纳入全区国民经济和社会发展规划</w:t>
            </w:r>
            <w:r>
              <w:rPr>
                <w:rFonts w:hint="eastAsia" w:ascii="仿宋_GB2312" w:hAnsi="仿宋" w:eastAsia="仿宋_GB2312"/>
                <w:color w:val="000000"/>
                <w:kern w:val="0"/>
                <w:sz w:val="24"/>
                <w:lang w:val="zh-CN"/>
              </w:rPr>
              <w:t>。</w:t>
            </w:r>
          </w:p>
        </w:tc>
        <w:tc>
          <w:tcPr>
            <w:tcW w:w="2036" w:type="dxa"/>
            <w:noWrap w:val="0"/>
            <w:vAlign w:val="center"/>
          </w:tcPr>
          <w:p>
            <w:pPr>
              <w:spacing w:line="320" w:lineRule="exact"/>
              <w:jc w:val="center"/>
              <w:rPr>
                <w:rFonts w:ascii="仿宋_GB2312" w:hAnsi="仿宋" w:eastAsia="仿宋_GB2312"/>
                <w:sz w:val="24"/>
              </w:rPr>
            </w:pPr>
            <w:r>
              <w:rPr>
                <w:rFonts w:hint="eastAsia" w:ascii="仿宋_GB2312" w:hAnsi="仿宋" w:eastAsia="仿宋_GB2312"/>
                <w:sz w:val="24"/>
              </w:rPr>
              <w:t>区发改局</w:t>
            </w:r>
          </w:p>
        </w:tc>
        <w:tc>
          <w:tcPr>
            <w:tcW w:w="1648" w:type="dxa"/>
            <w:noWrap w:val="0"/>
            <w:vAlign w:val="center"/>
          </w:tcPr>
          <w:p>
            <w:pPr>
              <w:spacing w:line="320" w:lineRule="exact"/>
              <w:ind w:left="108" w:hanging="108" w:hangingChars="45"/>
              <w:jc w:val="center"/>
              <w:rPr>
                <w:rFonts w:hint="eastAsia" w:ascii="仿宋_GB2312" w:hAnsi="仿宋" w:eastAsia="仿宋_GB2312"/>
                <w:sz w:val="24"/>
              </w:rPr>
            </w:pPr>
            <w:r>
              <w:rPr>
                <w:rFonts w:hint="eastAsia" w:ascii="仿宋_GB2312" w:hAnsi="仿宋" w:eastAsia="仿宋_GB2312"/>
                <w:sz w:val="24"/>
              </w:rPr>
              <w:t>5月30日前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2</w:t>
            </w: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对创建工作实行目标管理，将创建工作纳入区年度综合目标绩效考核。</w:t>
            </w:r>
          </w:p>
        </w:tc>
        <w:tc>
          <w:tcPr>
            <w:tcW w:w="2036"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区委目标绩效办</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6月30日前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3</w:t>
            </w:r>
          </w:p>
        </w:tc>
        <w:tc>
          <w:tcPr>
            <w:tcW w:w="5514" w:type="dxa"/>
            <w:noWrap w:val="0"/>
            <w:vAlign w:val="center"/>
          </w:tcPr>
          <w:p>
            <w:pPr>
              <w:spacing w:line="320" w:lineRule="exact"/>
              <w:rPr>
                <w:rFonts w:ascii="仿宋_GB2312" w:hAnsi="仿宋" w:eastAsia="仿宋_GB2312"/>
                <w:sz w:val="24"/>
              </w:rPr>
            </w:pPr>
            <w:r>
              <w:rPr>
                <w:rFonts w:hint="eastAsia" w:ascii="仿宋_GB2312" w:hAnsi="仿宋" w:eastAsia="仿宋_GB2312"/>
                <w:sz w:val="24"/>
              </w:rPr>
              <w:t>负责落实农产品质量安全监管年度财政专项资金</w:t>
            </w:r>
            <w:r>
              <w:rPr>
                <w:rFonts w:ascii="仿宋_GB2312" w:hAnsi="仿宋" w:eastAsia="仿宋_GB2312"/>
                <w:sz w:val="24"/>
              </w:rPr>
              <w:t>,</w:t>
            </w:r>
            <w:r>
              <w:rPr>
                <w:rFonts w:hint="eastAsia" w:ascii="仿宋_GB2312" w:hAnsi="仿宋" w:eastAsia="仿宋_GB2312"/>
                <w:sz w:val="24"/>
              </w:rPr>
              <w:t>按当年本级财政收入增长幅度</w:t>
            </w:r>
            <w:r>
              <w:rPr>
                <w:rFonts w:hint="eastAsia" w:ascii="仿宋_GB2312" w:hAnsi="仿宋" w:eastAsia="仿宋_GB2312" w:cs="宋体"/>
                <w:kern w:val="0"/>
                <w:sz w:val="24"/>
              </w:rPr>
              <w:t>逐年递增。</w:t>
            </w:r>
            <w:r>
              <w:rPr>
                <w:rFonts w:hint="eastAsia" w:ascii="仿宋_GB2312" w:hAnsi="仿宋" w:eastAsia="仿宋_GB2312"/>
                <w:sz w:val="24"/>
              </w:rPr>
              <w:t>建立与监管工作要求相适应的经费保障机制；负责创建经费保障、项目资金支持，做好资金监管。</w:t>
            </w:r>
          </w:p>
        </w:tc>
        <w:tc>
          <w:tcPr>
            <w:tcW w:w="2036" w:type="dxa"/>
            <w:noWrap w:val="0"/>
            <w:vAlign w:val="center"/>
          </w:tcPr>
          <w:p>
            <w:pPr>
              <w:spacing w:line="320" w:lineRule="exact"/>
              <w:jc w:val="center"/>
              <w:rPr>
                <w:rFonts w:ascii="仿宋_GB2312" w:hAnsi="仿宋" w:eastAsia="仿宋_GB2312"/>
                <w:sz w:val="24"/>
              </w:rPr>
            </w:pPr>
            <w:r>
              <w:rPr>
                <w:rFonts w:hint="eastAsia" w:ascii="仿宋_GB2312" w:hAnsi="仿宋" w:eastAsia="仿宋_GB2312"/>
                <w:sz w:val="24"/>
              </w:rPr>
              <w:t>区财政局</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5月30日前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4</w:t>
            </w: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依法打击农产品质量安全违法犯罪行为。</w:t>
            </w:r>
          </w:p>
        </w:tc>
        <w:tc>
          <w:tcPr>
            <w:tcW w:w="2036"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区综合执法局、区公安分局</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9月30日前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5</w:t>
            </w: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负责牵头创建工作各项任务及相关职责范围内的工作。</w:t>
            </w:r>
          </w:p>
        </w:tc>
        <w:tc>
          <w:tcPr>
            <w:tcW w:w="2036" w:type="dxa"/>
            <w:noWrap w:val="0"/>
            <w:vAlign w:val="center"/>
          </w:tcPr>
          <w:p>
            <w:pPr>
              <w:spacing w:line="320" w:lineRule="exact"/>
              <w:jc w:val="center"/>
              <w:rPr>
                <w:rFonts w:ascii="仿宋_GB2312" w:hAnsi="仿宋" w:eastAsia="仿宋_GB2312"/>
                <w:sz w:val="24"/>
              </w:rPr>
            </w:pPr>
            <w:r>
              <w:rPr>
                <w:rFonts w:hint="eastAsia" w:ascii="仿宋_GB2312" w:hAnsi="仿宋" w:eastAsia="仿宋_GB2312"/>
                <w:sz w:val="24"/>
              </w:rPr>
              <w:t>区农业农村局</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9月30日前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28" w:type="dxa"/>
            <w:noWrap w:val="0"/>
            <w:vAlign w:val="center"/>
          </w:tcPr>
          <w:p>
            <w:pPr>
              <w:spacing w:line="320" w:lineRule="exact"/>
              <w:ind w:firstLine="240" w:firstLineChars="100"/>
              <w:rPr>
                <w:rFonts w:hint="eastAsia" w:ascii="仿宋_GB2312" w:hAnsi="仿宋" w:eastAsia="仿宋_GB2312"/>
                <w:sz w:val="24"/>
              </w:rPr>
            </w:pPr>
            <w:r>
              <w:rPr>
                <w:rFonts w:hint="eastAsia" w:ascii="仿宋_GB2312" w:hAnsi="仿宋" w:eastAsia="仿宋_GB2312"/>
                <w:sz w:val="24"/>
              </w:rPr>
              <w:t>6</w:t>
            </w: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鼓励培育、打造优势农业品牌和产销服务；设立农业品牌销售专柜或专销区。</w:t>
            </w:r>
          </w:p>
        </w:tc>
        <w:tc>
          <w:tcPr>
            <w:tcW w:w="2036"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区商务局</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6月30日前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7</w:t>
            </w:r>
          </w:p>
        </w:tc>
        <w:tc>
          <w:tcPr>
            <w:tcW w:w="5514" w:type="dxa"/>
            <w:noWrap w:val="0"/>
            <w:vAlign w:val="center"/>
          </w:tcPr>
          <w:p>
            <w:pPr>
              <w:spacing w:line="320" w:lineRule="exact"/>
              <w:rPr>
                <w:rFonts w:ascii="仿宋_GB2312" w:hAnsi="仿宋" w:eastAsia="仿宋_GB2312"/>
                <w:sz w:val="24"/>
              </w:rPr>
            </w:pPr>
            <w:r>
              <w:rPr>
                <w:rFonts w:hint="eastAsia" w:ascii="仿宋_GB2312" w:hAnsi="仿宋" w:eastAsia="仿宋_GB2312"/>
                <w:sz w:val="24"/>
              </w:rPr>
              <w:t>负责制定农产品产地污染防治与保护规划及畜禽养殖面源污染治理规划，建立农产品产地检测管理制度，加强农产品产地环境监测与评价。</w:t>
            </w:r>
          </w:p>
        </w:tc>
        <w:tc>
          <w:tcPr>
            <w:tcW w:w="2036" w:type="dxa"/>
            <w:noWrap w:val="0"/>
            <w:vAlign w:val="center"/>
          </w:tcPr>
          <w:p>
            <w:pPr>
              <w:spacing w:line="320" w:lineRule="exact"/>
              <w:jc w:val="center"/>
              <w:rPr>
                <w:rFonts w:ascii="仿宋_GB2312" w:hAnsi="仿宋" w:eastAsia="仿宋_GB2312"/>
                <w:sz w:val="24"/>
              </w:rPr>
            </w:pPr>
            <w:r>
              <w:rPr>
                <w:rFonts w:hint="eastAsia" w:ascii="仿宋_GB2312" w:hAnsi="仿宋" w:eastAsia="仿宋_GB2312"/>
                <w:sz w:val="24"/>
              </w:rPr>
              <w:t>沙湾生态环境局</w:t>
            </w:r>
          </w:p>
          <w:p>
            <w:pPr>
              <w:spacing w:line="320" w:lineRule="exact"/>
              <w:jc w:val="center"/>
              <w:rPr>
                <w:rFonts w:ascii="仿宋_GB2312" w:hAnsi="仿宋" w:eastAsia="仿宋_GB2312"/>
                <w:sz w:val="24"/>
              </w:rPr>
            </w:pP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6月30日前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jc w:val="center"/>
        </w:trPr>
        <w:tc>
          <w:tcPr>
            <w:tcW w:w="828" w:type="dxa"/>
            <w:noWrap w:val="0"/>
            <w:vAlign w:val="center"/>
          </w:tcPr>
          <w:p>
            <w:pPr>
              <w:spacing w:line="320" w:lineRule="exact"/>
              <w:jc w:val="center"/>
              <w:rPr>
                <w:rFonts w:ascii="仿宋_GB2312" w:hAnsi="仿宋" w:eastAsia="仿宋_GB2312"/>
                <w:sz w:val="24"/>
              </w:rPr>
            </w:pPr>
            <w:r>
              <w:rPr>
                <w:rFonts w:hint="eastAsia" w:ascii="仿宋_GB2312" w:hAnsi="仿宋" w:eastAsia="仿宋_GB2312"/>
                <w:sz w:val="24"/>
              </w:rPr>
              <w:t>8</w:t>
            </w:r>
          </w:p>
          <w:p>
            <w:pPr>
              <w:spacing w:line="320" w:lineRule="exact"/>
              <w:ind w:firstLine="360" w:firstLineChars="150"/>
              <w:jc w:val="center"/>
              <w:rPr>
                <w:rFonts w:hint="eastAsia" w:ascii="仿宋_GB2312" w:hAnsi="仿宋" w:eastAsia="仿宋_GB2312"/>
                <w:sz w:val="24"/>
              </w:rPr>
            </w:pP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1.负责推行入市管理、质量检测、信息公示、不合格产品退市等制度；设立农贸市场快速检测室，开展入市检测工作，年度有检测记录不少于200批次。</w:t>
            </w:r>
          </w:p>
          <w:p>
            <w:pPr>
              <w:spacing w:line="320" w:lineRule="exact"/>
              <w:rPr>
                <w:rFonts w:ascii="仿宋_GB2312" w:hAnsi="仿宋" w:eastAsia="仿宋_GB2312"/>
                <w:sz w:val="24"/>
              </w:rPr>
            </w:pPr>
            <w:r>
              <w:rPr>
                <w:rFonts w:hint="eastAsia" w:ascii="仿宋_GB2312" w:hAnsi="仿宋" w:eastAsia="仿宋_GB2312"/>
                <w:sz w:val="24"/>
              </w:rPr>
              <w:t>2.</w:t>
            </w:r>
            <w:r>
              <w:rPr>
                <w:rFonts w:ascii="仿宋_GB2312" w:hAnsi="仿宋" w:eastAsia="仿宋_GB2312"/>
                <w:sz w:val="24"/>
              </w:rPr>
              <w:t>负责建立安全农产品市场准入制度，加强对市场销售农产品质量安全的监督管理。</w:t>
            </w:r>
          </w:p>
          <w:p>
            <w:pPr>
              <w:spacing w:line="320" w:lineRule="exact"/>
              <w:rPr>
                <w:rFonts w:hint="eastAsia" w:ascii="仿宋_GB2312" w:hAnsi="仿宋" w:eastAsia="仿宋_GB2312"/>
                <w:sz w:val="24"/>
              </w:rPr>
            </w:pPr>
            <w:r>
              <w:rPr>
                <w:rFonts w:hint="eastAsia" w:ascii="仿宋_GB2312" w:hAnsi="仿宋" w:eastAsia="仿宋_GB2312"/>
                <w:sz w:val="24"/>
              </w:rPr>
              <w:t>3.</w:t>
            </w:r>
            <w:r>
              <w:rPr>
                <w:rFonts w:ascii="仿宋_GB2312" w:hAnsi="仿宋" w:eastAsia="仿宋_GB2312"/>
                <w:sz w:val="24"/>
              </w:rPr>
              <w:t>负责食用农产品进入批发、零售市场和生产加工企业后的质量安全监管和监测</w:t>
            </w:r>
            <w:r>
              <w:rPr>
                <w:rFonts w:hint="eastAsia" w:ascii="仿宋_GB2312" w:hAnsi="仿宋" w:eastAsia="仿宋_GB2312"/>
                <w:sz w:val="24"/>
              </w:rPr>
              <w:t>。</w:t>
            </w:r>
          </w:p>
          <w:p>
            <w:pPr>
              <w:spacing w:line="320" w:lineRule="exact"/>
              <w:rPr>
                <w:rFonts w:hint="eastAsia" w:ascii="仿宋_GB2312" w:hAnsi="仿宋" w:eastAsia="仿宋_GB2312"/>
                <w:sz w:val="24"/>
              </w:rPr>
            </w:pPr>
            <w:r>
              <w:rPr>
                <w:rFonts w:hint="eastAsia" w:ascii="仿宋_GB2312" w:hAnsi="仿宋" w:eastAsia="仿宋_GB2312"/>
                <w:sz w:val="24"/>
              </w:rPr>
              <w:t>定期开展监督检查、日常巡查。</w:t>
            </w:r>
          </w:p>
          <w:p>
            <w:pPr>
              <w:spacing w:line="320" w:lineRule="exact"/>
              <w:rPr>
                <w:rFonts w:hint="eastAsia" w:ascii="仿宋_GB2312" w:hAnsi="仿宋" w:eastAsia="仿宋_GB2312"/>
                <w:sz w:val="24"/>
              </w:rPr>
            </w:pPr>
            <w:r>
              <w:rPr>
                <w:rFonts w:hint="eastAsia" w:ascii="仿宋_GB2312" w:hAnsi="仿宋" w:eastAsia="仿宋_GB2312"/>
                <w:sz w:val="24"/>
              </w:rPr>
              <w:t>4.加强对市场销售农产品质量安全的监督管理和食品摊贩管理。</w:t>
            </w:r>
          </w:p>
        </w:tc>
        <w:tc>
          <w:tcPr>
            <w:tcW w:w="2036" w:type="dxa"/>
            <w:noWrap w:val="0"/>
            <w:vAlign w:val="center"/>
          </w:tcPr>
          <w:p>
            <w:pPr>
              <w:spacing w:line="320" w:lineRule="exact"/>
              <w:jc w:val="center"/>
              <w:rPr>
                <w:rFonts w:ascii="仿宋_GB2312" w:hAnsi="仿宋" w:eastAsia="仿宋_GB2312"/>
                <w:sz w:val="24"/>
              </w:rPr>
            </w:pPr>
            <w:r>
              <w:rPr>
                <w:rFonts w:hint="eastAsia" w:ascii="仿宋_GB2312" w:hAnsi="仿宋" w:eastAsia="仿宋_GB2312"/>
                <w:sz w:val="24"/>
              </w:rPr>
              <w:t>区市场监管局、区综合执法局</w:t>
            </w:r>
          </w:p>
          <w:p>
            <w:pPr>
              <w:spacing w:line="320" w:lineRule="exact"/>
              <w:jc w:val="center"/>
              <w:rPr>
                <w:rFonts w:hint="eastAsia" w:ascii="仿宋_GB2312" w:hAnsi="仿宋" w:eastAsia="仿宋_GB2312"/>
                <w:sz w:val="24"/>
              </w:rPr>
            </w:pP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6月30日前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9</w:t>
            </w: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加强农业综合执法、定期开展监督检查、执法检查和日常巡查，深入开展专项整治。</w:t>
            </w:r>
          </w:p>
          <w:p>
            <w:pPr>
              <w:spacing w:line="320" w:lineRule="exact"/>
              <w:rPr>
                <w:rFonts w:hint="eastAsia" w:ascii="仿宋_GB2312" w:hAnsi="仿宋" w:eastAsia="仿宋_GB2312"/>
                <w:sz w:val="24"/>
              </w:rPr>
            </w:pPr>
            <w:r>
              <w:rPr>
                <w:rFonts w:hint="eastAsia" w:ascii="仿宋_GB2312" w:hAnsi="仿宋" w:eastAsia="仿宋_GB2312"/>
                <w:sz w:val="24"/>
              </w:rPr>
              <w:t>1.主要生产基地违法违规使用农业投入品、制假售假和收储运环节非法添加问题查处率达100%。</w:t>
            </w:r>
          </w:p>
          <w:p>
            <w:pPr>
              <w:spacing w:line="320" w:lineRule="exact"/>
              <w:rPr>
                <w:rFonts w:hint="eastAsia" w:ascii="仿宋_GB2312" w:hAnsi="仿宋" w:eastAsia="仿宋_GB2312"/>
                <w:sz w:val="24"/>
              </w:rPr>
            </w:pPr>
            <w:r>
              <w:rPr>
                <w:rFonts w:hint="eastAsia" w:ascii="仿宋_GB2312" w:hAnsi="仿宋" w:eastAsia="仿宋_GB2312"/>
                <w:sz w:val="24"/>
              </w:rPr>
              <w:t>2.假冒“三品一标”等违法违规行为查处率达100%。</w:t>
            </w:r>
          </w:p>
        </w:tc>
        <w:tc>
          <w:tcPr>
            <w:tcW w:w="2036"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区综合执法局</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12月30日前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10</w:t>
            </w:r>
          </w:p>
        </w:tc>
        <w:tc>
          <w:tcPr>
            <w:tcW w:w="5514" w:type="dxa"/>
            <w:noWrap w:val="0"/>
            <w:vAlign w:val="center"/>
          </w:tcPr>
          <w:p>
            <w:pPr>
              <w:spacing w:line="320" w:lineRule="exact"/>
              <w:rPr>
                <w:rFonts w:hint="eastAsia" w:ascii="仿宋_GB2312" w:hAnsi="仿宋" w:eastAsia="仿宋_GB2312"/>
                <w:sz w:val="24"/>
              </w:rPr>
            </w:pPr>
            <w:r>
              <w:rPr>
                <w:rFonts w:hint="eastAsia" w:ascii="仿宋_GB2312" w:hAnsi="仿宋" w:eastAsia="仿宋_GB2312"/>
                <w:sz w:val="24"/>
              </w:rPr>
              <w:t>1.指导流通组织建设、市场网点建设；</w:t>
            </w:r>
          </w:p>
          <w:p>
            <w:pPr>
              <w:spacing w:line="320" w:lineRule="exact"/>
              <w:rPr>
                <w:rFonts w:hint="eastAsia" w:ascii="仿宋_GB2312" w:hAnsi="仿宋" w:eastAsia="仿宋_GB2312"/>
                <w:sz w:val="24"/>
              </w:rPr>
            </w:pPr>
            <w:r>
              <w:rPr>
                <w:rFonts w:hint="eastAsia" w:ascii="仿宋_GB2312" w:hAnsi="仿宋" w:eastAsia="仿宋_GB2312"/>
                <w:sz w:val="24"/>
              </w:rPr>
              <w:t>2.指导全区农资经营、农产品生产流通；</w:t>
            </w:r>
          </w:p>
          <w:p>
            <w:pPr>
              <w:spacing w:line="320" w:lineRule="exact"/>
              <w:rPr>
                <w:rFonts w:hint="eastAsia" w:ascii="仿宋_GB2312" w:hAnsi="仿宋" w:eastAsia="仿宋_GB2312"/>
                <w:sz w:val="24"/>
              </w:rPr>
            </w:pPr>
            <w:r>
              <w:rPr>
                <w:rFonts w:hint="eastAsia" w:ascii="仿宋_GB2312" w:hAnsi="仿宋" w:eastAsia="仿宋_GB2312"/>
                <w:sz w:val="24"/>
              </w:rPr>
              <w:t>3.指导专业合作经济组织和农村综合服务组织建设；</w:t>
            </w:r>
          </w:p>
          <w:p>
            <w:pPr>
              <w:spacing w:line="320" w:lineRule="exact"/>
              <w:rPr>
                <w:rFonts w:hint="eastAsia" w:ascii="仿宋_GB2312" w:hAnsi="仿宋" w:eastAsia="仿宋_GB2312"/>
                <w:sz w:val="24"/>
              </w:rPr>
            </w:pPr>
            <w:r>
              <w:rPr>
                <w:rFonts w:hint="eastAsia" w:ascii="仿宋_GB2312" w:hAnsi="仿宋" w:eastAsia="仿宋_GB2312"/>
                <w:sz w:val="24"/>
              </w:rPr>
              <w:t>4.推动农业产业化经营。</w:t>
            </w:r>
          </w:p>
        </w:tc>
        <w:tc>
          <w:tcPr>
            <w:tcW w:w="2036"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区供销联社</w:t>
            </w:r>
          </w:p>
        </w:tc>
        <w:tc>
          <w:tcPr>
            <w:tcW w:w="1648" w:type="dxa"/>
            <w:noWrap w:val="0"/>
            <w:vAlign w:val="center"/>
          </w:tcPr>
          <w:p>
            <w:pPr>
              <w:spacing w:line="320" w:lineRule="exact"/>
              <w:jc w:val="center"/>
              <w:rPr>
                <w:rFonts w:hint="eastAsia" w:ascii="仿宋_GB2312" w:hAnsi="仿宋" w:eastAsia="仿宋_GB2312"/>
                <w:sz w:val="24"/>
              </w:rPr>
            </w:pPr>
            <w:r>
              <w:rPr>
                <w:rFonts w:hint="eastAsia" w:ascii="仿宋_GB2312" w:hAnsi="仿宋" w:eastAsia="仿宋_GB2312"/>
                <w:sz w:val="24"/>
              </w:rPr>
              <w:t>6月30日前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6" w:hRule="atLeast"/>
          <w:jc w:val="center"/>
        </w:trPr>
        <w:tc>
          <w:tcPr>
            <w:tcW w:w="828" w:type="dxa"/>
            <w:noWrap w:val="0"/>
            <w:vAlign w:val="center"/>
          </w:tcPr>
          <w:p>
            <w:pPr>
              <w:spacing w:line="400" w:lineRule="exact"/>
              <w:jc w:val="center"/>
              <w:rPr>
                <w:rFonts w:hint="eastAsia" w:ascii="仿宋_GB2312" w:hAnsi="仿宋" w:eastAsia="仿宋_GB2312"/>
                <w:sz w:val="24"/>
              </w:rPr>
            </w:pPr>
            <w:r>
              <w:rPr>
                <w:rFonts w:hint="eastAsia" w:ascii="仿宋_GB2312" w:hAnsi="仿宋" w:eastAsia="仿宋_GB2312"/>
                <w:sz w:val="24"/>
              </w:rPr>
              <w:t>11</w:t>
            </w:r>
          </w:p>
        </w:tc>
        <w:tc>
          <w:tcPr>
            <w:tcW w:w="5514" w:type="dxa"/>
            <w:noWrap w:val="0"/>
            <w:vAlign w:val="top"/>
          </w:tcPr>
          <w:p>
            <w:pPr>
              <w:spacing w:line="360" w:lineRule="exact"/>
              <w:rPr>
                <w:rFonts w:ascii="仿宋_GB2312" w:hAnsi="仿宋" w:eastAsia="仿宋_GB2312"/>
                <w:sz w:val="24"/>
              </w:rPr>
            </w:pPr>
            <w:r>
              <w:rPr>
                <w:rFonts w:hint="eastAsia" w:ascii="仿宋_GB2312" w:hAnsi="仿宋" w:eastAsia="仿宋_GB2312"/>
                <w:sz w:val="24"/>
              </w:rPr>
              <w:t>1.负责本镇创建工作和农产品质量安全监管工作的组织实施；</w:t>
            </w:r>
          </w:p>
          <w:p>
            <w:pPr>
              <w:spacing w:line="360" w:lineRule="exact"/>
              <w:rPr>
                <w:rFonts w:ascii="仿宋_GB2312" w:hAnsi="仿宋" w:eastAsia="仿宋_GB2312"/>
                <w:sz w:val="24"/>
              </w:rPr>
            </w:pPr>
            <w:r>
              <w:rPr>
                <w:rFonts w:hint="eastAsia" w:ascii="仿宋_GB2312" w:hAnsi="仿宋" w:eastAsia="仿宋_GB2312"/>
                <w:sz w:val="24"/>
              </w:rPr>
              <w:t>2.负责本镇农产品生产环境保护、农业投入品监管和农产品质量检验检测；</w:t>
            </w:r>
          </w:p>
          <w:p>
            <w:pPr>
              <w:spacing w:line="360" w:lineRule="exact"/>
              <w:rPr>
                <w:rFonts w:ascii="仿宋_GB2312" w:hAnsi="仿宋" w:eastAsia="仿宋_GB2312"/>
                <w:sz w:val="24"/>
              </w:rPr>
            </w:pPr>
            <w:r>
              <w:rPr>
                <w:rFonts w:hint="eastAsia" w:ascii="仿宋_GB2312" w:hAnsi="仿宋" w:eastAsia="仿宋_GB2312"/>
                <w:sz w:val="24"/>
              </w:rPr>
              <w:t>3.负责本镇农业标准化生产、生产基地农户、企业、合作组织农产品质量安全追溯、产地准出、指导产销对接和100%规范建立农产品生产记录档案（至少保存2年）；</w:t>
            </w:r>
            <w:r>
              <w:rPr>
                <w:rFonts w:ascii="仿宋_GB2312" w:hAnsi="仿宋" w:eastAsia="仿宋_GB2312"/>
                <w:sz w:val="24"/>
              </w:rPr>
              <w:t xml:space="preserve"> </w:t>
            </w:r>
          </w:p>
          <w:p>
            <w:pPr>
              <w:spacing w:line="360" w:lineRule="exact"/>
              <w:rPr>
                <w:rFonts w:ascii="仿宋_GB2312" w:hAnsi="仿宋" w:eastAsia="仿宋_GB2312"/>
                <w:sz w:val="24"/>
              </w:rPr>
            </w:pPr>
            <w:r>
              <w:rPr>
                <w:rFonts w:hint="eastAsia" w:ascii="仿宋_GB2312" w:hAnsi="仿宋" w:eastAsia="仿宋_GB2312"/>
                <w:sz w:val="24"/>
              </w:rPr>
              <w:t>4.负责本镇农产品质量安全监管体系的建设和监督管理，协助查处本乡镇农业环境污染、农业投入品事故和农产品质量安全事故；</w:t>
            </w:r>
          </w:p>
          <w:p>
            <w:pPr>
              <w:spacing w:line="360" w:lineRule="exact"/>
              <w:rPr>
                <w:rFonts w:ascii="仿宋_GB2312" w:hAnsi="仿宋" w:eastAsia="仿宋_GB2312"/>
                <w:sz w:val="24"/>
              </w:rPr>
            </w:pPr>
            <w:r>
              <w:rPr>
                <w:rFonts w:hint="eastAsia" w:ascii="仿宋_GB2312" w:hAnsi="仿宋" w:eastAsia="仿宋_GB2312"/>
                <w:sz w:val="24"/>
              </w:rPr>
              <w:t>5.负责本镇农产品质量安全监管服务机构人员、职责、经费和设备等的落实，重点种养村设立监管员，农产品生产经营单位设立责任人；</w:t>
            </w:r>
          </w:p>
          <w:p>
            <w:pPr>
              <w:spacing w:line="360" w:lineRule="exact"/>
              <w:rPr>
                <w:rFonts w:ascii="仿宋_GB2312" w:hAnsi="仿宋" w:eastAsia="仿宋_GB2312"/>
                <w:sz w:val="24"/>
              </w:rPr>
            </w:pPr>
            <w:r>
              <w:rPr>
                <w:rFonts w:hint="eastAsia" w:ascii="仿宋_GB2312" w:hAnsi="仿宋" w:eastAsia="仿宋_GB2312"/>
                <w:sz w:val="24"/>
              </w:rPr>
              <w:t>6.负责建立农产品质量安全生产经营主体责任制和承诺制，签订责任书和承诺书；</w:t>
            </w:r>
          </w:p>
          <w:p>
            <w:pPr>
              <w:spacing w:line="360" w:lineRule="exact"/>
              <w:rPr>
                <w:rFonts w:ascii="仿宋_GB2312" w:hAnsi="仿宋" w:eastAsia="仿宋_GB2312"/>
                <w:sz w:val="24"/>
              </w:rPr>
            </w:pPr>
            <w:r>
              <w:rPr>
                <w:rFonts w:hint="eastAsia" w:ascii="仿宋_GB2312" w:hAnsi="仿宋" w:eastAsia="仿宋_GB2312"/>
                <w:sz w:val="24"/>
              </w:rPr>
              <w:t>7.负责本镇农产品质量安全网格化监管体系建设；</w:t>
            </w:r>
          </w:p>
          <w:p>
            <w:pPr>
              <w:spacing w:line="360" w:lineRule="exact"/>
              <w:rPr>
                <w:rFonts w:ascii="仿宋_GB2312" w:hAnsi="仿宋" w:eastAsia="仿宋_GB2312"/>
                <w:sz w:val="24"/>
              </w:rPr>
            </w:pPr>
            <w:r>
              <w:rPr>
                <w:rFonts w:hint="eastAsia" w:ascii="仿宋_GB2312" w:hAnsi="仿宋" w:eastAsia="仿宋_GB2312"/>
                <w:sz w:val="24"/>
              </w:rPr>
              <w:t>9.每个镇配备快速检测设备，开展日常检测，年度抽检不少于20批次，每批次样品不少于10个；督促每个生产基地、企业、农民专合社、家庭农场、专业大户等开展农产品质量安全自检工作。</w:t>
            </w:r>
          </w:p>
        </w:tc>
        <w:tc>
          <w:tcPr>
            <w:tcW w:w="2036" w:type="dxa"/>
            <w:noWrap w:val="0"/>
            <w:vAlign w:val="center"/>
          </w:tcPr>
          <w:p>
            <w:pPr>
              <w:spacing w:line="400" w:lineRule="exact"/>
              <w:jc w:val="center"/>
              <w:rPr>
                <w:rFonts w:ascii="仿宋_GB2312" w:hAnsi="仿宋" w:eastAsia="仿宋_GB2312"/>
                <w:sz w:val="24"/>
              </w:rPr>
            </w:pPr>
            <w:r>
              <w:rPr>
                <w:rFonts w:hint="eastAsia" w:ascii="仿宋_GB2312" w:hAnsi="仿宋" w:eastAsia="仿宋_GB2312"/>
                <w:sz w:val="24"/>
              </w:rPr>
              <w:t>各镇人民政府</w:t>
            </w:r>
          </w:p>
        </w:tc>
        <w:tc>
          <w:tcPr>
            <w:tcW w:w="1648" w:type="dxa"/>
            <w:noWrap w:val="0"/>
            <w:vAlign w:val="center"/>
          </w:tcPr>
          <w:p>
            <w:pPr>
              <w:spacing w:line="400" w:lineRule="exact"/>
              <w:jc w:val="center"/>
              <w:rPr>
                <w:rFonts w:hint="eastAsia" w:ascii="仿宋_GB2312" w:hAnsi="仿宋" w:eastAsia="仿宋_GB2312"/>
                <w:sz w:val="24"/>
              </w:rPr>
            </w:pPr>
            <w:r>
              <w:rPr>
                <w:rFonts w:hint="eastAsia" w:ascii="仿宋_GB2312" w:hAnsi="仿宋" w:eastAsia="仿宋_GB2312"/>
                <w:sz w:val="24"/>
              </w:rPr>
              <w:t>6月30日前</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9A67DA"/>
    <w:rsid w:val="799A6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2022-04-21T08:55:00Z</dcterms:created>
  <dc:creator>不二</dc:creator>
  <cp:lastModifiedBy>不二</cp:lastModifiedBy>
  <dcterms:modified xsi:type="dcterms:W3CDTF">2022-04-21T08:56:02Z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