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contextualSpacing/>
        <w:rPr>
          <w:rFonts w:ascii="方正黑体_GBK" w:hAnsi="宋体" w:eastAsia="方正黑体_GBK"/>
          <w:sz w:val="33"/>
          <w:szCs w:val="33"/>
          <w:lang w:val="zh-CN"/>
        </w:rPr>
      </w:pPr>
      <w:r>
        <w:rPr>
          <w:rFonts w:hint="eastAsia" w:ascii="方正黑体_GBK" w:hAnsi="宋体" w:eastAsia="方正黑体_GBK"/>
          <w:sz w:val="33"/>
          <w:szCs w:val="33"/>
          <w:lang w:val="zh-CN"/>
        </w:rPr>
        <w:t>附件</w:t>
      </w:r>
      <w:r>
        <w:rPr>
          <w:rFonts w:hint="eastAsia" w:eastAsia="方正黑体_GBK"/>
          <w:sz w:val="33"/>
          <w:szCs w:val="33"/>
        </w:rPr>
        <w:t>2</w:t>
      </w:r>
    </w:p>
    <w:p>
      <w:pPr>
        <w:widowControl/>
        <w:spacing w:line="580" w:lineRule="exact"/>
        <w:ind w:firstLine="883" w:firstLineChars="200"/>
        <w:contextualSpacing/>
        <w:jc w:val="center"/>
        <w:rPr>
          <w:rFonts w:ascii="宋体"/>
          <w:b/>
          <w:sz w:val="44"/>
          <w:szCs w:val="44"/>
          <w:shd w:val="clear" w:color="auto" w:fill="FFFFFF"/>
        </w:rPr>
      </w:pPr>
    </w:p>
    <w:p>
      <w:pPr>
        <w:widowControl/>
        <w:spacing w:line="580" w:lineRule="exact"/>
        <w:contextualSpacing/>
        <w:jc w:val="center"/>
        <w:rPr>
          <w:rFonts w:hint="eastAsia" w:ascii="方正小标宋简体" w:hAnsi="宋体" w:eastAsia="方正小标宋简体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  <w:shd w:val="clear" w:color="auto" w:fill="FFFFFF"/>
          <w:lang w:eastAsia="zh-CN"/>
        </w:rPr>
        <w:t>乐山市沙湾区乡镇学校</w:t>
      </w:r>
    </w:p>
    <w:p>
      <w:pPr>
        <w:widowControl/>
        <w:spacing w:line="580" w:lineRule="exact"/>
        <w:contextualSpacing/>
        <w:jc w:val="center"/>
        <w:rPr>
          <w:rFonts w:ascii="方正小标宋简体" w:eastAsia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宋体" w:eastAsia="方正小标宋简体"/>
          <w:sz w:val="44"/>
          <w:szCs w:val="44"/>
          <w:shd w:val="clear" w:color="auto" w:fill="FFFFFF"/>
        </w:rPr>
        <w:t>整体支出绩效自评报告</w:t>
      </w:r>
    </w:p>
    <w:p>
      <w:pPr>
        <w:widowControl/>
        <w:adjustRightInd w:val="0"/>
        <w:snapToGrid w:val="0"/>
        <w:spacing w:line="580" w:lineRule="exact"/>
        <w:ind w:firstLine="660" w:firstLineChars="200"/>
        <w:contextualSpacing/>
        <w:jc w:val="left"/>
        <w:rPr>
          <w:rFonts w:ascii="方正仿宋_GBK" w:hAnsi="宋体" w:eastAsia="方正仿宋_GBK" w:cs="宋体"/>
          <w:color w:val="000000"/>
          <w:kern w:val="0"/>
          <w:sz w:val="33"/>
          <w:szCs w:val="33"/>
          <w:shd w:val="clear" w:color="auto" w:fill="FFFFFF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黑体" w:hAnsi="黑体" w:eastAsia="黑体" w:cs="宋体"/>
          <w:color w:val="000000"/>
          <w:kern w:val="0"/>
          <w:szCs w:val="32"/>
          <w:shd w:val="clear" w:color="auto" w:fill="FFFFFF"/>
        </w:rPr>
        <w:t>一、</w:t>
      </w:r>
      <w:r>
        <w:rPr>
          <w:rFonts w:hint="eastAsia" w:ascii="黑体" w:hAnsi="黑体" w:eastAsia="黑体" w:cs="宋体"/>
          <w:color w:val="000000"/>
          <w:kern w:val="0"/>
          <w:szCs w:val="32"/>
          <w:shd w:val="clear" w:color="auto" w:fill="FFFFFF"/>
          <w:lang w:val="zh-CN"/>
        </w:rPr>
        <w:t>部门（单位）概况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（一）机构组成。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宋体" w:hAnsi="宋体" w:eastAsia="宋体"/>
        </w:rPr>
        <w:t>乐山市沙湾区乡镇学校，是为规范学校会计核算而设立的机构共有</w:t>
      </w:r>
      <w:r>
        <w:rPr>
          <w:rFonts w:ascii="宋体" w:hAnsi="宋体" w:eastAsia="宋体"/>
        </w:rPr>
        <w:t>22</w:t>
      </w:r>
      <w:r>
        <w:rPr>
          <w:rFonts w:hint="eastAsia" w:ascii="宋体" w:hAnsi="宋体" w:eastAsia="宋体"/>
        </w:rPr>
        <w:t>所单位，分别为：</w:t>
      </w:r>
      <w:r>
        <w:rPr>
          <w:rFonts w:ascii="宋体" w:hAnsi="宋体" w:eastAsia="宋体"/>
        </w:rPr>
        <w:t>1</w:t>
      </w:r>
      <w:r>
        <w:rPr>
          <w:rFonts w:hint="eastAsia" w:ascii="宋体" w:hAnsi="宋体" w:eastAsia="宋体"/>
        </w:rPr>
        <w:t>、乐山市沙湾绥山初级中学，</w:t>
      </w:r>
      <w:r>
        <w:rPr>
          <w:rFonts w:ascii="宋体" w:hAnsi="宋体" w:eastAsia="宋体"/>
        </w:rPr>
        <w:t>2</w:t>
      </w:r>
      <w:r>
        <w:rPr>
          <w:rFonts w:hint="eastAsia" w:ascii="宋体" w:hAnsi="宋体" w:eastAsia="宋体"/>
        </w:rPr>
        <w:t>、乐山市沙湾区凤凰学校，</w:t>
      </w:r>
      <w:r>
        <w:rPr>
          <w:rFonts w:ascii="宋体" w:hAnsi="宋体" w:eastAsia="宋体"/>
        </w:rPr>
        <w:t>3</w:t>
      </w:r>
      <w:r>
        <w:rPr>
          <w:rFonts w:hint="eastAsia" w:ascii="宋体" w:hAnsi="宋体" w:eastAsia="宋体"/>
        </w:rPr>
        <w:t>、乐山市沙湾区实验初级中学，</w:t>
      </w:r>
      <w:r>
        <w:rPr>
          <w:rFonts w:ascii="宋体" w:hAnsi="宋体" w:eastAsia="宋体"/>
        </w:rPr>
        <w:t>4</w:t>
      </w:r>
      <w:r>
        <w:rPr>
          <w:rFonts w:hint="eastAsia" w:ascii="宋体" w:hAnsi="宋体" w:eastAsia="宋体"/>
        </w:rPr>
        <w:t>、乐山市沙湾区葫芦镇中心小学校，</w:t>
      </w:r>
      <w:r>
        <w:rPr>
          <w:rFonts w:ascii="宋体" w:hAnsi="宋体" w:eastAsia="宋体"/>
        </w:rPr>
        <w:t>5</w:t>
      </w:r>
      <w:r>
        <w:rPr>
          <w:rFonts w:hint="eastAsia" w:ascii="宋体" w:hAnsi="宋体" w:eastAsia="宋体"/>
        </w:rPr>
        <w:t>、乐山市沙湾区龚嘴镇学校，</w:t>
      </w:r>
      <w:r>
        <w:rPr>
          <w:rFonts w:ascii="宋体" w:hAnsi="宋体" w:eastAsia="宋体"/>
        </w:rPr>
        <w:t>6</w:t>
      </w:r>
      <w:r>
        <w:rPr>
          <w:rFonts w:hint="eastAsia" w:ascii="宋体" w:hAnsi="宋体" w:eastAsia="宋体"/>
        </w:rPr>
        <w:t>、乐山市沙湾区福禄镇初级中学，</w:t>
      </w:r>
      <w:r>
        <w:rPr>
          <w:rFonts w:ascii="宋体" w:hAnsi="宋体" w:eastAsia="宋体"/>
        </w:rPr>
        <w:t>7</w:t>
      </w:r>
      <w:r>
        <w:rPr>
          <w:rFonts w:hint="eastAsia" w:ascii="宋体" w:hAnsi="宋体" w:eastAsia="宋体"/>
        </w:rPr>
        <w:t>、乐山市沙湾区福禄镇中心校，</w:t>
      </w:r>
      <w:r>
        <w:rPr>
          <w:rFonts w:ascii="宋体" w:hAnsi="宋体" w:eastAsia="宋体"/>
        </w:rPr>
        <w:t>8</w:t>
      </w:r>
      <w:r>
        <w:rPr>
          <w:rFonts w:hint="eastAsia" w:ascii="宋体" w:hAnsi="宋体" w:eastAsia="宋体"/>
        </w:rPr>
        <w:t>、乐山市沙湾区牛石镇学校，</w:t>
      </w:r>
      <w:r>
        <w:rPr>
          <w:rFonts w:ascii="宋体" w:hAnsi="宋体" w:eastAsia="宋体"/>
        </w:rPr>
        <w:t>9</w:t>
      </w:r>
      <w:r>
        <w:rPr>
          <w:rFonts w:hint="eastAsia" w:ascii="宋体" w:hAnsi="宋体" w:eastAsia="宋体"/>
        </w:rPr>
        <w:t>、乐山市沙湾区嘉农镇第一初级中学，</w:t>
      </w:r>
      <w:r>
        <w:rPr>
          <w:rFonts w:ascii="宋体" w:hAnsi="宋体" w:eastAsia="宋体"/>
        </w:rPr>
        <w:t>10</w:t>
      </w:r>
      <w:r>
        <w:rPr>
          <w:rFonts w:hint="eastAsia" w:ascii="宋体" w:hAnsi="宋体" w:eastAsia="宋体"/>
        </w:rPr>
        <w:t>、乐山市沙湾区嘉农镇中心小学，</w:t>
      </w:r>
      <w:r>
        <w:rPr>
          <w:rFonts w:ascii="宋体" w:hAnsi="宋体" w:eastAsia="宋体"/>
        </w:rPr>
        <w:t>11</w:t>
      </w:r>
      <w:r>
        <w:rPr>
          <w:rFonts w:hint="eastAsia" w:ascii="宋体" w:hAnsi="宋体" w:eastAsia="宋体"/>
        </w:rPr>
        <w:t>、乐山市沙湾区太平镇初级中学，</w:t>
      </w:r>
      <w:r>
        <w:rPr>
          <w:rFonts w:ascii="宋体" w:hAnsi="宋体" w:eastAsia="宋体"/>
        </w:rPr>
        <w:t>12</w:t>
      </w:r>
      <w:r>
        <w:rPr>
          <w:rFonts w:hint="eastAsia" w:ascii="宋体" w:hAnsi="宋体" w:eastAsia="宋体"/>
        </w:rPr>
        <w:t>、乐山市沙湾区太平镇中心小学，</w:t>
      </w:r>
      <w:r>
        <w:rPr>
          <w:rFonts w:ascii="宋体" w:hAnsi="宋体" w:eastAsia="宋体"/>
        </w:rPr>
        <w:t>13</w:t>
      </w:r>
      <w:r>
        <w:rPr>
          <w:rFonts w:hint="eastAsia" w:ascii="宋体" w:hAnsi="宋体" w:eastAsia="宋体"/>
        </w:rPr>
        <w:t>、乐山市沙湾区踏水镇初级中学，</w:t>
      </w:r>
      <w:r>
        <w:rPr>
          <w:rFonts w:ascii="宋体" w:hAnsi="宋体" w:eastAsia="宋体"/>
        </w:rPr>
        <w:t>14</w:t>
      </w:r>
      <w:r>
        <w:rPr>
          <w:rFonts w:hint="eastAsia" w:ascii="宋体" w:hAnsi="宋体" w:eastAsia="宋体"/>
        </w:rPr>
        <w:t>、乐山市沙湾区踏水镇中心小学，</w:t>
      </w:r>
      <w:r>
        <w:rPr>
          <w:rFonts w:ascii="宋体" w:hAnsi="宋体" w:eastAsia="宋体"/>
        </w:rPr>
        <w:t>15</w:t>
      </w:r>
      <w:r>
        <w:rPr>
          <w:rFonts w:hint="eastAsia" w:ascii="宋体" w:hAnsi="宋体" w:eastAsia="宋体"/>
        </w:rPr>
        <w:t>、乐山市沙湾区范店乡明德小学，</w:t>
      </w:r>
      <w:r>
        <w:rPr>
          <w:rFonts w:ascii="宋体" w:hAnsi="宋体" w:eastAsia="宋体"/>
        </w:rPr>
        <w:t>16</w:t>
      </w:r>
      <w:r>
        <w:rPr>
          <w:rFonts w:hint="eastAsia" w:ascii="宋体" w:hAnsi="宋体" w:eastAsia="宋体"/>
        </w:rPr>
        <w:t>、乐山市沙湾区铜茨乡学校，</w:t>
      </w:r>
      <w:r>
        <w:rPr>
          <w:rFonts w:ascii="宋体" w:hAnsi="宋体" w:eastAsia="宋体"/>
        </w:rPr>
        <w:t>17</w:t>
      </w:r>
      <w:r>
        <w:rPr>
          <w:rFonts w:hint="eastAsia" w:ascii="宋体" w:hAnsi="宋体" w:eastAsia="宋体"/>
        </w:rPr>
        <w:t>、乐山市沙湾区谭坝乡学校，</w:t>
      </w:r>
      <w:r>
        <w:rPr>
          <w:rFonts w:ascii="宋体" w:hAnsi="宋体" w:eastAsia="宋体"/>
        </w:rPr>
        <w:t>18</w:t>
      </w:r>
      <w:r>
        <w:rPr>
          <w:rFonts w:hint="eastAsia" w:ascii="宋体" w:hAnsi="宋体" w:eastAsia="宋体"/>
        </w:rPr>
        <w:t>、乐山市沙湾区碧山乡学校，</w:t>
      </w:r>
      <w:r>
        <w:rPr>
          <w:rFonts w:ascii="宋体" w:hAnsi="宋体" w:eastAsia="宋体"/>
        </w:rPr>
        <w:t>19</w:t>
      </w:r>
      <w:r>
        <w:rPr>
          <w:rFonts w:hint="eastAsia" w:ascii="宋体" w:hAnsi="宋体" w:eastAsia="宋体"/>
        </w:rPr>
        <w:t>、乐山市沙湾区轸溪乡学校，</w:t>
      </w:r>
      <w:r>
        <w:rPr>
          <w:rFonts w:ascii="宋体" w:hAnsi="宋体" w:eastAsia="宋体"/>
        </w:rPr>
        <w:t>20</w:t>
      </w:r>
      <w:r>
        <w:rPr>
          <w:rFonts w:hint="eastAsia" w:ascii="宋体" w:hAnsi="宋体" w:eastAsia="宋体"/>
        </w:rPr>
        <w:t>、乐山市沙湾区福禄镇中心幼儿园，</w:t>
      </w:r>
      <w:r>
        <w:rPr>
          <w:rFonts w:ascii="宋体" w:hAnsi="宋体" w:eastAsia="宋体"/>
        </w:rPr>
        <w:t>21</w:t>
      </w:r>
      <w:r>
        <w:rPr>
          <w:rFonts w:hint="eastAsia" w:ascii="宋体" w:hAnsi="宋体" w:eastAsia="宋体"/>
        </w:rPr>
        <w:t>、乐山市沙湾区太平镇中心幼儿园，</w:t>
      </w:r>
      <w:r>
        <w:rPr>
          <w:rFonts w:ascii="宋体" w:hAnsi="宋体" w:eastAsia="宋体"/>
        </w:rPr>
        <w:t>22</w:t>
      </w:r>
      <w:r>
        <w:rPr>
          <w:rFonts w:hint="eastAsia" w:ascii="宋体" w:hAnsi="宋体" w:eastAsia="宋体"/>
        </w:rPr>
        <w:t>、乐山市沙湾区葫芦镇初级中学校</w:t>
      </w:r>
    </w:p>
    <w:p>
      <w:pPr>
        <w:widowControl/>
        <w:numPr>
          <w:ilvl w:val="0"/>
          <w:numId w:val="2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机构职能。</w:t>
      </w:r>
    </w:p>
    <w:p>
      <w:pPr>
        <w:pStyle w:val="17"/>
        <w:spacing w:line="560" w:lineRule="exact"/>
        <w:ind w:right="429" w:firstLine="3168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乡镇学校下设</w:t>
      </w:r>
      <w:r>
        <w:rPr>
          <w:rFonts w:ascii="宋体" w:hAnsi="宋体" w:eastAsia="宋体"/>
        </w:rPr>
        <w:t>22</w:t>
      </w:r>
      <w:r>
        <w:rPr>
          <w:rFonts w:hint="eastAsia" w:ascii="宋体" w:hAnsi="宋体" w:eastAsia="宋体"/>
        </w:rPr>
        <w:t>个独立法人单位，</w:t>
      </w:r>
      <w:r>
        <w:rPr>
          <w:rFonts w:ascii="宋体" w:hAnsi="宋体" w:eastAsia="宋体"/>
        </w:rPr>
        <w:t xml:space="preserve"> </w:t>
      </w:r>
      <w:r>
        <w:rPr>
          <w:rFonts w:hint="eastAsia" w:ascii="宋体" w:hAnsi="宋体" w:eastAsia="宋体"/>
        </w:rPr>
        <w:t>中心设有总账会计、录入会计、票据审核及管理人员，实行经费集中核算，以保障</w:t>
      </w:r>
      <w:r>
        <w:rPr>
          <w:rFonts w:ascii="宋体" w:hAnsi="宋体" w:eastAsia="宋体"/>
        </w:rPr>
        <w:t>22</w:t>
      </w:r>
      <w:r>
        <w:rPr>
          <w:rFonts w:hint="eastAsia" w:ascii="宋体" w:hAnsi="宋体" w:eastAsia="宋体"/>
        </w:rPr>
        <w:t>个学校的正常运转。</w:t>
      </w:r>
    </w:p>
    <w:p>
      <w:pPr>
        <w:pStyle w:val="17"/>
        <w:spacing w:line="560" w:lineRule="exact"/>
        <w:ind w:right="429" w:firstLine="31680"/>
        <w:rPr>
          <w:rFonts w:ascii="宋体" w:hAnsi="宋体" w:eastAsia="宋体"/>
          <w:szCs w:val="24"/>
          <w:lang w:val="zh-CN"/>
        </w:rPr>
      </w:pPr>
      <w:r>
        <w:rPr>
          <w:rFonts w:hint="eastAsia" w:ascii="宋体" w:hAnsi="宋体" w:eastAsia="宋体"/>
        </w:rPr>
        <w:t>结合部门中长期规划和年度工作计划，明确年度主要工作任务，预计部门在本年度内履职所要达到的总体产出和效果，将其确定为部门整</w:t>
      </w:r>
      <w:r>
        <w:rPr>
          <w:rFonts w:hint="eastAsia" w:ascii="宋体" w:hAnsi="宋体" w:eastAsia="宋体"/>
          <w:szCs w:val="24"/>
          <w:lang w:val="zh-CN"/>
        </w:rPr>
        <w:t>体支出绩效目标，以定量和定性相结合的方式进行表述，从职责履行方面反映产出，从履职效果方面反映效益和服务对象满意度，从执行财经政策方面反映财务管理目标。严格按照年初计划完成全年目标任务，及时足额完成非税收入任务，最大限度地利用教育经费，加强对教育经费的管理，有效的保障了学校的正常运转。</w:t>
      </w:r>
    </w:p>
    <w:p>
      <w:pPr>
        <w:widowControl/>
        <w:numPr>
          <w:ilvl w:val="0"/>
          <w:numId w:val="2"/>
        </w:numPr>
        <w:tabs>
          <w:tab w:val="left" w:pos="3840"/>
        </w:tabs>
        <w:adjustRightInd w:val="0"/>
        <w:snapToGrid w:val="0"/>
        <w:spacing w:line="580" w:lineRule="exact"/>
        <w:ind w:left="0" w:leftChars="0" w:firstLine="640" w:firstLineChars="200"/>
        <w:contextualSpacing/>
        <w:jc w:val="left"/>
        <w:rPr>
          <w:rFonts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人员概况。</w:t>
      </w:r>
      <w:r>
        <w:rPr>
          <w:rFonts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ab/>
      </w:r>
    </w:p>
    <w:p>
      <w:pPr>
        <w:ind w:firstLine="640" w:firstLineChars="200"/>
        <w:rPr>
          <w:rFonts w:ascii="宋体" w:hAnsi="宋体" w:eastAsia="宋体"/>
          <w:lang w:val="zh-CN"/>
        </w:rPr>
      </w:pPr>
      <w:r>
        <w:rPr>
          <w:rFonts w:ascii="宋体" w:hAnsi="宋体" w:eastAsia="宋体"/>
          <w:lang w:val="zh-CN"/>
        </w:rPr>
        <w:t>202</w:t>
      </w: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 w:eastAsia="宋体"/>
          <w:lang w:val="zh-CN"/>
        </w:rPr>
        <w:t>年乡镇学校共有在职在编教师</w:t>
      </w:r>
      <w:r>
        <w:rPr>
          <w:rFonts w:hint="eastAsia" w:ascii="宋体" w:hAnsi="宋体" w:eastAsia="宋体"/>
          <w:lang w:val="en-US" w:eastAsia="zh-CN"/>
        </w:rPr>
        <w:t>832</w:t>
      </w:r>
      <w:r>
        <w:rPr>
          <w:rFonts w:hint="eastAsia" w:ascii="宋体" w:hAnsi="宋体" w:eastAsia="宋体"/>
          <w:lang w:val="zh-CN"/>
        </w:rPr>
        <w:t>人</w:t>
      </w:r>
      <w:r>
        <w:rPr>
          <w:rFonts w:hint="eastAsia" w:ascii="宋体" w:hAnsi="宋体" w:eastAsia="宋体"/>
          <w:lang w:val="zh-CN" w:eastAsia="zh-CN"/>
        </w:rPr>
        <w:t>，遗属</w:t>
      </w:r>
      <w:r>
        <w:rPr>
          <w:rFonts w:hint="eastAsia" w:ascii="宋体" w:hAnsi="宋体" w:eastAsia="宋体"/>
          <w:lang w:val="en-US" w:eastAsia="zh-CN"/>
        </w:rPr>
        <w:t>46人 ，</w:t>
      </w:r>
      <w:r>
        <w:rPr>
          <w:rFonts w:hint="eastAsia" w:ascii="宋体" w:hAnsi="宋体" w:eastAsia="宋体"/>
          <w:lang w:val="zh-CN"/>
        </w:rPr>
        <w:t>区人事局核定保安</w:t>
      </w:r>
      <w:r>
        <w:rPr>
          <w:rFonts w:ascii="宋体" w:hAnsi="宋体" w:eastAsia="宋体"/>
          <w:lang w:val="zh-CN"/>
        </w:rPr>
        <w:t>47</w:t>
      </w:r>
      <w:r>
        <w:rPr>
          <w:rFonts w:hint="eastAsia" w:ascii="宋体" w:hAnsi="宋体" w:eastAsia="宋体"/>
          <w:lang w:val="zh-CN"/>
        </w:rPr>
        <w:t>人</w:t>
      </w:r>
      <w:r>
        <w:rPr>
          <w:rFonts w:hint="eastAsia" w:ascii="宋体" w:hAnsi="宋体" w:eastAsia="宋体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000000"/>
          <w:kern w:val="0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color w:val="000000"/>
          <w:kern w:val="0"/>
          <w:szCs w:val="32"/>
          <w:shd w:val="clear" w:color="auto" w:fill="FFFFFF"/>
        </w:rPr>
        <w:t>二、部门财政资金收支情况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（一）部门财政资金收入情况。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宋体" w:cs="宋体"/>
          <w:color w:val="000000"/>
          <w:kern w:val="0"/>
          <w:szCs w:val="32"/>
          <w:highlight w:val="none"/>
          <w:shd w:val="clear" w:color="auto" w:fill="FFFFFF"/>
          <w:lang w:val="zh-CN" w:eastAsia="zh-CN"/>
        </w:rPr>
      </w:pPr>
      <w:r>
        <w:rPr>
          <w:rFonts w:hint="eastAsia" w:ascii="宋体" w:hAnsi="宋体" w:eastAsia="宋体"/>
          <w:highlight w:val="none"/>
        </w:rPr>
        <w:t>沙湾区乡镇学校所有收入和支出均纳入部门预算管理。</w:t>
      </w:r>
      <w:r>
        <w:rPr>
          <w:rFonts w:ascii="宋体" w:hAnsi="宋体" w:eastAsia="宋体"/>
          <w:highlight w:val="none"/>
        </w:rPr>
        <w:t>202</w:t>
      </w:r>
      <w:r>
        <w:rPr>
          <w:rFonts w:hint="eastAsia" w:ascii="宋体" w:hAnsi="宋体"/>
          <w:highlight w:val="none"/>
          <w:lang w:val="en-US" w:eastAsia="zh-CN"/>
        </w:rPr>
        <w:t>1</w:t>
      </w:r>
      <w:r>
        <w:rPr>
          <w:rFonts w:hint="eastAsia" w:ascii="宋体" w:hAnsi="宋体" w:eastAsia="宋体"/>
          <w:highlight w:val="none"/>
        </w:rPr>
        <w:t>年收入预算总额为</w:t>
      </w:r>
      <w:r>
        <w:rPr>
          <w:rFonts w:hint="eastAsia" w:ascii="宋体" w:hAnsi="宋体"/>
          <w:highlight w:val="none"/>
          <w:lang w:val="en-US" w:eastAsia="zh-CN"/>
        </w:rPr>
        <w:t>12945.45</w:t>
      </w:r>
      <w:r>
        <w:rPr>
          <w:rFonts w:hint="eastAsia" w:ascii="宋体" w:hAnsi="宋体" w:eastAsia="宋体"/>
          <w:highlight w:val="none"/>
        </w:rPr>
        <w:t>万元。其中：当年财政拨款收入</w:t>
      </w:r>
      <w:r>
        <w:rPr>
          <w:rFonts w:hint="eastAsia" w:ascii="宋体" w:hAnsi="宋体"/>
          <w:highlight w:val="none"/>
          <w:lang w:val="en-US" w:eastAsia="zh-CN"/>
        </w:rPr>
        <w:t>11511.54万</w:t>
      </w:r>
      <w:r>
        <w:rPr>
          <w:rFonts w:hint="eastAsia" w:ascii="宋体" w:hAnsi="宋体" w:eastAsia="宋体"/>
          <w:highlight w:val="none"/>
        </w:rPr>
        <w:t>元</w:t>
      </w:r>
      <w:r>
        <w:rPr>
          <w:rFonts w:hint="eastAsia" w:ascii="宋体" w:hAnsi="宋体"/>
          <w:highlight w:val="none"/>
          <w:lang w:eastAsia="zh-CN"/>
        </w:rPr>
        <w:t>，</w:t>
      </w:r>
      <w:r>
        <w:rPr>
          <w:rFonts w:hint="eastAsia" w:ascii="宋体" w:hAnsi="宋体" w:eastAsia="宋体"/>
          <w:highlight w:val="none"/>
        </w:rPr>
        <w:t>财政专户管理资金</w:t>
      </w:r>
      <w:r>
        <w:rPr>
          <w:rFonts w:hint="eastAsia" w:ascii="宋体" w:hAnsi="宋体"/>
          <w:highlight w:val="none"/>
          <w:lang w:val="en-US" w:eastAsia="zh-CN"/>
        </w:rPr>
        <w:t>117.36</w:t>
      </w:r>
      <w:r>
        <w:rPr>
          <w:rFonts w:hint="eastAsia" w:ascii="宋体" w:hAnsi="宋体" w:eastAsia="宋体"/>
          <w:highlight w:val="none"/>
        </w:rPr>
        <w:t>万元，上级拨款收入</w:t>
      </w:r>
      <w:r>
        <w:rPr>
          <w:rFonts w:hint="eastAsia" w:ascii="宋体" w:hAnsi="宋体"/>
          <w:highlight w:val="none"/>
          <w:lang w:val="en-US" w:eastAsia="zh-CN"/>
        </w:rPr>
        <w:t>707.71</w:t>
      </w:r>
      <w:r>
        <w:rPr>
          <w:rFonts w:hint="eastAsia" w:ascii="宋体" w:hAnsi="宋体" w:eastAsia="宋体"/>
          <w:highlight w:val="none"/>
        </w:rPr>
        <w:t>万元，其他收入</w:t>
      </w:r>
      <w:r>
        <w:rPr>
          <w:rFonts w:ascii="宋体" w:hAnsi="宋体" w:eastAsia="宋体"/>
          <w:highlight w:val="none"/>
        </w:rPr>
        <w:t>0</w:t>
      </w:r>
      <w:r>
        <w:rPr>
          <w:rFonts w:hint="eastAsia" w:ascii="宋体" w:hAnsi="宋体"/>
          <w:highlight w:val="none"/>
          <w:lang w:val="en-US" w:eastAsia="zh-CN"/>
        </w:rPr>
        <w:t>.5</w:t>
      </w:r>
      <w:r>
        <w:rPr>
          <w:rFonts w:hint="eastAsia" w:ascii="宋体" w:hAnsi="宋体" w:eastAsia="宋体"/>
          <w:highlight w:val="none"/>
        </w:rPr>
        <w:t>万元，上年结转收入</w:t>
      </w:r>
      <w:r>
        <w:rPr>
          <w:rFonts w:hint="eastAsia" w:ascii="宋体" w:hAnsi="宋体"/>
          <w:highlight w:val="none"/>
          <w:lang w:val="en-US" w:eastAsia="zh-CN"/>
        </w:rPr>
        <w:t>608.34</w:t>
      </w:r>
      <w:r>
        <w:rPr>
          <w:rFonts w:hint="eastAsia" w:ascii="宋体" w:hAnsi="宋体" w:eastAsia="宋体"/>
          <w:highlight w:val="none"/>
        </w:rPr>
        <w:t>万元</w:t>
      </w:r>
      <w:r>
        <w:rPr>
          <w:rFonts w:hint="eastAsia" w:ascii="宋体" w:hAnsi="宋体"/>
          <w:highlight w:val="none"/>
          <w:lang w:eastAsia="zh-CN"/>
        </w:rPr>
        <w:t>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部门财政资金支出情况。</w:t>
      </w:r>
    </w:p>
    <w:p>
      <w:pPr>
        <w:pStyle w:val="17"/>
        <w:spacing w:line="560" w:lineRule="exact"/>
        <w:ind w:firstLine="31680"/>
        <w:jc w:val="both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沙湾区</w:t>
      </w:r>
      <w:r>
        <w:rPr>
          <w:rFonts w:hint="eastAsia" w:ascii="宋体" w:hAnsi="宋体" w:eastAsia="宋体"/>
          <w:highlight w:val="none"/>
          <w:lang w:eastAsia="zh-CN"/>
        </w:rPr>
        <w:t>乡镇学校</w:t>
      </w:r>
      <w:r>
        <w:rPr>
          <w:rFonts w:hint="eastAsia" w:ascii="宋体" w:hAnsi="宋体" w:eastAsia="宋体"/>
          <w:highlight w:val="none"/>
          <w:lang w:val="en-US" w:eastAsia="zh-CN"/>
        </w:rPr>
        <w:t>2021</w:t>
      </w:r>
      <w:r>
        <w:rPr>
          <w:rFonts w:hint="eastAsia" w:ascii="宋体" w:hAnsi="宋体" w:eastAsia="宋体"/>
          <w:highlight w:val="none"/>
        </w:rPr>
        <w:t>年财政拨款支出总预算</w:t>
      </w:r>
      <w:r>
        <w:rPr>
          <w:rFonts w:hint="eastAsia" w:ascii="宋体" w:hAnsi="宋体" w:eastAsia="宋体"/>
          <w:highlight w:val="none"/>
          <w:lang w:val="en-US" w:eastAsia="zh-CN"/>
        </w:rPr>
        <w:t>12945.45</w:t>
      </w:r>
      <w:r>
        <w:rPr>
          <w:rFonts w:hint="eastAsia" w:ascii="宋体" w:hAnsi="宋体" w:eastAsia="宋体"/>
          <w:highlight w:val="none"/>
        </w:rPr>
        <w:t>万元，主要用于保障该部门机构正常运转、完成日常工作任务以及承担沙湾教育事业发展相关工作。具体情况为：人员支出</w:t>
      </w:r>
      <w:r>
        <w:rPr>
          <w:rFonts w:hint="eastAsia" w:ascii="宋体" w:hAnsi="宋体" w:eastAsia="宋体"/>
          <w:highlight w:val="none"/>
          <w:lang w:val="en-US" w:eastAsia="zh-CN"/>
        </w:rPr>
        <w:t>10976.83</w:t>
      </w:r>
      <w:r>
        <w:rPr>
          <w:rFonts w:hint="eastAsia" w:ascii="宋体" w:hAnsi="宋体" w:eastAsia="宋体"/>
          <w:highlight w:val="none"/>
        </w:rPr>
        <w:t>万元，日常公用支出</w:t>
      </w:r>
      <w:r>
        <w:rPr>
          <w:rFonts w:hint="eastAsia" w:ascii="宋体" w:hAnsi="宋体" w:eastAsia="宋体"/>
          <w:highlight w:val="none"/>
          <w:lang w:val="en-US" w:eastAsia="zh-CN"/>
        </w:rPr>
        <w:t>1109.20</w:t>
      </w:r>
      <w:r>
        <w:rPr>
          <w:rFonts w:hint="eastAsia" w:ascii="宋体" w:hAnsi="宋体" w:eastAsia="宋体"/>
          <w:highlight w:val="none"/>
        </w:rPr>
        <w:t>万元，</w:t>
      </w:r>
      <w:r>
        <w:rPr>
          <w:rFonts w:hint="eastAsia" w:ascii="宋体" w:hAnsi="宋体" w:eastAsia="宋体"/>
          <w:highlight w:val="none"/>
          <w:lang w:eastAsia="zh-CN"/>
        </w:rPr>
        <w:t>项目</w:t>
      </w:r>
      <w:r>
        <w:rPr>
          <w:rFonts w:hint="eastAsia" w:ascii="宋体" w:hAnsi="宋体" w:eastAsia="宋体"/>
          <w:highlight w:val="none"/>
        </w:rPr>
        <w:t>支出</w:t>
      </w:r>
      <w:r>
        <w:rPr>
          <w:rFonts w:hint="eastAsia" w:ascii="宋体" w:hAnsi="宋体" w:eastAsia="宋体"/>
          <w:highlight w:val="none"/>
          <w:lang w:val="en-US" w:eastAsia="zh-CN"/>
        </w:rPr>
        <w:t>859.42</w:t>
      </w:r>
      <w:r>
        <w:rPr>
          <w:rFonts w:hint="eastAsia" w:ascii="宋体" w:hAnsi="宋体" w:eastAsia="宋体"/>
          <w:highlight w:val="none"/>
        </w:rPr>
        <w:t>万元。</w:t>
      </w:r>
    </w:p>
    <w:p>
      <w:pPr>
        <w:pStyle w:val="17"/>
        <w:spacing w:line="560" w:lineRule="exact"/>
        <w:ind w:firstLine="31680"/>
        <w:jc w:val="both"/>
        <w:rPr>
          <w:rFonts w:ascii="宋体" w:hAnsi="宋体" w:eastAsia="宋体"/>
          <w:highlight w:val="none"/>
          <w:lang w:val="zh-CN"/>
        </w:rPr>
      </w:pPr>
      <w:r>
        <w:rPr>
          <w:rFonts w:hint="eastAsia" w:ascii="宋体" w:hAnsi="宋体" w:eastAsia="宋体"/>
          <w:highlight w:val="none"/>
        </w:rPr>
        <w:t>根据支出类别分基本支出和项目支出。其中：基本支出，是用于保障沙湾区</w:t>
      </w:r>
      <w:r>
        <w:rPr>
          <w:rFonts w:ascii="宋体" w:hAnsi="宋体" w:eastAsia="宋体"/>
          <w:highlight w:val="none"/>
        </w:rPr>
        <w:t>22</w:t>
      </w:r>
      <w:r>
        <w:rPr>
          <w:rFonts w:hint="eastAsia" w:ascii="宋体" w:hAnsi="宋体" w:eastAsia="宋体"/>
          <w:highlight w:val="none"/>
        </w:rPr>
        <w:t>所学校正常运转的日常支出，包括基本工资、津贴补贴等人员经费以及办公费、培训费等日常公用经费。项目支出，是用于保障学校为完成特定的行政工作任务或事业发展目标，用于专项业务工作的经费支出。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highlight w:val="yellow"/>
          <w:shd w:val="clear" w:color="auto" w:fill="FFFFFF"/>
          <w:lang w:val="zh-CN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000000"/>
          <w:kern w:val="0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color w:val="000000"/>
          <w:kern w:val="0"/>
          <w:szCs w:val="32"/>
          <w:shd w:val="clear" w:color="auto" w:fill="FFFFFF"/>
        </w:rPr>
        <w:t>三、部门整体预算绩效管理情况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（一）部门预算管理。</w:t>
      </w:r>
    </w:p>
    <w:p>
      <w:pPr>
        <w:pStyle w:val="17"/>
        <w:spacing w:line="560" w:lineRule="exact"/>
        <w:ind w:firstLine="31680"/>
        <w:jc w:val="both"/>
        <w:rPr>
          <w:rFonts w:hint="default" w:ascii="宋体" w:hAnsi="宋体" w:eastAsia="宋体"/>
          <w:highlight w:val="none"/>
          <w:lang w:val="zh-CN"/>
        </w:rPr>
      </w:pPr>
      <w:r>
        <w:rPr>
          <w:rFonts w:hint="eastAsia" w:ascii="宋体" w:hAnsi="宋体" w:eastAsia="宋体"/>
          <w:highlight w:val="none"/>
          <w:lang w:val="zh-CN"/>
        </w:rPr>
        <w:t>我单位根据沙湾区委、区政府的工作安排和区财政局的预算口径，按照“二上二下”的原则</w:t>
      </w:r>
      <w:r>
        <w:rPr>
          <w:rFonts w:hint="eastAsia" w:ascii="宋体" w:hAnsi="宋体" w:eastAsia="宋体"/>
          <w:highlight w:val="none"/>
          <w:lang w:val="zh-CN" w:eastAsia="zh-CN"/>
        </w:rPr>
        <w:t>，</w:t>
      </w:r>
      <w:r>
        <w:rPr>
          <w:rFonts w:hint="default" w:ascii="宋体" w:hAnsi="宋体" w:eastAsia="宋体"/>
          <w:highlight w:val="none"/>
          <w:lang w:val="zh-CN"/>
        </w:rPr>
        <w:t>科学合理</w:t>
      </w:r>
      <w:r>
        <w:rPr>
          <w:rFonts w:hint="eastAsia" w:ascii="宋体" w:hAnsi="宋体" w:eastAsia="宋体"/>
          <w:highlight w:val="none"/>
          <w:lang w:val="zh-CN"/>
        </w:rPr>
        <w:t>编制、上报了</w:t>
      </w:r>
      <w:r>
        <w:rPr>
          <w:rFonts w:hint="eastAsia" w:ascii="宋体" w:hAnsi="宋体" w:eastAsia="宋体"/>
          <w:highlight w:val="none"/>
          <w:lang w:val="en-US" w:eastAsia="zh-CN"/>
        </w:rPr>
        <w:t>2021</w:t>
      </w:r>
      <w:r>
        <w:rPr>
          <w:rFonts w:hint="default" w:ascii="宋体" w:hAnsi="宋体" w:eastAsia="宋体"/>
          <w:highlight w:val="none"/>
          <w:lang w:val="zh-CN"/>
        </w:rPr>
        <w:t>年预算。</w:t>
      </w:r>
      <w:r>
        <w:rPr>
          <w:rFonts w:hint="eastAsia" w:ascii="宋体" w:hAnsi="宋体" w:eastAsia="宋体"/>
          <w:highlight w:val="none"/>
          <w:lang w:val="zh-CN"/>
        </w:rPr>
        <w:t>经区财政初审，区政府领导审核，最后报区人代会审议。我单位编制年初预算时，同时编制了项目绩效预算和整体支出绩效预算。绩效目标的设置适应上级民生要求、符合教育特点、综合考虑财政资金安排进度。积极与财政衔接，所有上级下达我单位的转移支付资金，均及时按项目执行。凡是该由区级财政承担的经费，均足额纳入年初预算，确保项目的顺利实施。各级各类专项转移支付，我们都根据规划、按资金用途分学校、分项目编制，确保资金便于监管、及时到位和归档管理。</w:t>
      </w:r>
    </w:p>
    <w:p>
      <w:pPr>
        <w:pStyle w:val="17"/>
        <w:spacing w:line="560" w:lineRule="exact"/>
        <w:ind w:firstLine="31680"/>
        <w:jc w:val="both"/>
        <w:rPr>
          <w:rFonts w:hint="default" w:ascii="宋体" w:hAnsi="宋体" w:eastAsia="宋体"/>
          <w:highlight w:val="none"/>
          <w:lang w:val="zh-CN"/>
        </w:rPr>
      </w:pPr>
      <w:r>
        <w:rPr>
          <w:rFonts w:hint="default" w:ascii="宋体" w:hAnsi="宋体" w:eastAsia="宋体"/>
          <w:highlight w:val="none"/>
          <w:lang w:val="zh-CN"/>
        </w:rPr>
        <w:t>我</w:t>
      </w:r>
      <w:r>
        <w:rPr>
          <w:rFonts w:hint="eastAsia" w:ascii="宋体" w:hAnsi="宋体" w:eastAsia="宋体"/>
          <w:highlight w:val="none"/>
          <w:lang w:val="zh-CN"/>
        </w:rPr>
        <w:t>单位</w:t>
      </w:r>
      <w:r>
        <w:rPr>
          <w:rFonts w:hint="default" w:ascii="宋体" w:hAnsi="宋体" w:eastAsia="宋体"/>
          <w:highlight w:val="none"/>
          <w:lang w:val="zh-CN"/>
        </w:rPr>
        <w:t>严格按照年初预算安排,严格执行中央八项规定和省、市十项规定,厉行节约规范使用预算资金。收入上，严格执行</w:t>
      </w:r>
      <w:r>
        <w:rPr>
          <w:rFonts w:hint="eastAsia" w:ascii="宋体" w:hAnsi="宋体" w:eastAsia="宋体"/>
          <w:highlight w:val="none"/>
          <w:lang w:val="zh-CN"/>
        </w:rPr>
        <w:t>“</w:t>
      </w:r>
      <w:r>
        <w:rPr>
          <w:rFonts w:hint="default" w:ascii="宋体" w:hAnsi="宋体" w:eastAsia="宋体"/>
          <w:highlight w:val="none"/>
          <w:lang w:val="zh-CN"/>
        </w:rPr>
        <w:t>收支两条线</w:t>
      </w:r>
      <w:r>
        <w:rPr>
          <w:rFonts w:hint="eastAsia" w:ascii="宋体" w:hAnsi="宋体" w:eastAsia="宋体"/>
          <w:highlight w:val="none"/>
          <w:lang w:val="zh-CN"/>
        </w:rPr>
        <w:t>”</w:t>
      </w:r>
      <w:r>
        <w:rPr>
          <w:rFonts w:hint="default" w:ascii="宋体" w:hAnsi="宋体" w:eastAsia="宋体"/>
          <w:highlight w:val="none"/>
          <w:lang w:val="zh-CN"/>
        </w:rPr>
        <w:t>管理制度，按规定使用非税票据并直接缴入国库，无隐瞒收入和其他违反国家收费管理规定的行为。在支出管理中,认真执行国库集中支付、政府采购、公务卡报销、重点工作和大额支付上会集体决策等相关财务管理制度。认真做好每月与银行、财政国库科的对账工作，加强动态监控，保障各项工作顺利开展。</w:t>
      </w:r>
    </w:p>
    <w:p>
      <w:pPr>
        <w:pStyle w:val="17"/>
        <w:spacing w:line="560" w:lineRule="exact"/>
        <w:ind w:firstLine="31680"/>
        <w:jc w:val="both"/>
        <w:rPr>
          <w:rFonts w:hint="default" w:ascii="宋体" w:hAnsi="宋体" w:eastAsia="宋体"/>
          <w:highlight w:val="none"/>
          <w:lang w:val="zh-CN"/>
        </w:rPr>
      </w:pPr>
      <w:r>
        <w:rPr>
          <w:rFonts w:hint="eastAsia" w:ascii="宋体" w:hAnsi="宋体" w:eastAsia="宋体"/>
          <w:highlight w:val="none"/>
          <w:lang w:val="zh-CN"/>
        </w:rPr>
        <w:t>基本支出严格按部门预算均衡执行，厉行节约，严格实行会议、公务</w:t>
      </w:r>
      <w:r>
        <w:rPr>
          <w:rFonts w:hint="eastAsia" w:ascii="宋体" w:hAnsi="宋体" w:eastAsia="宋体"/>
          <w:highlight w:val="none"/>
          <w:lang w:val="zh-CN" w:eastAsia="zh-CN"/>
        </w:rPr>
        <w:t>接</w:t>
      </w:r>
      <w:r>
        <w:rPr>
          <w:rFonts w:hint="eastAsia" w:ascii="宋体" w:hAnsi="宋体" w:eastAsia="宋体"/>
          <w:highlight w:val="none"/>
          <w:lang w:val="zh-CN"/>
        </w:rPr>
        <w:t>待和出差审批制度，会议费和公务接待经费明显下降。项目资金管理严格执行财政专项资金使用管理规定，做到了专款专用，及时保障了项目实施顺利推进。“三公”经费支出情况：</w:t>
      </w:r>
    </w:p>
    <w:p>
      <w:pPr>
        <w:pStyle w:val="17"/>
        <w:spacing w:line="560" w:lineRule="exact"/>
        <w:ind w:firstLine="31680"/>
        <w:jc w:val="both"/>
        <w:rPr>
          <w:rFonts w:hint="default" w:ascii="宋体" w:hAnsi="宋体" w:eastAsia="宋体"/>
          <w:highlight w:val="none"/>
          <w:lang w:val="zh-CN"/>
        </w:rPr>
      </w:pPr>
      <w:r>
        <w:rPr>
          <w:rFonts w:hint="default" w:ascii="宋体" w:hAnsi="宋体" w:eastAsia="宋体"/>
          <w:highlight w:val="none"/>
          <w:lang w:val="zh-CN"/>
        </w:rPr>
        <w:t>1.</w:t>
      </w:r>
      <w:r>
        <w:rPr>
          <w:rFonts w:hint="eastAsia" w:ascii="宋体" w:hAnsi="宋体" w:eastAsia="宋体"/>
          <w:highlight w:val="none"/>
          <w:lang w:val="zh-CN"/>
        </w:rPr>
        <w:t>无因公出国（境）经费支出。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/>
        </w:rPr>
      </w:pPr>
      <w:r>
        <w:rPr>
          <w:rFonts w:hint="default" w:ascii="宋体" w:hAnsi="宋体" w:eastAsia="宋体"/>
          <w:highlight w:val="none"/>
          <w:lang w:val="zh-CN"/>
        </w:rPr>
        <w:t>2.</w:t>
      </w:r>
      <w:r>
        <w:rPr>
          <w:rFonts w:hint="eastAsia" w:ascii="宋体" w:hAnsi="宋体" w:eastAsia="宋体"/>
          <w:highlight w:val="none"/>
          <w:lang w:val="zh-CN"/>
        </w:rPr>
        <w:t>公务接待费：</w:t>
      </w:r>
      <w:r>
        <w:rPr>
          <w:rFonts w:hint="default" w:ascii="宋体" w:hAnsi="宋体" w:eastAsia="宋体"/>
          <w:highlight w:val="none"/>
          <w:lang w:val="zh-CN"/>
        </w:rPr>
        <w:t>202</w:t>
      </w:r>
      <w:r>
        <w:rPr>
          <w:rFonts w:hint="eastAsia" w:ascii="宋体" w:hAnsi="宋体" w:eastAsia="宋体"/>
          <w:highlight w:val="none"/>
          <w:lang w:val="en-US" w:eastAsia="zh-CN"/>
        </w:rPr>
        <w:t>1</w:t>
      </w:r>
      <w:r>
        <w:rPr>
          <w:rFonts w:hint="eastAsia" w:ascii="宋体" w:hAnsi="宋体" w:eastAsia="宋体"/>
          <w:highlight w:val="none"/>
          <w:lang w:val="zh-CN"/>
        </w:rPr>
        <w:t>年沙湾区</w:t>
      </w:r>
      <w:r>
        <w:rPr>
          <w:rFonts w:hint="eastAsia" w:ascii="宋体" w:hAnsi="宋体" w:eastAsia="宋体"/>
          <w:highlight w:val="none"/>
          <w:lang w:val="zh-CN" w:eastAsia="zh-CN"/>
        </w:rPr>
        <w:t>乡镇学</w:t>
      </w:r>
      <w:r>
        <w:rPr>
          <w:rFonts w:hint="eastAsia" w:ascii="宋体" w:hAnsi="宋体" w:eastAsia="宋体"/>
          <w:highlight w:val="none"/>
          <w:lang w:val="zh-CN"/>
        </w:rPr>
        <w:t>校支出公务接待费</w:t>
      </w:r>
      <w:r>
        <w:rPr>
          <w:rFonts w:hint="eastAsia" w:ascii="宋体" w:hAnsi="宋体" w:eastAsia="宋体"/>
          <w:highlight w:val="none"/>
          <w:lang w:val="en-US" w:eastAsia="zh-CN"/>
        </w:rPr>
        <w:t>2.58</w:t>
      </w:r>
      <w:r>
        <w:rPr>
          <w:rFonts w:hint="eastAsia" w:ascii="宋体" w:hAnsi="宋体" w:eastAsia="宋体"/>
          <w:highlight w:val="none"/>
          <w:lang w:val="zh-CN"/>
        </w:rPr>
        <w:t>万元，完成预算</w:t>
      </w:r>
      <w:r>
        <w:rPr>
          <w:rFonts w:hint="eastAsia" w:ascii="宋体" w:hAnsi="宋体" w:eastAsia="宋体"/>
          <w:highlight w:val="none"/>
          <w:lang w:val="en-US" w:eastAsia="zh-CN"/>
        </w:rPr>
        <w:t>34.4%</w:t>
      </w:r>
      <w:r>
        <w:rPr>
          <w:rFonts w:hint="eastAsia" w:ascii="宋体" w:hAnsi="宋体" w:eastAsia="宋体"/>
          <w:highlight w:val="none"/>
          <w:lang w:val="zh-CN"/>
        </w:rPr>
        <w:t>。主要用于接待各级工作检查、部门间的业务往来。</w:t>
      </w:r>
    </w:p>
    <w:p>
      <w:pPr>
        <w:pStyle w:val="17"/>
        <w:spacing w:line="560" w:lineRule="exact"/>
        <w:ind w:firstLine="31680"/>
        <w:jc w:val="both"/>
        <w:rPr>
          <w:rFonts w:hint="default" w:ascii="宋体" w:hAnsi="宋体" w:eastAsia="宋体"/>
          <w:highlight w:val="none"/>
          <w:lang w:val="zh-CN"/>
        </w:rPr>
      </w:pPr>
      <w:r>
        <w:rPr>
          <w:rFonts w:hint="eastAsia" w:ascii="宋体" w:hAnsi="宋体" w:eastAsia="宋体"/>
          <w:highlight w:val="none"/>
          <w:lang w:val="zh-CN" w:eastAsia="zh-CN"/>
        </w:rPr>
        <w:t>我单位</w:t>
      </w:r>
      <w:r>
        <w:rPr>
          <w:rFonts w:hint="eastAsia" w:ascii="宋体" w:hAnsi="宋体" w:eastAsia="宋体"/>
          <w:highlight w:val="none"/>
          <w:lang w:val="zh-CN"/>
        </w:rPr>
        <w:t>严格进行绩效目标管理，资金使用符合各类规定要求。通过建立合理完善的制度体系和高效有序的运转流程，部门整体支出的社会性、效率性、有效性和可持续性都明显增强，切实提升了学校整体支出效益，有力推动了各项工作开展，实现了部门预算管理总体目标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580" w:lineRule="exact"/>
        <w:ind w:left="0" w:leftChars="0"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项目预算管理。</w:t>
      </w:r>
    </w:p>
    <w:p>
      <w:pPr>
        <w:widowControl/>
        <w:numPr>
          <w:ilvl w:val="0"/>
          <w:numId w:val="4"/>
        </w:numPr>
        <w:adjustRightInd w:val="0"/>
        <w:snapToGrid w:val="0"/>
        <w:spacing w:line="580" w:lineRule="exact"/>
        <w:ind w:left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Cs w:val="32"/>
          <w:shd w:val="clear" w:color="auto" w:fill="FFFFFF"/>
          <w:lang w:val="en-US" w:eastAsia="zh-CN"/>
        </w:rPr>
        <w:t>幼儿园生均公用经费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Cs w:val="32"/>
          <w:shd w:val="clear" w:color="auto" w:fill="FFFFFF"/>
          <w:lang w:val="en-US" w:eastAsia="zh-CN"/>
        </w:rPr>
        <w:t xml:space="preserve">     </w:t>
      </w:r>
      <w:r>
        <w:rPr>
          <w:rFonts w:hint="default" w:ascii="宋体" w:hAnsi="宋体" w:eastAsia="宋体"/>
          <w:highlight w:val="none"/>
          <w:lang w:val="zh-CN"/>
        </w:rPr>
        <w:t>为提高公办幼儿园财政保障水平，保证公办幼儿园正常运转所需经费，按照生均公用经费标准，根据在园幼儿人数，据实核拨幼儿园生均公用经费补助。</w:t>
      </w:r>
      <w:r>
        <w:rPr>
          <w:rFonts w:hint="eastAsia" w:ascii="宋体" w:hAnsi="宋体" w:eastAsia="宋体"/>
          <w:highlight w:val="none"/>
          <w:lang w:val="zh-CN" w:eastAsia="zh-CN"/>
        </w:rPr>
        <w:t>每生</w:t>
      </w:r>
      <w:r>
        <w:rPr>
          <w:rFonts w:hint="eastAsia" w:ascii="宋体" w:hAnsi="宋体" w:eastAsia="宋体"/>
          <w:highlight w:val="none"/>
          <w:lang w:val="en-US" w:eastAsia="zh-CN"/>
        </w:rPr>
        <w:t>500元*792人，共预算资金36.85万元。</w:t>
      </w:r>
    </w:p>
    <w:p>
      <w:pPr>
        <w:pStyle w:val="17"/>
        <w:spacing w:line="560" w:lineRule="exact"/>
        <w:ind w:firstLine="31680"/>
        <w:jc w:val="both"/>
        <w:rPr>
          <w:rFonts w:hint="default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 xml:space="preserve">   </w:t>
      </w:r>
      <w:r>
        <w:rPr>
          <w:rFonts w:hint="default" w:ascii="宋体" w:hAnsi="宋体" w:eastAsia="宋体"/>
          <w:highlight w:val="none"/>
          <w:lang w:val="zh-CN"/>
        </w:rPr>
        <w:t>生均公用经费的实施范围覆盖全</w:t>
      </w:r>
      <w:r>
        <w:rPr>
          <w:rFonts w:hint="eastAsia" w:ascii="宋体" w:hAnsi="宋体" w:eastAsia="宋体"/>
          <w:highlight w:val="none"/>
          <w:lang w:val="zh-CN" w:eastAsia="zh-CN"/>
        </w:rPr>
        <w:t>区</w:t>
      </w:r>
      <w:r>
        <w:rPr>
          <w:rFonts w:hint="default" w:ascii="宋体" w:hAnsi="宋体" w:eastAsia="宋体"/>
          <w:highlight w:val="none"/>
          <w:lang w:val="zh-CN"/>
        </w:rPr>
        <w:t>所有公办幼儿园，公办学校附设幼儿班同等纳入保障范围。生均公用经费主要用于保障公办幼儿园正常运转、完成保教活动和其他日常工作任务等方面支出，具体包括：保育教育业务与管理、师资培训、水电、取暖、文体活动、交通差旅、邮电、仪器设备及玩教具、教学材料及图书资料等购置，房屋、建筑物及设备设施的日常维修维护等。</w:t>
      </w:r>
      <w:bookmarkStart w:id="0" w:name="_GoBack"/>
      <w:bookmarkEnd w:id="0"/>
    </w:p>
    <w:p>
      <w:pPr>
        <w:widowControl/>
        <w:numPr>
          <w:ilvl w:val="0"/>
          <w:numId w:val="4"/>
        </w:numPr>
        <w:adjustRightInd w:val="0"/>
        <w:snapToGrid w:val="0"/>
        <w:spacing w:line="580" w:lineRule="exact"/>
        <w:ind w:left="640" w:leftChars="200" w:firstLine="0" w:firstLineChars="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Cs w:val="32"/>
          <w:shd w:val="clear" w:color="auto" w:fill="FFFFFF"/>
          <w:lang w:val="en-US" w:eastAsia="zh-CN"/>
        </w:rPr>
        <w:t>义务教育学校免学生作业本款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 w:eastAsia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>该项目为一项教育惠民政策，真正实现义务教育全免费。每年年初区教育局、财政局应根据上年度秋季义务教育阶段公办学校在校生人数，核定免费提供作业本学生数。小学生每生30元*0.45*4640人，中学生每生40元*0.45*3541人，共</w:t>
      </w:r>
      <w:r>
        <w:rPr>
          <w:rFonts w:hint="eastAsia" w:ascii="宋体" w:hAnsi="宋体" w:eastAsia="宋体"/>
          <w:highlight w:val="none"/>
          <w:lang w:val="zh-CN"/>
        </w:rPr>
        <w:t>预算资金12.63万元</w:t>
      </w:r>
      <w:r>
        <w:rPr>
          <w:rFonts w:hint="eastAsia" w:ascii="宋体" w:hAnsi="宋体" w:eastAsia="宋体"/>
          <w:highlight w:val="none"/>
          <w:lang w:val="zh-CN" w:eastAsia="zh-CN"/>
        </w:rPr>
        <w:t>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 w:eastAsia="宋体"/>
          <w:highlight w:val="none"/>
          <w:lang w:val="zh-CN"/>
        </w:rPr>
        <w:t>该项目的实施确保了义务教育阶段在校学生全部免费领取作业本，一定程度上减轻了学生家庭负担，取得了良好的社会效益。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（三）结果应用情况。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 w:eastAsia="zh-CN"/>
        </w:rPr>
      </w:pPr>
      <w:r>
        <w:rPr>
          <w:rFonts w:hint="eastAsia" w:ascii="宋体" w:hAnsi="宋体" w:eastAsia="宋体"/>
          <w:highlight w:val="none"/>
          <w:lang w:val="zh-CN"/>
        </w:rPr>
        <w:t>1.</w:t>
      </w:r>
      <w:r>
        <w:rPr>
          <w:rFonts w:hint="default" w:ascii="宋体" w:hAnsi="宋体" w:eastAsia="宋体"/>
          <w:highlight w:val="none"/>
          <w:lang w:val="zh-CN"/>
        </w:rPr>
        <w:t>严格执行财务管理制度。严格执行中央和上级有关部门出台的财经纪律相关规定，严控"三公经费"、会议费、培训费、差旅费等支出。严格报账程序，严把票据审核关，减少现金支付。认真做好会计核算，做到账账相符、账实相符。强化内控建设，防范防控岗位风险,确保各项工作有序运转</w:t>
      </w:r>
      <w:r>
        <w:rPr>
          <w:rFonts w:hint="eastAsia" w:ascii="宋体" w:hAnsi="宋体" w:eastAsia="宋体"/>
          <w:highlight w:val="none"/>
          <w:lang w:val="zh-CN" w:eastAsia="zh-CN"/>
        </w:rPr>
        <w:t>。</w:t>
      </w:r>
    </w:p>
    <w:p>
      <w:pPr>
        <w:pStyle w:val="17"/>
        <w:spacing w:line="560" w:lineRule="exact"/>
        <w:ind w:firstLine="31680"/>
        <w:jc w:val="both"/>
        <w:rPr>
          <w:rFonts w:hint="default" w:ascii="宋体" w:hAnsi="宋体" w:eastAsia="宋体"/>
          <w:highlight w:val="none"/>
          <w:lang w:val="zh-CN"/>
        </w:rPr>
      </w:pPr>
      <w:r>
        <w:rPr>
          <w:rFonts w:hint="eastAsia" w:ascii="宋体" w:hAnsi="宋体" w:eastAsia="宋体"/>
          <w:highlight w:val="none"/>
          <w:lang w:val="zh-CN"/>
        </w:rPr>
        <w:t>2.</w:t>
      </w:r>
      <w:r>
        <w:rPr>
          <w:rFonts w:hint="default" w:ascii="宋体" w:hAnsi="宋体" w:eastAsia="宋体"/>
          <w:highlight w:val="none"/>
          <w:lang w:val="zh-CN"/>
        </w:rPr>
        <w:t>加强政府采购管理。严格按照《政府采购法》和《政府采购法实施条例》等相关管理规定，根据省采购目录和财政部门预算管理要求，编制政府采购计划，将采购项目全部纳入部门预算管理。采购前,和财政做好事前沟通,做好采购政策咨询，了解相关业务规范；采购中,合理选择采购方式，确保采购流程合理合规，做好采购项目信息的公开公示工作；采购后,抓好采购项目的监管工作，严把质量关力求实效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/>
        </w:rPr>
      </w:pPr>
      <w:r>
        <w:rPr>
          <w:rFonts w:hint="eastAsia" w:ascii="宋体" w:hAnsi="宋体" w:eastAsia="宋体"/>
          <w:highlight w:val="none"/>
          <w:lang w:val="zh-CN"/>
        </w:rPr>
        <w:t>3.</w:t>
      </w:r>
      <w:r>
        <w:rPr>
          <w:rFonts w:hint="default" w:ascii="宋体" w:hAnsi="宋体" w:eastAsia="宋体"/>
          <w:highlight w:val="none"/>
          <w:lang w:val="zh-CN"/>
        </w:rPr>
        <w:t>加强固定资产管理。严格按照市机关事务管理局和市财政资产管理家具配置标准、新增资产配置流程、处置审批制度等相关文件要求，做好固定资产采买、报废、调整等相关管理工作。部门资产录入固定资产管理系统,建资产管理卡片,及时更新资产管理信息系统数据，做到账实相符、账卡相符</w:t>
      </w:r>
      <w:r>
        <w:rPr>
          <w:rFonts w:hint="eastAsia" w:ascii="宋体" w:hAnsi="宋体" w:eastAsia="宋体"/>
          <w:highlight w:val="none"/>
          <w:lang w:val="zh-CN" w:eastAsia="zh-CN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黑体" w:hAnsi="黑体" w:eastAsia="黑体" w:cs="宋体"/>
          <w:color w:val="000000"/>
          <w:kern w:val="0"/>
          <w:szCs w:val="32"/>
          <w:shd w:val="clear" w:color="auto" w:fill="FFFFFF"/>
        </w:rPr>
      </w:pPr>
      <w:r>
        <w:rPr>
          <w:rFonts w:hint="eastAsia" w:ascii="黑体" w:hAnsi="黑体" w:eastAsia="黑体" w:cs="宋体"/>
          <w:color w:val="000000"/>
          <w:kern w:val="0"/>
          <w:szCs w:val="32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（一）评价结论。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>2021</w:t>
      </w:r>
      <w:r>
        <w:rPr>
          <w:rFonts w:hint="eastAsia" w:ascii="宋体" w:hAnsi="宋体" w:eastAsia="宋体"/>
          <w:highlight w:val="none"/>
          <w:lang w:val="zh-CN"/>
        </w:rPr>
        <w:t>年，</w:t>
      </w:r>
      <w:r>
        <w:rPr>
          <w:rFonts w:hint="eastAsia" w:ascii="宋体" w:hAnsi="宋体" w:eastAsia="宋体"/>
          <w:highlight w:val="none"/>
          <w:lang w:val="zh-CN" w:eastAsia="zh-CN"/>
        </w:rPr>
        <w:t>我单位认真</w:t>
      </w:r>
      <w:r>
        <w:rPr>
          <w:rFonts w:hint="eastAsia" w:ascii="宋体" w:hAnsi="宋体" w:eastAsia="宋体"/>
          <w:highlight w:val="none"/>
          <w:lang w:val="zh-CN"/>
        </w:rPr>
        <w:t>做好年度财政资金的预算编制工作，按照政府采购目录及采购限额标准编制政府采购预算，做到应编尽编。在资金使用和管理方面，进一步强化资金统筹，优化资金结构，明确开支范围，细化资金用途，确保部门职责任务顺利完成。全年基本支出保证了部门的正常运行和日常工作的正常开展，达到预期绩效目标。在财政预算管理、执行和会计核算中，严格按照省、市、区有关规定执行，确保了各项财政资金的规范管理和使用的合规合法，做到会计资料真实、完整。按照财政部门整体支出绩效评价指</w:t>
      </w:r>
      <w:r>
        <w:rPr>
          <w:rFonts w:hint="eastAsia" w:ascii="宋体" w:hAnsi="宋体" w:eastAsia="宋体"/>
          <w:color w:val="auto"/>
          <w:highlight w:val="none"/>
          <w:lang w:val="zh-CN"/>
        </w:rPr>
        <w:t>标体系，自评得分</w:t>
      </w: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96.44</w:t>
      </w:r>
      <w:r>
        <w:rPr>
          <w:rFonts w:hint="eastAsia" w:ascii="宋体" w:hAnsi="宋体" w:eastAsia="宋体"/>
          <w:color w:val="auto"/>
          <w:highlight w:val="none"/>
          <w:lang w:val="zh-CN"/>
        </w:rPr>
        <w:t>分。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ind w:left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（二）存在问题。</w:t>
      </w:r>
    </w:p>
    <w:p>
      <w:pPr>
        <w:pStyle w:val="17"/>
        <w:spacing w:line="560" w:lineRule="exact"/>
        <w:ind w:firstLine="31680"/>
        <w:jc w:val="both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部份项目需由区本级按比例承担的经费不能同时上指标，造成在支付过程中不能按比例支付。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580" w:lineRule="exact"/>
        <w:ind w:left="0" w:leftChars="0" w:firstLine="640" w:firstLineChars="200"/>
        <w:contextualSpacing/>
        <w:jc w:val="left"/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</w:pPr>
      <w:r>
        <w:rPr>
          <w:rFonts w:hint="eastAsia" w:ascii="楷体_GB2312" w:hAnsi="宋体" w:eastAsia="楷体_GB2312" w:cs="宋体"/>
          <w:color w:val="000000"/>
          <w:kern w:val="0"/>
          <w:szCs w:val="32"/>
          <w:shd w:val="clear" w:color="auto" w:fill="FFFFFF"/>
          <w:lang w:val="zh-CN"/>
        </w:rPr>
        <w:t>改进建议。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 w:eastAsia="zh-CN"/>
        </w:rPr>
      </w:pPr>
      <w:r>
        <w:rPr>
          <w:rFonts w:hint="eastAsia" w:ascii="宋体" w:hAnsi="宋体" w:eastAsia="宋体"/>
          <w:highlight w:val="none"/>
          <w:lang w:val="zh-CN" w:eastAsia="zh-CN"/>
        </w:rPr>
        <w:t>1、细化预算编制工作，认真做好预算的编制。进一步加强预算管理意识，严格按照预算编制的相关制度和要求进行预算编制；进一步提高预算编制的科学性、严谨性和可控性。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 w:eastAsia="zh-CN"/>
        </w:rPr>
      </w:pPr>
      <w:r>
        <w:rPr>
          <w:rFonts w:hint="eastAsia" w:ascii="宋体" w:hAnsi="宋体" w:eastAsia="宋体"/>
          <w:highlight w:val="none"/>
          <w:lang w:val="zh-CN" w:eastAsia="zh-CN"/>
        </w:rPr>
        <w:t>2、 加强财务管理，严格财务审核。在费用报账支付时，按照预算规定的费用项目和用途进行资金使用审核、列报支付、财务核算，杜绝超支现象的发生。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 w:eastAsia="zh-CN"/>
        </w:rPr>
      </w:pPr>
      <w:r>
        <w:rPr>
          <w:rFonts w:hint="eastAsia" w:ascii="宋体" w:hAnsi="宋体" w:eastAsia="宋体"/>
          <w:highlight w:val="none"/>
          <w:lang w:val="zh-CN" w:eastAsia="zh-CN"/>
        </w:rPr>
        <w:t>3、加强项目开展进度的跟踪，开展项目绩效评价，确保项目绩效目标的完成。</w:t>
      </w:r>
    </w:p>
    <w:p>
      <w:pPr>
        <w:pStyle w:val="17"/>
        <w:spacing w:line="560" w:lineRule="exact"/>
        <w:ind w:firstLine="31680"/>
        <w:jc w:val="both"/>
        <w:rPr>
          <w:rFonts w:hint="eastAsia" w:ascii="宋体" w:hAnsi="宋体" w:eastAsia="宋体"/>
          <w:highlight w:val="none"/>
          <w:lang w:val="zh-CN" w:eastAsia="zh-CN"/>
        </w:rPr>
      </w:pPr>
    </w:p>
    <w:sectPr>
      <w:headerReference r:id="rId3" w:type="default"/>
      <w:footerReference r:id="rId4" w:type="even"/>
      <w:pgSz w:w="11906" w:h="16838"/>
      <w:pgMar w:top="907" w:right="1361" w:bottom="851" w:left="1361" w:header="851" w:footer="992" w:gutter="0"/>
      <w:pgNumType w:fmt="numberInDash" w:start="12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  <w:p>
    <w:pPr>
      <w:pStyle w:val="4"/>
      <w:tabs>
        <w:tab w:val="right" w:pos="9184"/>
        <w:tab w:val="clear" w:pos="4153"/>
        <w:tab w:val="clear" w:pos="8306"/>
      </w:tabs>
      <w:rPr>
        <w:rFonts w:ascii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B10A51"/>
    <w:multiLevelType w:val="singleLevel"/>
    <w:tmpl w:val="9BB10A5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DF8F13FB"/>
    <w:multiLevelType w:val="singleLevel"/>
    <w:tmpl w:val="DF8F13F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4EA71142"/>
    <w:multiLevelType w:val="singleLevel"/>
    <w:tmpl w:val="4EA7114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7EE55BF3"/>
    <w:multiLevelType w:val="multilevel"/>
    <w:tmpl w:val="7EE55BF3"/>
    <w:lvl w:ilvl="0" w:tentative="0">
      <w:start w:val="1"/>
      <w:numFmt w:val="chineseCountingThousand"/>
      <w:pStyle w:val="18"/>
      <w:suff w:val="nothing"/>
      <w:lvlText w:val="（%1）"/>
      <w:lvlJc w:val="left"/>
      <w:pPr>
        <w:ind w:left="0" w:firstLine="635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980" w:hanging="360"/>
      </w:pPr>
      <w:rPr>
        <w:rFonts w:hint="default"/>
      </w:rPr>
    </w:lvl>
    <w:lvl w:ilvl="2" w:tentative="0">
      <w:start w:val="4"/>
      <w:numFmt w:val="japaneseCounting"/>
      <w:lvlText w:val="%3、"/>
      <w:lvlJc w:val="left"/>
      <w:pPr>
        <w:ind w:left="17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ind w:left="1880" w:hanging="420"/>
      </w:pPr>
    </w:lvl>
    <w:lvl w:ilvl="4" w:tentative="0">
      <w:start w:val="1"/>
      <w:numFmt w:val="lowerLetter"/>
      <w:lvlText w:val="%5)"/>
      <w:lvlJc w:val="left"/>
      <w:pPr>
        <w:ind w:left="2300" w:hanging="420"/>
      </w:pPr>
    </w:lvl>
    <w:lvl w:ilvl="5" w:tentative="0">
      <w:start w:val="1"/>
      <w:numFmt w:val="lowerRoman"/>
      <w:lvlText w:val="%6."/>
      <w:lvlJc w:val="right"/>
      <w:pPr>
        <w:ind w:left="2720" w:hanging="420"/>
      </w:pPr>
    </w:lvl>
    <w:lvl w:ilvl="6" w:tentative="0">
      <w:start w:val="1"/>
      <w:numFmt w:val="decimal"/>
      <w:lvlText w:val="%7."/>
      <w:lvlJc w:val="left"/>
      <w:pPr>
        <w:ind w:left="3140" w:hanging="420"/>
      </w:pPr>
    </w:lvl>
    <w:lvl w:ilvl="7" w:tentative="0">
      <w:start w:val="1"/>
      <w:numFmt w:val="lowerLetter"/>
      <w:lvlText w:val="%8)"/>
      <w:lvlJc w:val="left"/>
      <w:pPr>
        <w:ind w:left="3560" w:hanging="420"/>
      </w:pPr>
    </w:lvl>
    <w:lvl w:ilvl="8" w:tentative="0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NotTrackMoves/>
  <w:documentProtection w:enforcement="0"/>
  <w:defaultTabStop w:val="420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DIzZmJhYTVmNGMzNzAzZGZjM2I3MmIxYjE4NDU0YWQifQ=="/>
  </w:docVars>
  <w:rsids>
    <w:rsidRoot w:val="00EC0174"/>
    <w:rsid w:val="00006E4D"/>
    <w:rsid w:val="00021652"/>
    <w:rsid w:val="00030311"/>
    <w:rsid w:val="00030782"/>
    <w:rsid w:val="00030B66"/>
    <w:rsid w:val="0006068D"/>
    <w:rsid w:val="0006102A"/>
    <w:rsid w:val="00065B0F"/>
    <w:rsid w:val="00065E7E"/>
    <w:rsid w:val="000820BB"/>
    <w:rsid w:val="0008241B"/>
    <w:rsid w:val="00092280"/>
    <w:rsid w:val="00097FAE"/>
    <w:rsid w:val="000A3233"/>
    <w:rsid w:val="000A7486"/>
    <w:rsid w:val="000A7CE3"/>
    <w:rsid w:val="000B04D6"/>
    <w:rsid w:val="000B15CE"/>
    <w:rsid w:val="000C40C6"/>
    <w:rsid w:val="000C79C1"/>
    <w:rsid w:val="000D208A"/>
    <w:rsid w:val="000D3476"/>
    <w:rsid w:val="000E037E"/>
    <w:rsid w:val="000F659A"/>
    <w:rsid w:val="000F77B0"/>
    <w:rsid w:val="0010235D"/>
    <w:rsid w:val="00103A47"/>
    <w:rsid w:val="00106D4D"/>
    <w:rsid w:val="001119A2"/>
    <w:rsid w:val="001221D6"/>
    <w:rsid w:val="0012510A"/>
    <w:rsid w:val="00125F67"/>
    <w:rsid w:val="001261AE"/>
    <w:rsid w:val="001348A4"/>
    <w:rsid w:val="0014117C"/>
    <w:rsid w:val="00146FE8"/>
    <w:rsid w:val="0014767B"/>
    <w:rsid w:val="00147AED"/>
    <w:rsid w:val="00154C87"/>
    <w:rsid w:val="00177AAF"/>
    <w:rsid w:val="00183850"/>
    <w:rsid w:val="00184D9F"/>
    <w:rsid w:val="001A4749"/>
    <w:rsid w:val="001A4842"/>
    <w:rsid w:val="001A5833"/>
    <w:rsid w:val="001C2158"/>
    <w:rsid w:val="001C51F2"/>
    <w:rsid w:val="001C73AB"/>
    <w:rsid w:val="001D2EA4"/>
    <w:rsid w:val="001F47CE"/>
    <w:rsid w:val="001F5776"/>
    <w:rsid w:val="0020620D"/>
    <w:rsid w:val="002069BC"/>
    <w:rsid w:val="002069EB"/>
    <w:rsid w:val="002201B0"/>
    <w:rsid w:val="00220900"/>
    <w:rsid w:val="0022307E"/>
    <w:rsid w:val="00224D05"/>
    <w:rsid w:val="002323A3"/>
    <w:rsid w:val="00236EF7"/>
    <w:rsid w:val="0024058A"/>
    <w:rsid w:val="002410C0"/>
    <w:rsid w:val="00252894"/>
    <w:rsid w:val="00253FA6"/>
    <w:rsid w:val="00254728"/>
    <w:rsid w:val="002550E7"/>
    <w:rsid w:val="002558D4"/>
    <w:rsid w:val="002560E2"/>
    <w:rsid w:val="00264CFA"/>
    <w:rsid w:val="00270DD7"/>
    <w:rsid w:val="00276F4A"/>
    <w:rsid w:val="00280BFB"/>
    <w:rsid w:val="00280C88"/>
    <w:rsid w:val="002973A4"/>
    <w:rsid w:val="002A0195"/>
    <w:rsid w:val="002B5B34"/>
    <w:rsid w:val="002B6906"/>
    <w:rsid w:val="002B7215"/>
    <w:rsid w:val="002C0AFD"/>
    <w:rsid w:val="002C59D0"/>
    <w:rsid w:val="002D1A18"/>
    <w:rsid w:val="002D6C79"/>
    <w:rsid w:val="002E1104"/>
    <w:rsid w:val="002E3FDD"/>
    <w:rsid w:val="00300EF4"/>
    <w:rsid w:val="00301353"/>
    <w:rsid w:val="00305FF6"/>
    <w:rsid w:val="00307568"/>
    <w:rsid w:val="00311506"/>
    <w:rsid w:val="00316ADB"/>
    <w:rsid w:val="00317623"/>
    <w:rsid w:val="00335F67"/>
    <w:rsid w:val="003361E9"/>
    <w:rsid w:val="00350A65"/>
    <w:rsid w:val="00352164"/>
    <w:rsid w:val="00361C85"/>
    <w:rsid w:val="00371352"/>
    <w:rsid w:val="00376753"/>
    <w:rsid w:val="0038541D"/>
    <w:rsid w:val="00385E33"/>
    <w:rsid w:val="00387818"/>
    <w:rsid w:val="00391A13"/>
    <w:rsid w:val="00391FD0"/>
    <w:rsid w:val="003A44FC"/>
    <w:rsid w:val="003B3299"/>
    <w:rsid w:val="003D10A2"/>
    <w:rsid w:val="003D33B8"/>
    <w:rsid w:val="003D624D"/>
    <w:rsid w:val="003D719A"/>
    <w:rsid w:val="003F5EB7"/>
    <w:rsid w:val="003F7FE2"/>
    <w:rsid w:val="004004E7"/>
    <w:rsid w:val="00401C7A"/>
    <w:rsid w:val="00416E1A"/>
    <w:rsid w:val="00426A3F"/>
    <w:rsid w:val="004277D4"/>
    <w:rsid w:val="00450984"/>
    <w:rsid w:val="00461638"/>
    <w:rsid w:val="004706FA"/>
    <w:rsid w:val="00474D8D"/>
    <w:rsid w:val="00475CCD"/>
    <w:rsid w:val="00477266"/>
    <w:rsid w:val="004811BC"/>
    <w:rsid w:val="004838F2"/>
    <w:rsid w:val="00486492"/>
    <w:rsid w:val="00492CF6"/>
    <w:rsid w:val="004A4C9D"/>
    <w:rsid w:val="004C2078"/>
    <w:rsid w:val="004C228F"/>
    <w:rsid w:val="004E752F"/>
    <w:rsid w:val="004F1E37"/>
    <w:rsid w:val="00515198"/>
    <w:rsid w:val="00521C44"/>
    <w:rsid w:val="005274E1"/>
    <w:rsid w:val="00531DDF"/>
    <w:rsid w:val="00535FA6"/>
    <w:rsid w:val="00537DB9"/>
    <w:rsid w:val="00542AB7"/>
    <w:rsid w:val="0055358D"/>
    <w:rsid w:val="005540C8"/>
    <w:rsid w:val="00555809"/>
    <w:rsid w:val="00562165"/>
    <w:rsid w:val="005756AF"/>
    <w:rsid w:val="00575A4A"/>
    <w:rsid w:val="00591B6F"/>
    <w:rsid w:val="005A1DAF"/>
    <w:rsid w:val="005A67BD"/>
    <w:rsid w:val="005C17C8"/>
    <w:rsid w:val="005C2098"/>
    <w:rsid w:val="005C2E6C"/>
    <w:rsid w:val="005D0CCF"/>
    <w:rsid w:val="005D1C01"/>
    <w:rsid w:val="005D5BEE"/>
    <w:rsid w:val="005E297D"/>
    <w:rsid w:val="005E3F12"/>
    <w:rsid w:val="005F627E"/>
    <w:rsid w:val="0061652E"/>
    <w:rsid w:val="006205E9"/>
    <w:rsid w:val="00622D0B"/>
    <w:rsid w:val="006270DA"/>
    <w:rsid w:val="00630B75"/>
    <w:rsid w:val="00634DFF"/>
    <w:rsid w:val="00635337"/>
    <w:rsid w:val="0064265B"/>
    <w:rsid w:val="0064519C"/>
    <w:rsid w:val="0065082E"/>
    <w:rsid w:val="006512D0"/>
    <w:rsid w:val="006560A3"/>
    <w:rsid w:val="00656301"/>
    <w:rsid w:val="006600C9"/>
    <w:rsid w:val="006701CC"/>
    <w:rsid w:val="00671F58"/>
    <w:rsid w:val="006762A4"/>
    <w:rsid w:val="006900E7"/>
    <w:rsid w:val="006A00A8"/>
    <w:rsid w:val="006A482D"/>
    <w:rsid w:val="006B11E0"/>
    <w:rsid w:val="006B386A"/>
    <w:rsid w:val="006B7CB4"/>
    <w:rsid w:val="006C24D3"/>
    <w:rsid w:val="006C7917"/>
    <w:rsid w:val="006E51AE"/>
    <w:rsid w:val="0070081F"/>
    <w:rsid w:val="007018F5"/>
    <w:rsid w:val="00710897"/>
    <w:rsid w:val="00712F45"/>
    <w:rsid w:val="00734305"/>
    <w:rsid w:val="007370E1"/>
    <w:rsid w:val="00737684"/>
    <w:rsid w:val="007732A1"/>
    <w:rsid w:val="007739D4"/>
    <w:rsid w:val="00774C4A"/>
    <w:rsid w:val="00782BBB"/>
    <w:rsid w:val="007A0690"/>
    <w:rsid w:val="007A078F"/>
    <w:rsid w:val="007B34D4"/>
    <w:rsid w:val="007C0633"/>
    <w:rsid w:val="007D086C"/>
    <w:rsid w:val="007F1BE1"/>
    <w:rsid w:val="007F707F"/>
    <w:rsid w:val="007F794C"/>
    <w:rsid w:val="007F7AC9"/>
    <w:rsid w:val="00803B42"/>
    <w:rsid w:val="008073EF"/>
    <w:rsid w:val="0081095C"/>
    <w:rsid w:val="00810C41"/>
    <w:rsid w:val="008212FF"/>
    <w:rsid w:val="0082593B"/>
    <w:rsid w:val="00827537"/>
    <w:rsid w:val="00830A05"/>
    <w:rsid w:val="0083462A"/>
    <w:rsid w:val="008468EA"/>
    <w:rsid w:val="00867140"/>
    <w:rsid w:val="00881134"/>
    <w:rsid w:val="008904F0"/>
    <w:rsid w:val="008B2F27"/>
    <w:rsid w:val="008B4A72"/>
    <w:rsid w:val="008B585E"/>
    <w:rsid w:val="008E6C0C"/>
    <w:rsid w:val="008F1E63"/>
    <w:rsid w:val="008F3052"/>
    <w:rsid w:val="00901E19"/>
    <w:rsid w:val="009214F7"/>
    <w:rsid w:val="00921CD7"/>
    <w:rsid w:val="00940EB6"/>
    <w:rsid w:val="00944771"/>
    <w:rsid w:val="009601FC"/>
    <w:rsid w:val="00965426"/>
    <w:rsid w:val="0096654A"/>
    <w:rsid w:val="009711E4"/>
    <w:rsid w:val="00971572"/>
    <w:rsid w:val="00981E55"/>
    <w:rsid w:val="00986CEF"/>
    <w:rsid w:val="00987212"/>
    <w:rsid w:val="009A0E5F"/>
    <w:rsid w:val="009F1AF3"/>
    <w:rsid w:val="009F233E"/>
    <w:rsid w:val="00A024AB"/>
    <w:rsid w:val="00A050A5"/>
    <w:rsid w:val="00A05B8B"/>
    <w:rsid w:val="00A1372F"/>
    <w:rsid w:val="00A170EC"/>
    <w:rsid w:val="00A217B3"/>
    <w:rsid w:val="00A23D04"/>
    <w:rsid w:val="00A277D9"/>
    <w:rsid w:val="00A30CEB"/>
    <w:rsid w:val="00A31318"/>
    <w:rsid w:val="00A5432A"/>
    <w:rsid w:val="00A55F8A"/>
    <w:rsid w:val="00A9670E"/>
    <w:rsid w:val="00AA1423"/>
    <w:rsid w:val="00AB7996"/>
    <w:rsid w:val="00AC43C3"/>
    <w:rsid w:val="00AE2EAD"/>
    <w:rsid w:val="00AF77BE"/>
    <w:rsid w:val="00B11CEE"/>
    <w:rsid w:val="00B23428"/>
    <w:rsid w:val="00B264BF"/>
    <w:rsid w:val="00B42E74"/>
    <w:rsid w:val="00B46874"/>
    <w:rsid w:val="00B50E8F"/>
    <w:rsid w:val="00B51151"/>
    <w:rsid w:val="00B523E4"/>
    <w:rsid w:val="00B52B4F"/>
    <w:rsid w:val="00B6108C"/>
    <w:rsid w:val="00B649AD"/>
    <w:rsid w:val="00B64B9C"/>
    <w:rsid w:val="00B67A3E"/>
    <w:rsid w:val="00B735CC"/>
    <w:rsid w:val="00B82C95"/>
    <w:rsid w:val="00B83F87"/>
    <w:rsid w:val="00B84DFD"/>
    <w:rsid w:val="00BB4E38"/>
    <w:rsid w:val="00BC3879"/>
    <w:rsid w:val="00BD0E0D"/>
    <w:rsid w:val="00BD41BC"/>
    <w:rsid w:val="00BD55AD"/>
    <w:rsid w:val="00BD7047"/>
    <w:rsid w:val="00BE0305"/>
    <w:rsid w:val="00BF15F0"/>
    <w:rsid w:val="00BF7DF9"/>
    <w:rsid w:val="00C03559"/>
    <w:rsid w:val="00C05395"/>
    <w:rsid w:val="00C22AD7"/>
    <w:rsid w:val="00C272C1"/>
    <w:rsid w:val="00C32A68"/>
    <w:rsid w:val="00C34282"/>
    <w:rsid w:val="00C35350"/>
    <w:rsid w:val="00C3564B"/>
    <w:rsid w:val="00C41851"/>
    <w:rsid w:val="00C53721"/>
    <w:rsid w:val="00C64D2E"/>
    <w:rsid w:val="00C70F97"/>
    <w:rsid w:val="00C7497C"/>
    <w:rsid w:val="00C757A2"/>
    <w:rsid w:val="00C75966"/>
    <w:rsid w:val="00C76577"/>
    <w:rsid w:val="00C80225"/>
    <w:rsid w:val="00C81349"/>
    <w:rsid w:val="00C93139"/>
    <w:rsid w:val="00CA08A0"/>
    <w:rsid w:val="00CA32D2"/>
    <w:rsid w:val="00CA4E07"/>
    <w:rsid w:val="00CA737D"/>
    <w:rsid w:val="00CB1EF5"/>
    <w:rsid w:val="00CC05D4"/>
    <w:rsid w:val="00CC7166"/>
    <w:rsid w:val="00CF5275"/>
    <w:rsid w:val="00CF6136"/>
    <w:rsid w:val="00D0023D"/>
    <w:rsid w:val="00D006C6"/>
    <w:rsid w:val="00D14A65"/>
    <w:rsid w:val="00D162B9"/>
    <w:rsid w:val="00D251E2"/>
    <w:rsid w:val="00D254F4"/>
    <w:rsid w:val="00D263A7"/>
    <w:rsid w:val="00D26B5D"/>
    <w:rsid w:val="00D33159"/>
    <w:rsid w:val="00D33A19"/>
    <w:rsid w:val="00D349F5"/>
    <w:rsid w:val="00D355B5"/>
    <w:rsid w:val="00D43DC3"/>
    <w:rsid w:val="00D51791"/>
    <w:rsid w:val="00D5281E"/>
    <w:rsid w:val="00D6531B"/>
    <w:rsid w:val="00D6612D"/>
    <w:rsid w:val="00D71AD9"/>
    <w:rsid w:val="00D73C02"/>
    <w:rsid w:val="00D77D81"/>
    <w:rsid w:val="00D8170D"/>
    <w:rsid w:val="00D872ED"/>
    <w:rsid w:val="00D913C6"/>
    <w:rsid w:val="00DA0236"/>
    <w:rsid w:val="00DA5D51"/>
    <w:rsid w:val="00DA5E29"/>
    <w:rsid w:val="00DA61CA"/>
    <w:rsid w:val="00DB66BB"/>
    <w:rsid w:val="00DB73AF"/>
    <w:rsid w:val="00DC2865"/>
    <w:rsid w:val="00DD0894"/>
    <w:rsid w:val="00DD12DB"/>
    <w:rsid w:val="00DE1888"/>
    <w:rsid w:val="00DF1250"/>
    <w:rsid w:val="00DF6EF7"/>
    <w:rsid w:val="00E05454"/>
    <w:rsid w:val="00E074C3"/>
    <w:rsid w:val="00E23329"/>
    <w:rsid w:val="00E24D6D"/>
    <w:rsid w:val="00E341B2"/>
    <w:rsid w:val="00E42633"/>
    <w:rsid w:val="00E5699E"/>
    <w:rsid w:val="00E570E1"/>
    <w:rsid w:val="00E70BEA"/>
    <w:rsid w:val="00E72773"/>
    <w:rsid w:val="00E76739"/>
    <w:rsid w:val="00E81946"/>
    <w:rsid w:val="00E82BB7"/>
    <w:rsid w:val="00E86D13"/>
    <w:rsid w:val="00E936C2"/>
    <w:rsid w:val="00E95346"/>
    <w:rsid w:val="00EA0CEF"/>
    <w:rsid w:val="00EA2E2A"/>
    <w:rsid w:val="00EB79D2"/>
    <w:rsid w:val="00EC0174"/>
    <w:rsid w:val="00ED3EEB"/>
    <w:rsid w:val="00ED5749"/>
    <w:rsid w:val="00ED5FA3"/>
    <w:rsid w:val="00ED68C4"/>
    <w:rsid w:val="00ED6A4E"/>
    <w:rsid w:val="00ED72EA"/>
    <w:rsid w:val="00EE3A4F"/>
    <w:rsid w:val="00EF10C3"/>
    <w:rsid w:val="00EF3BD2"/>
    <w:rsid w:val="00F16BCE"/>
    <w:rsid w:val="00F45DA1"/>
    <w:rsid w:val="00F5267B"/>
    <w:rsid w:val="00F53E8B"/>
    <w:rsid w:val="00F663FD"/>
    <w:rsid w:val="00F743B0"/>
    <w:rsid w:val="00F82409"/>
    <w:rsid w:val="00F8264F"/>
    <w:rsid w:val="00F833E9"/>
    <w:rsid w:val="00F84580"/>
    <w:rsid w:val="00F873DA"/>
    <w:rsid w:val="00F95982"/>
    <w:rsid w:val="00FA006C"/>
    <w:rsid w:val="00FA190E"/>
    <w:rsid w:val="00FA288B"/>
    <w:rsid w:val="00FA2997"/>
    <w:rsid w:val="00FA2C71"/>
    <w:rsid w:val="00FB3345"/>
    <w:rsid w:val="00FD0228"/>
    <w:rsid w:val="00FD3BB7"/>
    <w:rsid w:val="00FE0D93"/>
    <w:rsid w:val="00FF2572"/>
    <w:rsid w:val="00FF32AD"/>
    <w:rsid w:val="03946B2A"/>
    <w:rsid w:val="0EA26937"/>
    <w:rsid w:val="179B1456"/>
    <w:rsid w:val="19927F78"/>
    <w:rsid w:val="1B751D14"/>
    <w:rsid w:val="21AE59D8"/>
    <w:rsid w:val="286F56EA"/>
    <w:rsid w:val="2C922E38"/>
    <w:rsid w:val="2D527252"/>
    <w:rsid w:val="329102D6"/>
    <w:rsid w:val="32A619FF"/>
    <w:rsid w:val="3A9520B3"/>
    <w:rsid w:val="3DE562B7"/>
    <w:rsid w:val="3E6507EA"/>
    <w:rsid w:val="452D305D"/>
    <w:rsid w:val="47550EBA"/>
    <w:rsid w:val="505F3BD0"/>
    <w:rsid w:val="50BB3388"/>
    <w:rsid w:val="52426ADC"/>
    <w:rsid w:val="546E09E6"/>
    <w:rsid w:val="6547354E"/>
    <w:rsid w:val="6636451A"/>
    <w:rsid w:val="686F4818"/>
    <w:rsid w:val="68B22057"/>
    <w:rsid w:val="6BE94116"/>
    <w:rsid w:val="78916378"/>
    <w:rsid w:val="7BC20073"/>
    <w:rsid w:val="7C631402"/>
    <w:rsid w:val="7DCC0F6E"/>
    <w:rsid w:val="7E140770"/>
    <w:rsid w:val="7F160763"/>
    <w:rsid w:val="9BFF62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99" w:semiHidden="0" w:name="Document Map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qFormat/>
    <w:uiPriority w:val="99"/>
    <w:rPr>
      <w:rFonts w:ascii="宋体"/>
      <w:sz w:val="18"/>
      <w:szCs w:val="18"/>
    </w:r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qFormat/>
    <w:uiPriority w:val="99"/>
    <w:rPr>
      <w:rFonts w:cs="Times New Roman"/>
    </w:rPr>
  </w:style>
  <w:style w:type="character" w:customStyle="1" w:styleId="10">
    <w:name w:val="文档结构图 Char"/>
    <w:link w:val="2"/>
    <w:qFormat/>
    <w:locked/>
    <w:uiPriority w:val="99"/>
    <w:rPr>
      <w:rFonts w:ascii="宋体" w:cs="Times New Roman"/>
      <w:kern w:val="2"/>
      <w:sz w:val="18"/>
      <w:szCs w:val="18"/>
    </w:rPr>
  </w:style>
  <w:style w:type="character" w:customStyle="1" w:styleId="11">
    <w:name w:val="批注框文本 Char"/>
    <w:link w:val="3"/>
    <w:semiHidden/>
    <w:qFormat/>
    <w:locked/>
    <w:uiPriority w:val="99"/>
    <w:rPr>
      <w:rFonts w:cs="Times New Roman"/>
      <w:sz w:val="2"/>
    </w:rPr>
  </w:style>
  <w:style w:type="character" w:customStyle="1" w:styleId="12">
    <w:name w:val="页脚 Char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眉 Char"/>
    <w:link w:val="5"/>
    <w:semiHidden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四号正文"/>
    <w:basedOn w:val="1"/>
    <w:link w:val="15"/>
    <w:qFormat/>
    <w:uiPriority w:val="99"/>
    <w:pPr>
      <w:spacing w:line="360" w:lineRule="auto"/>
    </w:pPr>
    <w:rPr>
      <w:rFonts w:ascii="??" w:hAnsi="??" w:cs="宋体"/>
      <w:color w:val="000000"/>
      <w:kern w:val="0"/>
      <w:sz w:val="28"/>
      <w:szCs w:val="21"/>
    </w:rPr>
  </w:style>
  <w:style w:type="character" w:customStyle="1" w:styleId="15">
    <w:name w:val="四号正文 Char"/>
    <w:link w:val="14"/>
    <w:qFormat/>
    <w:locked/>
    <w:uiPriority w:val="99"/>
    <w:rPr>
      <w:rFonts w:ascii="??" w:hAnsi="??" w:eastAsia="宋体" w:cs="宋体"/>
      <w:color w:val="000000"/>
      <w:sz w:val="21"/>
      <w:szCs w:val="21"/>
      <w:lang w:val="en-US" w:eastAsia="zh-CN" w:bidi="ar-SA"/>
    </w:rPr>
  </w:style>
  <w:style w:type="paragraph" w:customStyle="1" w:styleId="16">
    <w:name w:val="a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〖C01〗正文"/>
    <w:qFormat/>
    <w:uiPriority w:val="99"/>
    <w:pPr>
      <w:widowControl w:val="0"/>
      <w:topLinePunct/>
      <w:spacing w:line="600" w:lineRule="exact"/>
      <w:ind w:firstLine="637" w:firstLineChars="200"/>
    </w:pPr>
    <w:rPr>
      <w:rFonts w:ascii="仿宋_GB2312" w:hAnsi="Calibri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8">
    <w:name w:val="〖B02〗二级标题"/>
    <w:next w:val="1"/>
    <w:qFormat/>
    <w:uiPriority w:val="0"/>
    <w:pPr>
      <w:widowControl w:val="0"/>
      <w:numPr>
        <w:ilvl w:val="0"/>
        <w:numId w:val="1"/>
      </w:numPr>
      <w:spacing w:line="600" w:lineRule="exact"/>
      <w:outlineLvl w:val="1"/>
    </w:pPr>
    <w:rPr>
      <w:rFonts w:ascii="楷体_GB2312" w:hAnsi="Calibri" w:eastAsia="楷体_GB2312" w:cs="Times New Roman"/>
      <w:kern w:val="2"/>
      <w:sz w:val="32"/>
      <w:szCs w:val="21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PSZX</Company>
  <Pages>3</Pages>
  <Words>1285</Words>
  <Characters>1371</Characters>
  <Lines>2</Lines>
  <Paragraphs>1</Paragraphs>
  <TotalTime>10</TotalTime>
  <ScaleCrop>false</ScaleCrop>
  <LinksUpToDate>false</LinksUpToDate>
  <CharactersWithSpaces>1374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2020-05-28T09:28:00Z</dcterms:created>
  <dc:creator>陈萍</dc:creator>
  <cp:lastModifiedBy>易雷</cp:lastModifiedBy>
  <cp:lastPrinted>2022-03-15T02:17:00Z</cp:lastPrinted>
  <dcterms:modified xsi:type="dcterms:W3CDTF">2022-06-27T08:31:26Z</dcterms:modified>
  <dc:title>区域性就业培训基地建设项目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EBDABDB52E904765920355EFF6F28208</vt:lpwstr>
  </property>
</Properties>
</file>