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黑体" w:hAnsi="宋体" w:eastAsia="黑体"/>
          <w:szCs w:val="32"/>
          <w:lang w:val="zh-CN"/>
        </w:rPr>
      </w:pPr>
    </w:p>
    <w:p>
      <w:pPr>
        <w:pStyle w:val="22"/>
        <w:rPr>
          <w:rFonts w:hint="eastAsia" w:asciiTheme="minorEastAsia" w:hAnsiTheme="minorEastAsia" w:eastAsiaTheme="minorEastAsia"/>
          <w:b/>
          <w:sz w:val="48"/>
          <w:szCs w:val="48"/>
          <w:shd w:val="clear" w:color="auto" w:fill="FFFFFF"/>
          <w:lang w:eastAsia="zh-CN"/>
        </w:rPr>
      </w:pPr>
      <w:r>
        <w:rPr>
          <w:rFonts w:hint="eastAsia" w:asciiTheme="minorEastAsia" w:hAnsiTheme="minorEastAsia" w:eastAsiaTheme="minorEastAsia"/>
          <w:b/>
          <w:sz w:val="48"/>
          <w:szCs w:val="48"/>
          <w:shd w:val="clear" w:color="auto" w:fill="FFFFFF"/>
          <w:lang w:eastAsia="zh-CN"/>
        </w:rPr>
        <w:t>四川省乐山沫若中学</w:t>
      </w:r>
    </w:p>
    <w:p>
      <w:pPr>
        <w:pStyle w:val="22"/>
        <w:rPr>
          <w:rFonts w:asciiTheme="minorEastAsia" w:hAnsiTheme="minorEastAsia" w:eastAsiaTheme="minorEastAsia"/>
          <w:sz w:val="48"/>
          <w:szCs w:val="48"/>
          <w:shd w:val="clear" w:color="auto" w:fill="FFFFFF"/>
        </w:rPr>
      </w:pPr>
      <w:r>
        <w:rPr>
          <w:rFonts w:hint="eastAsia" w:asciiTheme="minorEastAsia" w:hAnsiTheme="minorEastAsia" w:eastAsiaTheme="minorEastAsia"/>
          <w:b/>
          <w:sz w:val="48"/>
          <w:szCs w:val="48"/>
          <w:shd w:val="clear" w:color="auto" w:fill="FFFFFF"/>
        </w:rPr>
        <w:t>202</w:t>
      </w:r>
      <w:r>
        <w:rPr>
          <w:rFonts w:hint="eastAsia" w:asciiTheme="minorEastAsia" w:hAnsiTheme="minorEastAsia" w:eastAsiaTheme="minorEastAsia"/>
          <w:b/>
          <w:sz w:val="48"/>
          <w:szCs w:val="48"/>
          <w:shd w:val="clear" w:color="auto" w:fill="FFFFFF"/>
          <w:lang w:val="en-US" w:eastAsia="zh-CN"/>
        </w:rPr>
        <w:t>1</w:t>
      </w:r>
      <w:r>
        <w:rPr>
          <w:rFonts w:hint="eastAsia" w:asciiTheme="minorEastAsia" w:hAnsiTheme="minorEastAsia" w:eastAsiaTheme="minorEastAsia"/>
          <w:b/>
          <w:sz w:val="48"/>
          <w:szCs w:val="48"/>
          <w:shd w:val="clear" w:color="auto" w:fill="FFFFFF"/>
        </w:rPr>
        <w:t>年部门整体支出绩效</w:t>
      </w:r>
      <w:r>
        <w:rPr>
          <w:rFonts w:hint="eastAsia" w:asciiTheme="minorEastAsia" w:hAnsiTheme="minorEastAsia" w:eastAsiaTheme="minorEastAsia"/>
          <w:b/>
          <w:sz w:val="48"/>
          <w:szCs w:val="48"/>
          <w:shd w:val="clear" w:color="auto" w:fill="FFFFFF"/>
          <w:lang w:val="en-US" w:eastAsia="zh-CN"/>
        </w:rPr>
        <w:t>自评</w:t>
      </w:r>
      <w:r>
        <w:rPr>
          <w:rFonts w:hint="eastAsia" w:asciiTheme="minorEastAsia" w:hAnsiTheme="minorEastAsia" w:eastAsiaTheme="minorEastAsia"/>
          <w:b/>
          <w:sz w:val="48"/>
          <w:szCs w:val="48"/>
          <w:shd w:val="clear" w:color="auto" w:fill="FFFFFF"/>
        </w:rPr>
        <w:t>报告</w:t>
      </w:r>
    </w:p>
    <w:p>
      <w:pPr>
        <w:widowControl/>
        <w:adjustRightInd w:val="0"/>
        <w:snapToGrid w:val="0"/>
        <w:spacing w:line="540" w:lineRule="exact"/>
        <w:ind w:firstLine="720"/>
        <w:jc w:val="left"/>
        <w:rPr>
          <w:rFonts w:cs="宋体" w:asciiTheme="minorEastAsia" w:hAnsiTheme="minorEastAsia" w:eastAsiaTheme="minorEastAsia"/>
          <w:color w:val="000000"/>
          <w:kern w:val="0"/>
          <w:szCs w:val="32"/>
          <w:shd w:val="clear" w:color="auto" w:fill="FFFFFF"/>
        </w:rPr>
      </w:pPr>
    </w:p>
    <w:p>
      <w:pPr>
        <w:pStyle w:val="27"/>
        <w:numPr>
          <w:ilvl w:val="0"/>
          <w:numId w:val="0"/>
        </w:numPr>
        <w:spacing w:line="560" w:lineRule="exact"/>
        <w:ind w:firstLine="643" w:firstLineChars="200"/>
        <w:outlineLvl w:val="9"/>
        <w:rPr>
          <w:rFonts w:asciiTheme="minorEastAsia" w:hAnsiTheme="minorEastAsia" w:eastAsiaTheme="minorEastAsia"/>
          <w:b/>
          <w:shd w:val="clear" w:color="auto" w:fill="FFFFFF"/>
          <w:lang w:val="zh-CN"/>
        </w:rPr>
      </w:pPr>
      <w:r>
        <w:rPr>
          <w:rFonts w:hint="eastAsia" w:asciiTheme="minorEastAsia" w:hAnsiTheme="minorEastAsia" w:eastAsiaTheme="minorEastAsia"/>
          <w:b/>
          <w:shd w:val="clear" w:color="auto" w:fill="FFFFFF"/>
          <w:lang w:val="zh-CN"/>
        </w:rPr>
        <w:t>一、部门（单位）概况</w:t>
      </w:r>
    </w:p>
    <w:p>
      <w:pPr>
        <w:pStyle w:val="28"/>
        <w:numPr>
          <w:ilvl w:val="0"/>
          <w:numId w:val="0"/>
        </w:numPr>
        <w:spacing w:line="560" w:lineRule="exact"/>
        <w:ind w:left="635"/>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（一）机构组成</w:t>
      </w:r>
    </w:p>
    <w:p>
      <w:pPr>
        <w:spacing w:line="560" w:lineRule="exact"/>
        <w:ind w:firstLine="640" w:firstLineChars="200"/>
        <w:rPr>
          <w:rFonts w:hint="eastAsia" w:ascii="宋体" w:hAnsi="宋体" w:eastAsia="宋体" w:cs="仿宋_GB2312"/>
          <w:szCs w:val="32"/>
          <w:lang w:val="en-US" w:eastAsia="zh-CN"/>
        </w:rPr>
      </w:pPr>
      <w:r>
        <w:rPr>
          <w:rFonts w:hint="eastAsia" w:ascii="宋体" w:hAnsi="宋体" w:eastAsia="宋体" w:cs="仿宋_GB2312"/>
          <w:szCs w:val="32"/>
          <w:lang w:val="en-US" w:eastAsia="zh-CN"/>
        </w:rPr>
        <w:t>1、主要职责</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四川省乐山沫若中学贯彻落实党中央、省委、市委关于教育工作的方针政策和区教育局工作部署，在履行职责过程中坚持和加强党对教育工作的集中统一领导。主要职责是：</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实施初中、高中学历教学，促进基础教育发展。初中、高中学历教育（相关社会服务）。</w:t>
      </w:r>
    </w:p>
    <w:p>
      <w:pPr>
        <w:spacing w:line="560" w:lineRule="exact"/>
        <w:ind w:firstLine="640" w:firstLineChars="200"/>
        <w:rPr>
          <w:rFonts w:hint="default" w:ascii="宋体" w:hAnsi="宋体" w:eastAsia="宋体" w:cs="仿宋_GB2312"/>
          <w:szCs w:val="32"/>
          <w:lang w:val="en-US" w:eastAsia="zh-CN"/>
        </w:rPr>
      </w:pPr>
      <w:r>
        <w:rPr>
          <w:rFonts w:hint="eastAsia" w:ascii="宋体" w:hAnsi="宋体" w:eastAsia="宋体" w:cs="仿宋_GB2312"/>
          <w:szCs w:val="32"/>
          <w:lang w:val="en-US" w:eastAsia="zh-CN"/>
        </w:rPr>
        <w:t>2、机构设置</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四川省乐山沫若中学下设部门9个，其中行政单位0个，参照公务员法管理的事业单位0个，其他事业单位1个。</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1.沫若中学党总支；</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2.沫若中学工会；</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3.沫若中学办公室；</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4.沫若中学教导处；</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5. 沫若中学政教处；</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6. 沫若中学总务处；</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7. 沫若中学教科室；</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8. 沫若中学团支部；</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9. 沫若中学信息中心。</w:t>
      </w:r>
    </w:p>
    <w:p>
      <w:pPr>
        <w:pStyle w:val="28"/>
        <w:numPr>
          <w:ilvl w:val="0"/>
          <w:numId w:val="0"/>
        </w:numPr>
        <w:spacing w:line="560" w:lineRule="exact"/>
        <w:ind w:left="635"/>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（二）机构职能</w:t>
      </w:r>
    </w:p>
    <w:p>
      <w:pPr>
        <w:spacing w:line="560" w:lineRule="exact"/>
        <w:ind w:firstLine="640" w:firstLineChars="200"/>
        <w:rPr>
          <w:rFonts w:ascii="宋体" w:hAnsi="宋体" w:eastAsia="宋体" w:cs="仿宋_GB2312"/>
          <w:szCs w:val="32"/>
        </w:rPr>
      </w:pPr>
      <w:r>
        <w:rPr>
          <w:rFonts w:hint="eastAsia" w:ascii="宋体" w:hAnsi="宋体" w:eastAsia="宋体" w:cs="楷体_GB2312"/>
          <w:szCs w:val="32"/>
        </w:rPr>
        <w:t>1、</w:t>
      </w:r>
      <w:r>
        <w:rPr>
          <w:rFonts w:hint="eastAsia" w:ascii="宋体" w:hAnsi="宋体" w:eastAsia="宋体" w:cs="仿宋_GB2312"/>
          <w:szCs w:val="32"/>
        </w:rPr>
        <w:t>党总支</w:t>
      </w:r>
      <w:r>
        <w:rPr>
          <w:rFonts w:hint="eastAsia" w:ascii="宋体" w:hAnsi="宋体" w:eastAsia="宋体" w:cs="楷体_GB2312"/>
          <w:szCs w:val="32"/>
        </w:rPr>
        <w:t>。</w:t>
      </w:r>
      <w:r>
        <w:rPr>
          <w:rFonts w:hint="eastAsia" w:ascii="宋体" w:hAnsi="宋体" w:eastAsia="宋体" w:cs="仿宋_GB2312"/>
          <w:szCs w:val="32"/>
        </w:rPr>
        <w:t>负责</w:t>
      </w:r>
      <w:r>
        <w:rPr>
          <w:rFonts w:hint="eastAsia" w:ascii="宋体" w:hAnsi="宋体" w:eastAsia="宋体" w:cs="仿宋_GB2312"/>
          <w:szCs w:val="32"/>
          <w:lang w:eastAsia="zh-CN"/>
        </w:rPr>
        <w:t>全校</w:t>
      </w:r>
      <w:r>
        <w:rPr>
          <w:rFonts w:hint="eastAsia" w:ascii="宋体" w:hAnsi="宋体" w:eastAsia="宋体" w:cs="仿宋_GB2312"/>
          <w:szCs w:val="32"/>
        </w:rPr>
        <w:t>党的建设，按规定权限负责学校党</w:t>
      </w:r>
      <w:r>
        <w:rPr>
          <w:rFonts w:hint="eastAsia" w:ascii="宋体" w:hAnsi="宋体" w:eastAsia="宋体" w:cs="仿宋_GB2312"/>
          <w:szCs w:val="32"/>
          <w:lang w:eastAsia="zh-CN"/>
        </w:rPr>
        <w:t>小组</w:t>
      </w:r>
      <w:r>
        <w:rPr>
          <w:rFonts w:hint="eastAsia" w:ascii="宋体" w:hAnsi="宋体" w:eastAsia="宋体" w:cs="仿宋_GB2312"/>
          <w:szCs w:val="32"/>
        </w:rPr>
        <w:t>领导班子考察、考核和任免工作，完成发展新党员和预备党员转正、培训党务干部等党建目标考核；负责</w:t>
      </w:r>
      <w:r>
        <w:rPr>
          <w:rFonts w:hint="eastAsia" w:ascii="宋体" w:hAnsi="宋体" w:eastAsia="宋体" w:cs="仿宋_GB2312"/>
          <w:szCs w:val="32"/>
          <w:lang w:eastAsia="zh-CN"/>
        </w:rPr>
        <w:t>全校</w:t>
      </w:r>
      <w:r>
        <w:rPr>
          <w:rFonts w:hint="eastAsia" w:ascii="宋体" w:hAnsi="宋体" w:eastAsia="宋体" w:cs="仿宋_GB2312"/>
          <w:szCs w:val="32"/>
        </w:rPr>
        <w:t>的党风廉政建设工作；综合协调机关重要政务、事务，组织开展教育重大问题的政策研究，负责重要会议的组织安排和对上级部门及局领导交办事项、会议议定事项等的督办；负责</w:t>
      </w:r>
      <w:r>
        <w:rPr>
          <w:rFonts w:hint="eastAsia" w:ascii="宋体" w:hAnsi="宋体" w:eastAsia="宋体" w:cs="仿宋_GB2312"/>
          <w:szCs w:val="32"/>
          <w:lang w:eastAsia="zh-CN"/>
        </w:rPr>
        <w:t>学校</w:t>
      </w:r>
      <w:r>
        <w:rPr>
          <w:rFonts w:hint="eastAsia" w:ascii="宋体" w:hAnsi="宋体" w:eastAsia="宋体" w:cs="仿宋_GB2312"/>
          <w:szCs w:val="32"/>
        </w:rPr>
        <w:t>的文秘、信息、保密、安全、目标管理、调研、法制、信访、文书档案、财务和后勤管理、</w:t>
      </w:r>
      <w:r>
        <w:rPr>
          <w:rFonts w:hint="eastAsia" w:ascii="宋体" w:hAnsi="宋体" w:eastAsia="宋体" w:cs="仿宋_GB2312"/>
          <w:szCs w:val="32"/>
          <w:lang w:eastAsia="zh-CN"/>
        </w:rPr>
        <w:t>学校</w:t>
      </w:r>
      <w:r>
        <w:rPr>
          <w:rFonts w:hint="eastAsia" w:ascii="宋体" w:hAnsi="宋体" w:eastAsia="宋体" w:cs="仿宋_GB2312"/>
          <w:szCs w:val="32"/>
        </w:rPr>
        <w:t>职工福利、计划生育等事务工作；牵头办理党代表提案、人大代表建议和政协委员提案；负责</w:t>
      </w:r>
      <w:r>
        <w:rPr>
          <w:rFonts w:hint="eastAsia" w:ascii="宋体" w:hAnsi="宋体" w:eastAsia="宋体" w:cs="仿宋_GB2312"/>
          <w:szCs w:val="32"/>
          <w:lang w:eastAsia="zh-CN"/>
        </w:rPr>
        <w:t>学校</w:t>
      </w:r>
      <w:r>
        <w:rPr>
          <w:rFonts w:hint="eastAsia" w:ascii="宋体" w:hAnsi="宋体" w:eastAsia="宋体" w:cs="仿宋_GB2312"/>
          <w:szCs w:val="32"/>
        </w:rPr>
        <w:t>工会和妇女工作，指导</w:t>
      </w:r>
      <w:r>
        <w:rPr>
          <w:rFonts w:hint="eastAsia" w:ascii="宋体" w:hAnsi="宋体" w:eastAsia="宋体" w:cs="仿宋_GB2312"/>
          <w:szCs w:val="32"/>
          <w:lang w:eastAsia="zh-CN"/>
        </w:rPr>
        <w:t>学校</w:t>
      </w:r>
      <w:r>
        <w:rPr>
          <w:rFonts w:hint="eastAsia" w:ascii="宋体" w:hAnsi="宋体" w:eastAsia="宋体" w:cs="仿宋_GB2312"/>
          <w:szCs w:val="32"/>
        </w:rPr>
        <w:t>依法治</w:t>
      </w:r>
      <w:r>
        <w:rPr>
          <w:rFonts w:hint="eastAsia" w:ascii="宋体" w:hAnsi="宋体" w:eastAsia="宋体" w:cs="仿宋_GB2312"/>
          <w:szCs w:val="32"/>
          <w:lang w:eastAsia="zh-CN"/>
        </w:rPr>
        <w:t>校</w:t>
      </w:r>
      <w:r>
        <w:rPr>
          <w:rFonts w:hint="eastAsia" w:ascii="宋体" w:hAnsi="宋体" w:eastAsia="宋体" w:cs="仿宋_GB2312"/>
          <w:szCs w:val="32"/>
        </w:rPr>
        <w:t>和新闻宣传工作；完成</w:t>
      </w:r>
      <w:r>
        <w:rPr>
          <w:rFonts w:hint="eastAsia" w:ascii="宋体" w:hAnsi="宋体" w:eastAsia="宋体" w:cs="仿宋_GB2312"/>
          <w:szCs w:val="32"/>
          <w:lang w:eastAsia="zh-CN"/>
        </w:rPr>
        <w:t>上级领导</w:t>
      </w:r>
      <w:r>
        <w:rPr>
          <w:rFonts w:hint="eastAsia" w:ascii="宋体" w:hAnsi="宋体" w:eastAsia="宋体" w:cs="仿宋_GB2312"/>
          <w:szCs w:val="32"/>
        </w:rPr>
        <w:t>临时交办的工作。</w:t>
      </w:r>
    </w:p>
    <w:p>
      <w:pPr>
        <w:spacing w:line="560" w:lineRule="exact"/>
        <w:ind w:firstLine="640" w:firstLineChars="200"/>
        <w:rPr>
          <w:rFonts w:hint="eastAsia" w:ascii="宋体" w:hAnsi="宋体" w:eastAsia="宋体" w:cs="楷体_GB2312"/>
          <w:szCs w:val="32"/>
          <w:highlight w:val="none"/>
        </w:rPr>
      </w:pPr>
      <w:r>
        <w:rPr>
          <w:rFonts w:hint="eastAsia" w:ascii="宋体" w:hAnsi="宋体" w:eastAsia="宋体" w:cs="楷体_GB2312"/>
          <w:szCs w:val="32"/>
        </w:rPr>
        <w:t>2、</w:t>
      </w:r>
      <w:r>
        <w:rPr>
          <w:rFonts w:hint="eastAsia" w:ascii="宋体" w:hAnsi="宋体" w:eastAsia="宋体" w:cs="仿宋_GB2312"/>
          <w:szCs w:val="32"/>
        </w:rPr>
        <w:t>工会</w:t>
      </w:r>
      <w:r>
        <w:rPr>
          <w:rFonts w:hint="eastAsia" w:ascii="宋体" w:hAnsi="宋体" w:eastAsia="宋体" w:cs="仿宋_GB2312"/>
          <w:szCs w:val="32"/>
          <w:lang w:val="en-US" w:eastAsia="zh-CN"/>
        </w:rPr>
        <w:t xml:space="preserve">  </w:t>
      </w:r>
      <w:r>
        <w:rPr>
          <w:rFonts w:hint="eastAsia" w:ascii="宋体" w:hAnsi="宋体" w:eastAsia="宋体" w:cs="楷体_GB2312"/>
          <w:szCs w:val="32"/>
          <w:highlight w:val="none"/>
        </w:rPr>
        <w:t>在学校安排下，关心、慰问教职工，听取教职工的心声。协调好职工与单位的关系。组织开展工会活动等</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3、</w:t>
      </w:r>
      <w:r>
        <w:rPr>
          <w:rFonts w:hint="eastAsia" w:ascii="宋体" w:hAnsi="宋体" w:eastAsia="宋体" w:cs="楷体_GB2312"/>
          <w:szCs w:val="32"/>
          <w:lang w:eastAsia="zh-CN"/>
        </w:rPr>
        <w:t>学校</w:t>
      </w:r>
      <w:r>
        <w:rPr>
          <w:rFonts w:hint="eastAsia" w:ascii="宋体" w:hAnsi="宋体" w:eastAsia="宋体" w:cs="仿宋_GB2312"/>
          <w:szCs w:val="32"/>
        </w:rPr>
        <w:t>办公室</w:t>
      </w:r>
      <w:r>
        <w:rPr>
          <w:rFonts w:hint="eastAsia" w:ascii="宋体" w:hAnsi="宋体" w:eastAsia="宋体" w:cs="仿宋_GB2312"/>
          <w:szCs w:val="32"/>
          <w:lang w:val="en-US" w:eastAsia="zh-CN"/>
        </w:rPr>
        <w:t xml:space="preserve"> </w:t>
      </w:r>
      <w:r>
        <w:rPr>
          <w:rFonts w:hint="eastAsia" w:ascii="宋体" w:hAnsi="宋体" w:eastAsia="宋体" w:cs="楷体_GB2312"/>
          <w:szCs w:val="32"/>
        </w:rPr>
        <w:t>在分管领导的领导下,负责综合处理学校党总支和行政事务，协调全校的行政管理，搞好信息管理，为党总支工作和行政管理工作服务。负责党政办公室日常管理工作和档案室、校史陈列室、会议室、总支活动室的管理。</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一、负责统筹、协调全校性规章制度的建设工作，组织拟定学校改革和发展规划，草拟学校工作报告、计划、总结，起草会议纪要和有关文件，发布通告通知。</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二、负责学校印章管理、机要文件和重要信件管理、党政文件收发和传阅、整理文书档案和上报文字材料、校务公开、周工作安排、档案管理和各部门资料归档指导、会议记录。</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三、负责学校人事管理(含临聘人员)、教职工考勤、职称评定、评优评先、差旅审批、绩效考核及汇总。</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四、负责安排党总支会议、行政会议，并督促、检查各单位、各部门贯彻执行会议决议的情况。</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五、负责协调党总支、行政部门共同办理的综合性工作，主动承担各部门之间的协调工作。</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六、负责学校公车管理、内外联络、来信来访接待、舆情监控、计划生育和保密工作。</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七、组织做好各类统计报表工作。</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八、负责学校宣传和信息上报工作。</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九、在校长的领导下，负责学校有关对外事务的联系、洽谈，办理并签订有关合同、协议。</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十、负责本处室文字处理和部门各类材料收集整理、归档工作。</w:t>
      </w:r>
    </w:p>
    <w:p>
      <w:pPr>
        <w:spacing w:line="560" w:lineRule="exact"/>
        <w:ind w:firstLine="640" w:firstLineChars="200"/>
        <w:rPr>
          <w:rFonts w:hint="eastAsia" w:ascii="宋体" w:hAnsi="宋体" w:eastAsia="宋体" w:cs="楷体_GB2312"/>
          <w:szCs w:val="32"/>
        </w:rPr>
      </w:pPr>
      <w:r>
        <w:rPr>
          <w:rFonts w:hint="eastAsia" w:ascii="宋体" w:hAnsi="宋体" w:eastAsia="宋体" w:cs="楷体_GB2312"/>
          <w:szCs w:val="32"/>
        </w:rPr>
        <w:t>十一、完成分管领导交办的其它工作。</w:t>
      </w:r>
    </w:p>
    <w:p>
      <w:pPr>
        <w:spacing w:line="560" w:lineRule="exact"/>
        <w:ind w:firstLine="640" w:firstLineChars="200"/>
        <w:rPr>
          <w:rFonts w:hint="eastAsia" w:ascii="宋体" w:hAnsi="宋体" w:eastAsia="宋体" w:cs="仿宋_GB2312"/>
          <w:szCs w:val="32"/>
        </w:rPr>
      </w:pPr>
      <w:r>
        <w:rPr>
          <w:rFonts w:hint="eastAsia" w:ascii="宋体" w:hAnsi="宋体" w:eastAsia="宋体" w:cs="楷体_GB2312"/>
          <w:szCs w:val="32"/>
        </w:rPr>
        <w:t>4、</w:t>
      </w:r>
      <w:r>
        <w:rPr>
          <w:rFonts w:hint="eastAsia" w:ascii="宋体" w:hAnsi="宋体" w:eastAsia="宋体" w:cs="仿宋_GB2312"/>
          <w:szCs w:val="32"/>
        </w:rPr>
        <w:t>教导处 在分管副校长领导下负责全校教学、考务、招生等工作。具体负责教务处、图书馆、实验室和音体美器材保管室等的日常管理工作。</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一、负责制定、组织和实施学校教学工作计划，制定和完善各项教学常规，建立正常的教学秩序，以保证教学计划的顺利实施。</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二、协助分管校长全面贯彻执行党的教育方针，按照教学计划、课程标准和教材的要求，妥善安排学校的教学工作，合理科学地安排作息时间表、课程表，确保学科课程与活动课程的落实，组织安排好全校的学科活动。</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三、根据工作需要和师资队伍情况，提出新学期教师安排初步意见，经分管校长同意，报校长办公会批准后执行。</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四、做好日常教学管理工作，组织开展教学检查（课堂巡视、作业批改检查、学生评价老师、体质健康教育和检测等工作），深入课堂听课(每周随堂听课不少于1节，一学期不少于30节)</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五、做好教学质量检测组织工作，安排好各项考试，及时统计、分析成绩，抓好学生的学风和考风建设；</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六、负责分析全校教育教学质量状况。每学期至少集中分析全校教育教学现状和趋势两次，针对共同存在的问题与分管校长、年级组长、教研组长一起研究改进的措施和办法。</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七、负责安排好因公、因病、因事教师的代课；统计教师日常工作量；管理教师业务档案。</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八、负责管理学生学籍，负责新生入学的编班、学生的转学、插班等的学籍及时更新工作、以及毕业生的建档工作。</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九、负责高考相关工作：按时完成高考报名、高考体检工作；及时进行高考相关政策宣传工作；准确收集考生高考成绩等工作。</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十、负责教师课改津贴的核算及公布工作。</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十一、负责做好其它学校到校教学活动接待工作。</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十二、管理学校实验室、图书馆、微机室等工作，定期检查分管各室教师的工作情况，抓好图书、仪器、电化教具等教学设备的添置、管理和使用。</w:t>
      </w:r>
    </w:p>
    <w:p>
      <w:pPr>
        <w:spacing w:line="560" w:lineRule="exact"/>
        <w:ind w:firstLine="640" w:firstLineChars="200"/>
        <w:rPr>
          <w:rFonts w:hint="eastAsia" w:ascii="宋体" w:hAnsi="宋体" w:eastAsia="宋体" w:cs="仿宋_GB2312"/>
          <w:szCs w:val="32"/>
        </w:rPr>
      </w:pPr>
      <w:r>
        <w:rPr>
          <w:rFonts w:hint="eastAsia" w:ascii="宋体" w:hAnsi="宋体" w:eastAsia="宋体" w:cs="仿宋_GB2312"/>
          <w:szCs w:val="32"/>
        </w:rPr>
        <w:t>十三、负责本处室文字处理和各类材料收集整理、归档工作。</w:t>
      </w:r>
    </w:p>
    <w:p>
      <w:pPr>
        <w:spacing w:line="560" w:lineRule="exact"/>
        <w:ind w:firstLine="640" w:firstLineChars="200"/>
        <w:rPr>
          <w:rFonts w:hint="eastAsia" w:ascii="宋体" w:hAnsi="宋体" w:eastAsia="宋体" w:cs="仿宋_GB2312"/>
          <w:szCs w:val="32"/>
          <w:lang w:val="zh-CN"/>
        </w:rPr>
      </w:pPr>
      <w:r>
        <w:rPr>
          <w:rFonts w:hint="eastAsia" w:ascii="宋体" w:hAnsi="宋体" w:eastAsia="宋体" w:cs="仿宋_GB2312"/>
          <w:szCs w:val="32"/>
        </w:rPr>
        <w:t>十四、完成分管副校长交办的其他工作。</w:t>
      </w:r>
    </w:p>
    <w:p>
      <w:pPr>
        <w:pStyle w:val="28"/>
        <w:numPr>
          <w:ilvl w:val="0"/>
          <w:numId w:val="0"/>
        </w:numPr>
        <w:spacing w:line="560" w:lineRule="exact"/>
        <w:ind w:left="640" w:leftChars="200" w:firstLine="0" w:firstLineChars="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5、</w:t>
      </w:r>
      <w:r>
        <w:rPr>
          <w:rFonts w:hint="eastAsia" w:ascii="宋体" w:hAnsi="宋体" w:eastAsia="宋体" w:cs="仿宋_GB2312"/>
          <w:szCs w:val="32"/>
        </w:rPr>
        <w:t>政教处</w:t>
      </w:r>
      <w:r>
        <w:rPr>
          <w:rFonts w:hint="eastAsia" w:ascii="宋体" w:hAnsi="宋体" w:eastAsia="宋体" w:cs="仿宋_GB2312"/>
          <w:szCs w:val="32"/>
          <w:lang w:val="en-US" w:eastAsia="zh-CN"/>
        </w:rPr>
        <w:t xml:space="preserve"> 在学校党总支和分管副校长的领导下，负责全校学生健康、安全和品德素养的教育工作。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一、负责政教处人员、班主任、心理学老师、校医和生活老师的党风廉政建设、廉洁从教工作和履职督查工作。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二、负责政教处和各班的安全教育、安全隐患排查及突发安全事件的处理、上报工作。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三、根据学校工作计划，负责制定政教处工作计划，并组织实施、定期检查，督促各部门、班级落实执行计划，及时总结工作经验。</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四、负责政教处、医务室、心理咨询室、年级组、班主任、生活老师的管理培训和全校学生的教育工作。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五、负责落实学生行为习惯教育、品德素养教育、健康教育（卫生防疫教育、流行病预防教育、法制教育、禁毒教育、防艾教育、警校共建等）和安全教育（常规安全教育、安全告知书、消防和防震应急演练等），协同心理学老师，按照“立德树人”的总体要求，根据学校具体情况，不断创新工作方法，组织开展有利于学生德智体美劳全面发展的活动。</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六、负责学生保险、学生校牌制作和管理、学生偶发事件的处理和住校生教育管理。</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七、负责学校家长委员会、值周组的管理以及班主任、生活老师的培训、管理和考核等工作。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八、负责优秀班集体、三好优干的评选和优秀班主任的推荐工作。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九、负责环境综合治理、爱卫会、“双创”等工作。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十、负责阳光体育活动、运动会、军训等工作。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十一、负责本处室文字处理和各类材料收集整理、归档工作。</w:t>
      </w:r>
    </w:p>
    <w:p>
      <w:pPr>
        <w:pStyle w:val="28"/>
        <w:numPr>
          <w:ilvl w:val="0"/>
          <w:numId w:val="0"/>
        </w:numPr>
        <w:spacing w:line="560" w:lineRule="exact"/>
        <w:ind w:left="64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十二、负责完成学校党总支、行政会和分管副校长交办的其他工作。</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lang w:val="en-US" w:eastAsia="zh-CN"/>
        </w:rPr>
        <w:t xml:space="preserve"> </w:t>
      </w:r>
      <w:r>
        <w:rPr>
          <w:rFonts w:hint="eastAsia" w:ascii="宋体" w:hAnsi="宋体" w:eastAsia="宋体" w:cs="仿宋_GB2312"/>
          <w:szCs w:val="32"/>
        </w:rPr>
        <w:t>6</w:t>
      </w:r>
      <w:r>
        <w:rPr>
          <w:rFonts w:hint="eastAsia" w:ascii="宋体" w:hAnsi="宋体" w:eastAsia="宋体" w:cs="仿宋_GB2312"/>
          <w:szCs w:val="32"/>
          <w:lang w:eastAsia="zh-CN"/>
        </w:rPr>
        <w:t>、</w:t>
      </w:r>
      <w:r>
        <w:rPr>
          <w:rFonts w:hint="eastAsia" w:ascii="宋体" w:hAnsi="宋体" w:eastAsia="宋体" w:cs="仿宋_GB2312"/>
          <w:szCs w:val="32"/>
        </w:rPr>
        <w:t>总务处</w:t>
      </w:r>
      <w:r>
        <w:rPr>
          <w:rFonts w:hint="eastAsia" w:ascii="宋体" w:hAnsi="宋体" w:eastAsia="宋体" w:cs="仿宋_GB2312"/>
          <w:szCs w:val="32"/>
          <w:lang w:val="en-US" w:eastAsia="zh-CN"/>
        </w:rPr>
        <w:t xml:space="preserve">  在分管副校长的领导下负责学校后勤保障工作。负责总务处、食堂管理工作。</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一、根据学校工作计划，负责制订并组织实施学校总务工作计划，做好学期和学年工作总结。</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二、负责组织编制学校经费预算方案，经副校长审核、校长审定后具体组织实施;坚持按政策法规与制度收支经费，严格财经纪律，定期向副校长报告预算方案执行情况和专项经费使用情况；做好学年初统计报表和经费月、季决算等报表工作；做好校舍档案、会计档案的管理和及时归档工作。自觉接受内审小组的定期审计;组织搞好决算工作。</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三、负责学校校地、校舍、校产管理和基建管理。搞好校舍维修维护；对校产的种类、规格、性能、成色和数量指定专人登记造册、定期检查清查，做到心中有数；有基建安排时，做好基建准备工作，具体负责基建工程的质量监督工作。</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四、会同各处室，管理好实验、电教等教学仪器、器材和图书。保证教学手段的心进和教学设备的添置，建立与完善公物借还制度和损坏赔偿制度。</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五、负责校园净化、绿化、美化和环境卫生整治、“四防”工作，使校容校貌更加规范。</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六、负责食堂运行管理、常规检查和饮食卫生安全，提高服务质量，改善师生生活条件；协助分管领导做好大宗食材的招标采购。</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七、负责学校水电气管理、各类设备设施及用房安全检查和防火防盗工作，随时检查并及时排除校园不安全因素，防患于未然。</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八、负责做好新学期各项教学设备、教具、办公用品、体育、卫生器材等准备，负责拟定基建、维修、设备购置计划。</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九、负责做好教职工福利和工资、年终绩效发放工作。</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十、协助分管副校长做好后勤临聘人员的考核和管理。</w:t>
      </w:r>
    </w:p>
    <w:p>
      <w:pPr>
        <w:pStyle w:val="28"/>
        <w:numPr>
          <w:ilvl w:val="0"/>
          <w:numId w:val="0"/>
        </w:numPr>
        <w:spacing w:line="560" w:lineRule="exact"/>
        <w:ind w:firstLine="320" w:firstLineChars="100"/>
        <w:outlineLvl w:val="9"/>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十一、负责本处室文字处理和各类材料收集整理、归档工作。</w:t>
      </w:r>
    </w:p>
    <w:p>
      <w:pPr>
        <w:pStyle w:val="28"/>
        <w:numPr>
          <w:ilvl w:val="0"/>
          <w:numId w:val="0"/>
        </w:numPr>
        <w:spacing w:line="560" w:lineRule="exact"/>
        <w:ind w:firstLine="320" w:firstLineChars="100"/>
        <w:outlineLvl w:val="9"/>
        <w:rPr>
          <w:rFonts w:hint="default" w:ascii="宋体" w:hAnsi="宋体" w:eastAsia="宋体" w:cs="仿宋_GB2312"/>
          <w:szCs w:val="32"/>
          <w:lang w:val="en-US" w:eastAsia="zh-CN"/>
        </w:rPr>
      </w:pPr>
      <w:r>
        <w:rPr>
          <w:rFonts w:hint="eastAsia" w:ascii="宋体" w:hAnsi="宋体" w:eastAsia="宋体" w:cs="仿宋_GB2312"/>
          <w:szCs w:val="32"/>
          <w:lang w:val="en-US" w:eastAsia="zh-CN"/>
        </w:rPr>
        <w:t>十二、完成分管副校长交办的其他工作。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rPr>
        <w:t>7</w:t>
      </w:r>
      <w:r>
        <w:rPr>
          <w:rFonts w:hint="eastAsia" w:ascii="宋体" w:hAnsi="宋体" w:eastAsia="宋体" w:cs="仿宋_GB2312"/>
          <w:szCs w:val="32"/>
          <w:lang w:eastAsia="zh-CN"/>
        </w:rPr>
        <w:t>、</w:t>
      </w:r>
      <w:r>
        <w:rPr>
          <w:rFonts w:hint="eastAsia" w:ascii="宋体" w:hAnsi="宋体" w:eastAsia="宋体" w:cs="仿宋_GB2312"/>
          <w:szCs w:val="32"/>
        </w:rPr>
        <w:t>教科室</w:t>
      </w:r>
      <w:r>
        <w:rPr>
          <w:rFonts w:hint="eastAsia" w:ascii="宋体" w:hAnsi="宋体" w:eastAsia="宋体" w:cs="仿宋_GB2312"/>
          <w:szCs w:val="32"/>
          <w:lang w:val="en-US" w:eastAsia="zh-CN"/>
        </w:rPr>
        <w:t xml:space="preserve">  在分管副校长领导下负责全校教研、教改、师训工作。负责教科室、教研组、备课组日常管理工作。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一、负责组织新课程教学。制定、审定学期授课计划;检查备课情况；随时了解课堂教学情况，深入课堂听课(每周随堂听课不少于1节，一学期不少于30节)；组织教师听课；开展教学检查工作；及时向任课教师反馈学生对课堂教学的意见；审阅试题，分配教科室成员的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二、负责组织教研活动。组织集体备课和专题教学研究;根据专业发展和社会需求，不断更新教学内容、改进教学方法;组织教学经验交流、开展观摩教学等活动。</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三、抓好教师队伍建设工作，做好师训和继续教育工作。提出学校师资培养计划，加强青年教师和骨干教师培养，尤其对教育科研骨干的培养；发挥各级骨干教师的引领作用，做好年轻教师的传、帮、带工作; 组织开展教学竞赛活动；协助教务处组织好教师教学业绩年度考核工作。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四、负责拟定教科室每学期的工作计划;抓好过程检查，期末要有工作总结。</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五、组织教师积极开展校本科研和校本培训工作。认真抓好学校集体或个人承担的各级各类立项课题的管理，扩大教育科研的参与面，抓好课题申报、论证、立项、计划、实施、总结和成果推广等课题管理各环节，使教育科研与教育教学实践相结合；抓好校本培训，并在教师成长可持续发展中发挥作用。</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六、负责收集、宣传最新教改信息和经验。通过多种渠道积极宣传教育科研和教学改革的信息，引导教师吸收和借鉴国内外先进教育思想和教改经验，结合学校实际情况进行创造性地发挥。</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七、做好与教务处等有关部门的协同作战，努力探索优化教学、提高教学质量的途径和办法。</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八、做好学校语言文字建设、支教工作。负责本处室文字处理和各类材料收集整理、归档工作。</w:t>
      </w:r>
    </w:p>
    <w:p>
      <w:pPr>
        <w:spacing w:line="560" w:lineRule="exact"/>
        <w:ind w:firstLine="320" w:firstLineChars="100"/>
        <w:rPr>
          <w:rFonts w:hint="default" w:ascii="宋体" w:hAnsi="宋体" w:eastAsia="宋体" w:cs="仿宋_GB2312"/>
          <w:szCs w:val="32"/>
          <w:lang w:val="en-US" w:eastAsia="zh-CN"/>
        </w:rPr>
      </w:pPr>
      <w:r>
        <w:rPr>
          <w:rFonts w:hint="eastAsia" w:ascii="宋体" w:hAnsi="宋体" w:eastAsia="宋体" w:cs="仿宋_GB2312"/>
          <w:szCs w:val="32"/>
          <w:lang w:val="en-US" w:eastAsia="zh-CN"/>
        </w:rPr>
        <w:t>九、完成分管副校长交办的其他工作。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rPr>
        <w:t>8</w:t>
      </w:r>
      <w:r>
        <w:rPr>
          <w:rFonts w:hint="eastAsia" w:ascii="宋体" w:hAnsi="宋体" w:eastAsia="宋体" w:cs="仿宋_GB2312"/>
          <w:szCs w:val="32"/>
          <w:lang w:eastAsia="zh-CN"/>
        </w:rPr>
        <w:t>、</w:t>
      </w:r>
      <w:r>
        <w:rPr>
          <w:rFonts w:hint="eastAsia" w:ascii="宋体" w:hAnsi="宋体" w:eastAsia="宋体" w:cs="仿宋_GB2312"/>
          <w:szCs w:val="32"/>
        </w:rPr>
        <w:t>团支部</w:t>
      </w:r>
      <w:r>
        <w:rPr>
          <w:rFonts w:hint="eastAsia" w:ascii="宋体" w:hAnsi="宋体" w:eastAsia="宋体" w:cs="仿宋_GB2312"/>
          <w:szCs w:val="32"/>
          <w:lang w:val="en-US" w:eastAsia="zh-CN"/>
        </w:rPr>
        <w:t xml:space="preserve">  在学校党总支和分管副校长的领导下，负责学校团委、学生会和学校社团管理工作。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一、在学校党总支和上级团组织的领导下，负责团委、学生会工作，贯彻落实学校党总支、行政会和上级团组织的精神，经常向分管副校长和上级团委汇报工作，并安排好学校团委工作。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二、负责团委、学生会和学校社团以及所组织开展的各项活动的安全教育、安全隐患排查及突发安全意外事件的处理、上报工作。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三、根据学校和上级团委的工作计划，负责制定学校团委工作计划，并组织实施、定期检查，督促各团支部落实执行计划，及时总结工作经验。</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四、负责检查各支部学月工作计划执行情况，了解掌握团员青年的思想、工作和学习情况，研究青年学生的新特点、新问题，同时定期召开团委委员会议，检查、指导各委员的工作。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五、负责定期组织召开团委会议、社团联席会、学生会和团支部书记例会，培养团委委员、团支部和学生会主要干部，促进社团发展，抓好团的自身建设，按时开好生活会，发挥团的作用。</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六、负责做好团费收缴、团委物资的管理和规范团费开支。</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七、负责密切联系学生，经常和学生会干部、团支部交换工作意见，按照“立德树人”的总体要求，根据学校具体情况，与时俱进，开展有利于培养学生德智体美劳全面发展的文娱体育活动和社会实践活动。</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八、负责同有关部门、组织和班主任保持密切的联系，交流情况，互相支持，促进团的工作。</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九、负责督促检查各支部是否按组织发展程序进行团员的发展工作，并负责最后的审批；建立健全团员档案，做好团籍、文书档案管理和团组织关系接转。</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协助政教处抓好校园文化建设、学生思想道德教育和行为习惯养成，做好德育工作、文明单位创建活动、青年志愿者活动、清洁常规管理、团徽佩戴、黑板报评比、眼保健操和阳光体育活动的检查，组织开展好文体活动、学校社团活动和广播站建设，活跃校园文化氛围，净化校园环境。</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十一、负责团的评优评先工作，表彰先进集体和个人。</w:t>
      </w:r>
    </w:p>
    <w:p>
      <w:pPr>
        <w:spacing w:line="560" w:lineRule="exact"/>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十二、负责本处室文字处理和各类材料收集整理、归档工作。</w:t>
      </w:r>
    </w:p>
    <w:p>
      <w:pPr>
        <w:spacing w:line="560" w:lineRule="exact"/>
        <w:ind w:firstLine="320" w:firstLineChars="100"/>
        <w:rPr>
          <w:rFonts w:hint="default" w:ascii="宋体" w:hAnsi="宋体" w:eastAsia="宋体" w:cs="仿宋_GB2312"/>
          <w:szCs w:val="32"/>
          <w:lang w:val="en-US" w:eastAsia="zh-CN"/>
        </w:rPr>
      </w:pPr>
      <w:r>
        <w:rPr>
          <w:rFonts w:hint="eastAsia" w:ascii="宋体" w:hAnsi="宋体" w:eastAsia="宋体" w:cs="仿宋_GB2312"/>
          <w:szCs w:val="32"/>
          <w:lang w:val="en-US" w:eastAsia="zh-CN"/>
        </w:rPr>
        <w:t>十三、完成学校党总支、行政会、上级团组织和分管副校长交办的其他工作。</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rPr>
        <w:t>9</w:t>
      </w:r>
      <w:r>
        <w:rPr>
          <w:rFonts w:hint="eastAsia" w:ascii="宋体" w:hAnsi="宋体" w:eastAsia="宋体" w:cs="仿宋_GB2312"/>
          <w:szCs w:val="32"/>
          <w:lang w:eastAsia="zh-CN"/>
        </w:rPr>
        <w:t>、</w:t>
      </w:r>
      <w:r>
        <w:rPr>
          <w:rFonts w:hint="eastAsia" w:ascii="宋体" w:hAnsi="宋体" w:eastAsia="宋体" w:cs="仿宋_GB2312"/>
          <w:szCs w:val="32"/>
        </w:rPr>
        <w:t>信息中心</w:t>
      </w:r>
      <w:r>
        <w:rPr>
          <w:rFonts w:hint="eastAsia" w:ascii="宋体" w:hAnsi="宋体" w:eastAsia="宋体" w:cs="仿宋_GB2312"/>
          <w:szCs w:val="32"/>
          <w:lang w:val="en-US" w:eastAsia="zh-CN"/>
        </w:rPr>
        <w:t xml:space="preserve">  在分管副校长领导下，负责学校信息中心日常工作。负责学校电教网管中心、微机室、校园电视台、校园监控、协助招办高考视频监控、录播室的管理工作。</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 xml:space="preserve">一、负责贯彻执行国家有关信息技术装备工作的方针和政策，对完成信息中心的各项工作任务全面负责。  </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 xml:space="preserve">二、负责制订学校信息中心各电教功能室的岗位职责、学期工作计划和规章制度，协助分管副校长搞好学校信息技术装备事业中、远期规划；及时完成学校信息中心学期和年度工作总结。  </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三、负责对信息技术装备设备的管理和使用严格把关，负责对全校电教装备(电子白板、电脑、液晶电视等)财产进行登记、管理、调配、维护和维修。</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 xml:space="preserve">四、负责建立和完善录播教室、校园电视台、校园数字广播系统、学生机房、SEEWO教学一体机等功能室使用制度，保证电教设施设备正常运行。  </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五、负责做好校园网的整体规划和管理工作，确保网络安全，负责组织学校网站的筹建、管理及内容更新，努力实现教师在网络上进行备课、学习、办公、信息查询、对外交流及远程教育等。</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 xml:space="preserve">六、树立质量和服务意识，负责全校教职工信息技术及电教设备的使用培训，使教师尽快掌握现代教育技术，推动信息技术与课堂教学整合，强化电教设备和教学仪器设备的合理使用，促进教育教学质量的提高。  </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七、负责完成各级电教装备部门组织的评比竞赛活动，不断提高评比竞赛成绩。      </w:t>
      </w:r>
    </w:p>
    <w:p>
      <w:pPr>
        <w:ind w:firstLine="320" w:firstLineChars="100"/>
        <w:rPr>
          <w:rFonts w:hint="eastAsia" w:ascii="宋体" w:hAnsi="宋体" w:eastAsia="宋体" w:cs="仿宋_GB2312"/>
          <w:szCs w:val="32"/>
          <w:lang w:val="en-US" w:eastAsia="zh-CN"/>
        </w:rPr>
      </w:pPr>
      <w:r>
        <w:rPr>
          <w:rFonts w:hint="eastAsia" w:ascii="宋体" w:hAnsi="宋体" w:eastAsia="宋体" w:cs="仿宋_GB2312"/>
          <w:szCs w:val="32"/>
          <w:lang w:val="en-US" w:eastAsia="zh-CN"/>
        </w:rPr>
        <w:t>八、负责全校网络舆情监控。</w:t>
      </w:r>
    </w:p>
    <w:p>
      <w:pPr>
        <w:ind w:firstLine="320" w:firstLineChars="100"/>
        <w:rPr>
          <w:rFonts w:hint="default" w:eastAsia="宋体"/>
          <w:lang w:val="en-US" w:eastAsia="zh-CN"/>
        </w:rPr>
      </w:pPr>
      <w:r>
        <w:rPr>
          <w:rFonts w:hint="eastAsia" w:ascii="宋体" w:hAnsi="宋体" w:eastAsia="宋体" w:cs="仿宋_GB2312"/>
          <w:szCs w:val="32"/>
          <w:lang w:val="en-US" w:eastAsia="zh-CN"/>
        </w:rPr>
        <w:t>九、完成电教装备的各项达标创建及其交办的其它工作。</w:t>
      </w:r>
    </w:p>
    <w:p>
      <w:pPr>
        <w:pStyle w:val="28"/>
        <w:numPr>
          <w:ilvl w:val="0"/>
          <w:numId w:val="0"/>
        </w:numPr>
        <w:spacing w:line="560" w:lineRule="exact"/>
        <w:ind w:left="640"/>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（三）人员概况</w:t>
      </w:r>
    </w:p>
    <w:p>
      <w:pPr>
        <w:spacing w:line="560" w:lineRule="exact"/>
        <w:ind w:firstLine="640" w:firstLineChars="200"/>
        <w:rPr>
          <w:rFonts w:hint="default" w:ascii="宋体" w:hAnsi="宋体" w:eastAsia="宋体" w:cs="仿宋_GB2312"/>
          <w:szCs w:val="32"/>
          <w:lang w:val="en-US" w:eastAsia="zh-CN"/>
        </w:rPr>
      </w:pPr>
      <w:r>
        <w:rPr>
          <w:rFonts w:hint="eastAsia" w:ascii="宋体" w:hAnsi="宋体" w:eastAsia="宋体" w:cs="仿宋_GB2312"/>
          <w:szCs w:val="32"/>
        </w:rPr>
        <w:t>沫若中学事业编制196名。其中:管理岗位2名，专业技术岗位190名，工勤岗位4名。202</w:t>
      </w:r>
      <w:r>
        <w:rPr>
          <w:rFonts w:hint="eastAsia" w:ascii="宋体" w:hAnsi="宋体" w:eastAsia="宋体" w:cs="仿宋_GB2312"/>
          <w:szCs w:val="32"/>
          <w:lang w:val="en-US" w:eastAsia="zh-CN"/>
        </w:rPr>
        <w:t>1</w:t>
      </w:r>
      <w:r>
        <w:rPr>
          <w:rFonts w:hint="eastAsia" w:ascii="宋体" w:hAnsi="宋体" w:eastAsia="宋体" w:cs="仿宋_GB2312"/>
          <w:szCs w:val="32"/>
        </w:rPr>
        <w:t>年年末，我单位实有在岗</w:t>
      </w:r>
      <w:r>
        <w:rPr>
          <w:rFonts w:hint="eastAsia" w:ascii="宋体" w:hAnsi="宋体" w:eastAsia="宋体" w:cs="仿宋_GB2312"/>
          <w:szCs w:val="32"/>
          <w:lang w:val="en-US" w:eastAsia="zh-CN"/>
        </w:rPr>
        <w:t>177</w:t>
      </w:r>
      <w:r>
        <w:rPr>
          <w:rFonts w:hint="eastAsia" w:ascii="宋体" w:hAnsi="宋体" w:eastAsia="宋体" w:cs="仿宋_GB2312"/>
          <w:szCs w:val="32"/>
        </w:rPr>
        <w:t>人，管理岗位</w:t>
      </w:r>
      <w:r>
        <w:rPr>
          <w:rFonts w:hint="eastAsia" w:ascii="宋体" w:hAnsi="宋体" w:eastAsia="宋体" w:cs="仿宋_GB2312"/>
          <w:szCs w:val="32"/>
          <w:lang w:val="en-US" w:eastAsia="zh-CN"/>
        </w:rPr>
        <w:t>0</w:t>
      </w:r>
      <w:r>
        <w:rPr>
          <w:rFonts w:hint="eastAsia" w:ascii="宋体" w:hAnsi="宋体" w:eastAsia="宋体" w:cs="仿宋_GB2312"/>
          <w:szCs w:val="32"/>
        </w:rPr>
        <w:t>人，专业技术人员17</w:t>
      </w:r>
      <w:r>
        <w:rPr>
          <w:rFonts w:hint="eastAsia" w:ascii="宋体" w:hAnsi="宋体" w:eastAsia="宋体" w:cs="仿宋_GB2312"/>
          <w:szCs w:val="32"/>
          <w:lang w:val="en-US" w:eastAsia="zh-CN"/>
        </w:rPr>
        <w:t>3</w:t>
      </w:r>
      <w:r>
        <w:rPr>
          <w:rFonts w:hint="eastAsia" w:ascii="宋体" w:hAnsi="宋体" w:eastAsia="宋体" w:cs="仿宋_GB2312"/>
          <w:szCs w:val="32"/>
        </w:rPr>
        <w:t>人，工勤人员4人。本年度退休</w:t>
      </w:r>
      <w:r>
        <w:rPr>
          <w:rFonts w:hint="eastAsia" w:ascii="宋体" w:hAnsi="宋体" w:eastAsia="宋体" w:cs="仿宋_GB2312"/>
          <w:szCs w:val="32"/>
          <w:lang w:val="en-US" w:eastAsia="zh-CN"/>
        </w:rPr>
        <w:t>1</w:t>
      </w:r>
      <w:r>
        <w:rPr>
          <w:rFonts w:hint="eastAsia" w:ascii="宋体" w:hAnsi="宋体" w:eastAsia="宋体" w:cs="仿宋_GB2312"/>
          <w:szCs w:val="32"/>
        </w:rPr>
        <w:t>人，调出</w:t>
      </w:r>
      <w:r>
        <w:rPr>
          <w:rFonts w:hint="eastAsia" w:ascii="宋体" w:hAnsi="宋体" w:eastAsia="宋体" w:cs="仿宋_GB2312"/>
          <w:szCs w:val="32"/>
          <w:lang w:val="en-US" w:eastAsia="zh-CN"/>
        </w:rPr>
        <w:t>0</w:t>
      </w:r>
      <w:r>
        <w:rPr>
          <w:rFonts w:hint="eastAsia" w:ascii="宋体" w:hAnsi="宋体" w:eastAsia="宋体" w:cs="仿宋_GB2312"/>
          <w:szCs w:val="32"/>
        </w:rPr>
        <w:t>人，辞职1人，减少</w:t>
      </w:r>
      <w:r>
        <w:rPr>
          <w:rFonts w:hint="eastAsia" w:ascii="宋体" w:hAnsi="宋体" w:eastAsia="宋体" w:cs="仿宋_GB2312"/>
          <w:szCs w:val="32"/>
          <w:lang w:val="en-US" w:eastAsia="zh-CN"/>
        </w:rPr>
        <w:t>12</w:t>
      </w:r>
      <w:r>
        <w:rPr>
          <w:rFonts w:hint="eastAsia" w:ascii="宋体" w:hAnsi="宋体" w:eastAsia="宋体" w:cs="仿宋_GB2312"/>
          <w:szCs w:val="32"/>
        </w:rPr>
        <w:t>人；新招</w:t>
      </w:r>
      <w:r>
        <w:rPr>
          <w:rFonts w:hint="eastAsia" w:ascii="宋体" w:hAnsi="宋体" w:eastAsia="宋体" w:cs="仿宋_GB2312"/>
          <w:szCs w:val="32"/>
          <w:lang w:val="en-US" w:eastAsia="zh-CN"/>
        </w:rPr>
        <w:t>5</w:t>
      </w:r>
      <w:r>
        <w:rPr>
          <w:rFonts w:hint="eastAsia" w:ascii="宋体" w:hAnsi="宋体" w:eastAsia="宋体" w:cs="仿宋_GB2312"/>
          <w:szCs w:val="32"/>
        </w:rPr>
        <w:t>人，调入</w:t>
      </w:r>
      <w:r>
        <w:rPr>
          <w:rFonts w:hint="eastAsia" w:ascii="宋体" w:hAnsi="宋体" w:eastAsia="宋体" w:cs="仿宋_GB2312"/>
          <w:szCs w:val="32"/>
          <w:lang w:val="en-US" w:eastAsia="zh-CN"/>
        </w:rPr>
        <w:t>1</w:t>
      </w:r>
      <w:r>
        <w:rPr>
          <w:rFonts w:hint="eastAsia" w:ascii="宋体" w:hAnsi="宋体" w:eastAsia="宋体" w:cs="仿宋_GB2312"/>
          <w:szCs w:val="32"/>
        </w:rPr>
        <w:t>人，实际减少</w:t>
      </w:r>
      <w:r>
        <w:rPr>
          <w:rFonts w:hint="eastAsia" w:ascii="宋体" w:hAnsi="宋体" w:eastAsia="宋体" w:cs="仿宋_GB2312"/>
          <w:szCs w:val="32"/>
          <w:lang w:val="en-US" w:eastAsia="zh-CN"/>
        </w:rPr>
        <w:t>6</w:t>
      </w:r>
      <w:r>
        <w:rPr>
          <w:rFonts w:hint="eastAsia" w:ascii="宋体" w:hAnsi="宋体" w:eastAsia="宋体" w:cs="仿宋_GB2312"/>
          <w:szCs w:val="32"/>
        </w:rPr>
        <w:t>人。</w:t>
      </w:r>
      <w:r>
        <w:rPr>
          <w:rFonts w:hint="eastAsia" w:ascii="宋体" w:hAnsi="宋体" w:eastAsia="宋体" w:cs="仿宋_GB2312"/>
          <w:szCs w:val="32"/>
          <w:lang w:eastAsia="zh-CN"/>
        </w:rPr>
        <w:t>退休</w:t>
      </w:r>
      <w:r>
        <w:rPr>
          <w:rFonts w:hint="eastAsia" w:ascii="宋体" w:hAnsi="宋体" w:eastAsia="宋体" w:cs="仿宋_GB2312"/>
          <w:szCs w:val="32"/>
          <w:lang w:val="en-US" w:eastAsia="zh-CN"/>
        </w:rPr>
        <w:t>72人。</w:t>
      </w:r>
    </w:p>
    <w:p>
      <w:pPr>
        <w:pStyle w:val="27"/>
        <w:numPr>
          <w:ilvl w:val="0"/>
          <w:numId w:val="0"/>
        </w:numPr>
        <w:spacing w:line="560" w:lineRule="exact"/>
        <w:ind w:firstLine="643" w:firstLineChars="200"/>
        <w:outlineLvl w:val="9"/>
        <w:rPr>
          <w:rFonts w:asciiTheme="minorEastAsia" w:hAnsiTheme="minorEastAsia" w:eastAsiaTheme="minorEastAsia"/>
          <w:b/>
          <w:shd w:val="clear" w:color="auto" w:fill="FFFFFF"/>
        </w:rPr>
      </w:pPr>
      <w:r>
        <w:rPr>
          <w:rFonts w:hint="eastAsia" w:asciiTheme="minorEastAsia" w:hAnsiTheme="minorEastAsia" w:eastAsiaTheme="minorEastAsia"/>
          <w:b/>
          <w:shd w:val="clear" w:color="auto" w:fill="FFFFFF"/>
        </w:rPr>
        <w:t>二、部门财政资金收支情况</w:t>
      </w:r>
    </w:p>
    <w:p>
      <w:pPr>
        <w:pStyle w:val="28"/>
        <w:numPr>
          <w:ilvl w:val="0"/>
          <w:numId w:val="0"/>
        </w:numPr>
        <w:spacing w:line="560" w:lineRule="exact"/>
        <w:ind w:firstLine="643" w:firstLineChars="200"/>
        <w:jc w:val="both"/>
        <w:outlineLvl w:val="9"/>
        <w:rPr>
          <w:rFonts w:asciiTheme="minorEastAsia" w:hAnsiTheme="minorEastAsia" w:eastAsiaTheme="minorEastAsia"/>
          <w:szCs w:val="32"/>
          <w:highlight w:val="none"/>
          <w:shd w:val="clear" w:color="auto" w:fill="FFFFFF"/>
        </w:rPr>
      </w:pPr>
      <w:r>
        <w:rPr>
          <w:rFonts w:hint="eastAsia" w:asciiTheme="minorEastAsia" w:hAnsiTheme="minorEastAsia" w:eastAsiaTheme="minorEastAsia"/>
          <w:b/>
          <w:szCs w:val="32"/>
          <w:highlight w:val="none"/>
          <w:shd w:val="clear" w:color="auto" w:fill="FFFFFF"/>
        </w:rPr>
        <w:t>（一）部门财政资金收入情况</w:t>
      </w:r>
    </w:p>
    <w:p>
      <w:pPr>
        <w:pStyle w:val="28"/>
        <w:numPr>
          <w:ilvl w:val="0"/>
          <w:numId w:val="0"/>
        </w:numPr>
        <w:spacing w:line="560" w:lineRule="exact"/>
        <w:ind w:firstLine="640" w:firstLineChars="200"/>
        <w:jc w:val="both"/>
        <w:outlineLvl w:val="9"/>
        <w:rPr>
          <w:rFonts w:hint="eastAsia" w:ascii="宋体" w:hAnsi="宋体" w:eastAsia="宋体"/>
          <w:highlight w:val="none"/>
        </w:rPr>
      </w:pPr>
      <w:r>
        <w:rPr>
          <w:rFonts w:hint="eastAsia" w:ascii="宋体" w:hAnsi="宋体" w:eastAsia="宋体"/>
          <w:highlight w:val="none"/>
        </w:rPr>
        <w:t>按照综合预算的原则，沫若中学所有收入和支出均纳入部门预算管理。2021年沫若中学收入预算总额为31761227元</w:t>
      </w:r>
      <w:r>
        <w:rPr>
          <w:rFonts w:hint="eastAsia" w:ascii="宋体" w:hAnsi="宋体" w:eastAsia="宋体"/>
          <w:highlight w:val="none"/>
          <w:lang w:eastAsia="zh-CN"/>
        </w:rPr>
        <w:t>，</w:t>
      </w:r>
      <w:r>
        <w:rPr>
          <w:rFonts w:hint="eastAsia" w:ascii="宋体" w:hAnsi="宋体" w:eastAsia="宋体"/>
          <w:highlight w:val="none"/>
        </w:rPr>
        <w:t>较上年预算数44791796元减少13030569元。其中：当年财政拨款收入29661227元，事业收入2100000元，事业单位经营收入0万元，其他收入0万元，上年结转收入0元。相应安排支出预算31761227元，其中：人员支出22640375元，日常公用支出1179668元，对个人和家庭的补助支出41184元，专项支出5800000元。</w:t>
      </w:r>
    </w:p>
    <w:p>
      <w:pPr>
        <w:pStyle w:val="28"/>
        <w:numPr>
          <w:ilvl w:val="0"/>
          <w:numId w:val="0"/>
        </w:numPr>
        <w:spacing w:line="560" w:lineRule="exact"/>
        <w:ind w:firstLine="643" w:firstLineChars="200"/>
        <w:jc w:val="both"/>
        <w:outlineLvl w:val="9"/>
        <w:rPr>
          <w:rFonts w:asciiTheme="minorEastAsia" w:hAnsiTheme="minorEastAsia" w:eastAsiaTheme="minorEastAsia"/>
          <w:szCs w:val="32"/>
          <w:highlight w:val="none"/>
          <w:shd w:val="clear" w:color="auto" w:fill="FFFFFF"/>
        </w:rPr>
      </w:pPr>
      <w:r>
        <w:rPr>
          <w:rFonts w:hint="eastAsia" w:asciiTheme="minorEastAsia" w:hAnsiTheme="minorEastAsia" w:eastAsiaTheme="minorEastAsia"/>
          <w:b/>
          <w:szCs w:val="32"/>
          <w:highlight w:val="none"/>
          <w:shd w:val="clear" w:color="auto" w:fill="FFFFFF"/>
        </w:rPr>
        <w:t>（二）部门财政资金支出情况</w:t>
      </w:r>
    </w:p>
    <w:p>
      <w:pPr>
        <w:pStyle w:val="34"/>
        <w:spacing w:line="560" w:lineRule="exact"/>
        <w:ind w:firstLine="633" w:firstLineChars="198"/>
        <w:rPr>
          <w:rFonts w:hint="eastAsia" w:ascii="宋体" w:hAnsi="宋体" w:eastAsia="宋体"/>
          <w:highlight w:val="none"/>
        </w:rPr>
      </w:pPr>
      <w:r>
        <w:rPr>
          <w:rFonts w:hint="eastAsia" w:ascii="宋体" w:hAnsi="宋体" w:eastAsia="宋体"/>
          <w:highlight w:val="none"/>
        </w:rPr>
        <w:t>沫若中学2021年一般公共预算基本支出29661227元，其中：</w:t>
      </w:r>
    </w:p>
    <w:p>
      <w:pPr>
        <w:pStyle w:val="34"/>
        <w:spacing w:line="560" w:lineRule="exact"/>
        <w:ind w:firstLine="633" w:firstLineChars="198"/>
        <w:rPr>
          <w:rFonts w:hint="eastAsia" w:ascii="宋体" w:hAnsi="宋体" w:eastAsia="宋体"/>
          <w:highlight w:val="none"/>
        </w:rPr>
      </w:pPr>
      <w:r>
        <w:rPr>
          <w:rFonts w:hint="eastAsia" w:ascii="宋体" w:hAnsi="宋体" w:eastAsia="宋体"/>
          <w:highlight w:val="none"/>
        </w:rPr>
        <w:t>人员经费22681559元，主要包括：基本工资、津贴补贴、奖金、社会保险缴费、绩效工资、机关事业单位基本养老保险缴费、职业年金缴费、其他工资福利支出、离休费、住房公积金、其他对个人和家庭的补助支出。</w:t>
      </w:r>
    </w:p>
    <w:p>
      <w:pPr>
        <w:pStyle w:val="34"/>
        <w:spacing w:line="560" w:lineRule="exact"/>
        <w:ind w:firstLine="633" w:firstLineChars="198"/>
        <w:rPr>
          <w:rFonts w:hint="eastAsia" w:ascii="宋体" w:hAnsi="宋体" w:eastAsia="宋体"/>
          <w:highlight w:val="none"/>
        </w:rPr>
      </w:pPr>
      <w:r>
        <w:rPr>
          <w:rFonts w:hint="eastAsia" w:ascii="宋体" w:hAnsi="宋体" w:eastAsia="宋体"/>
          <w:highlight w:val="none"/>
        </w:rPr>
        <w:t>公用经费1179668元，主要包括：办公费、印刷费、手续费、水费、电费、邮电费、差旅费、维修（护）费、会议费、培训费、劳务费、工会经费、福利费、其他交通费、其他商品和服务支出。</w:t>
      </w:r>
    </w:p>
    <w:p>
      <w:pPr>
        <w:pStyle w:val="34"/>
        <w:spacing w:line="560" w:lineRule="exact"/>
        <w:ind w:firstLine="633" w:firstLineChars="198"/>
        <w:rPr>
          <w:rFonts w:hint="eastAsia" w:ascii="宋体" w:hAnsi="宋体" w:eastAsia="宋体"/>
          <w:highlight w:val="none"/>
        </w:rPr>
      </w:pPr>
      <w:r>
        <w:rPr>
          <w:rFonts w:hint="eastAsia" w:ascii="宋体" w:hAnsi="宋体" w:eastAsia="宋体"/>
          <w:highlight w:val="none"/>
        </w:rPr>
        <w:t>国内债务付息5800000元，用于支付沫若中学整体搬迁工程向工行贷款2021年利息。</w:t>
      </w:r>
    </w:p>
    <w:p>
      <w:pPr>
        <w:pStyle w:val="34"/>
        <w:spacing w:line="560" w:lineRule="exact"/>
        <w:ind w:firstLine="636" w:firstLineChars="198"/>
        <w:rPr>
          <w:rFonts w:asciiTheme="minorEastAsia" w:hAnsiTheme="minorEastAsia" w:eastAsiaTheme="minorEastAsia"/>
          <w:b/>
          <w:highlight w:val="none"/>
          <w:shd w:val="clear" w:color="auto" w:fill="FFFFFF"/>
        </w:rPr>
      </w:pPr>
      <w:r>
        <w:rPr>
          <w:rFonts w:hint="eastAsia" w:asciiTheme="minorEastAsia" w:hAnsiTheme="minorEastAsia" w:eastAsiaTheme="minorEastAsia"/>
          <w:b/>
          <w:highlight w:val="none"/>
          <w:shd w:val="clear" w:color="auto" w:fill="FFFFFF"/>
        </w:rPr>
        <w:t>三、部门</w:t>
      </w:r>
      <w:r>
        <w:rPr>
          <w:rFonts w:hint="eastAsia" w:asciiTheme="minorEastAsia" w:hAnsiTheme="minorEastAsia" w:eastAsiaTheme="minorEastAsia"/>
          <w:b/>
          <w:highlight w:val="none"/>
          <w:shd w:val="clear" w:color="auto" w:fill="FFFFFF"/>
          <w:lang w:val="en-US" w:eastAsia="zh-CN"/>
        </w:rPr>
        <w:t>整体预算绩效</w:t>
      </w:r>
      <w:r>
        <w:rPr>
          <w:rFonts w:hint="eastAsia" w:asciiTheme="minorEastAsia" w:hAnsiTheme="minorEastAsia" w:eastAsiaTheme="minorEastAsia"/>
          <w:b/>
          <w:highlight w:val="none"/>
          <w:shd w:val="clear" w:color="auto" w:fill="FFFFFF"/>
        </w:rPr>
        <w:t>管理情况</w:t>
      </w:r>
    </w:p>
    <w:p>
      <w:pPr>
        <w:pStyle w:val="28"/>
        <w:numPr>
          <w:ilvl w:val="0"/>
          <w:numId w:val="0"/>
        </w:numPr>
        <w:spacing w:line="560" w:lineRule="exact"/>
        <w:ind w:left="635"/>
        <w:outlineLvl w:val="9"/>
        <w:rPr>
          <w:rFonts w:hint="default" w:asciiTheme="minorEastAsia" w:hAnsiTheme="minorEastAsia" w:eastAsiaTheme="minorEastAsia"/>
          <w:szCs w:val="32"/>
          <w:highlight w:val="none"/>
          <w:shd w:val="clear" w:color="auto" w:fill="FFFFFF"/>
          <w:lang w:val="en-US" w:eastAsia="zh-CN"/>
        </w:rPr>
      </w:pPr>
      <w:r>
        <w:rPr>
          <w:rFonts w:hint="eastAsia" w:asciiTheme="minorEastAsia" w:hAnsiTheme="minorEastAsia" w:eastAsiaTheme="minorEastAsia"/>
          <w:b/>
          <w:szCs w:val="32"/>
          <w:highlight w:val="none"/>
          <w:shd w:val="clear" w:color="auto" w:fill="FFFFFF"/>
        </w:rPr>
        <w:t>（一）</w:t>
      </w:r>
      <w:r>
        <w:rPr>
          <w:rFonts w:hint="eastAsia" w:asciiTheme="minorEastAsia" w:hAnsiTheme="minorEastAsia" w:eastAsiaTheme="minorEastAsia"/>
          <w:b/>
          <w:szCs w:val="32"/>
          <w:highlight w:val="none"/>
          <w:shd w:val="clear" w:color="auto" w:fill="FFFFFF"/>
          <w:lang w:val="en-US" w:eastAsia="zh-CN"/>
        </w:rPr>
        <w:t>部门预算管理</w:t>
      </w:r>
    </w:p>
    <w:p>
      <w:pPr>
        <w:pStyle w:val="34"/>
        <w:spacing w:line="560" w:lineRule="exact"/>
        <w:ind w:firstLine="640"/>
        <w:rPr>
          <w:rFonts w:asciiTheme="minorEastAsia" w:hAnsiTheme="minorEastAsia" w:eastAsiaTheme="minorEastAsia"/>
          <w:highlight w:val="none"/>
          <w:shd w:val="clear" w:color="auto" w:fill="FFFFFF"/>
          <w:lang w:val="zh-CN"/>
        </w:rPr>
      </w:pPr>
      <w:r>
        <w:rPr>
          <w:rFonts w:hint="eastAsia" w:asciiTheme="minorEastAsia" w:hAnsiTheme="minorEastAsia" w:eastAsiaTheme="minorEastAsia"/>
          <w:highlight w:val="none"/>
          <w:shd w:val="clear" w:color="auto" w:fill="FFFFFF"/>
          <w:lang w:val="zh-CN"/>
        </w:rPr>
        <w:t>主要包括</w:t>
      </w:r>
      <w:r>
        <w:rPr>
          <w:rFonts w:hint="eastAsia" w:asciiTheme="minorEastAsia" w:hAnsiTheme="minorEastAsia" w:eastAsiaTheme="minorEastAsia"/>
          <w:highlight w:val="none"/>
          <w:shd w:val="clear" w:color="auto" w:fill="FFFFFF"/>
          <w:lang w:val="en-US" w:eastAsia="zh-CN"/>
        </w:rPr>
        <w:t>部门绩效目标制定、目标实现、预算编制、支出控制、预算动态调整、执行进度、预算完成情况和违规记录等情况。</w:t>
      </w:r>
    </w:p>
    <w:p>
      <w:pPr>
        <w:pStyle w:val="34"/>
        <w:spacing w:line="560" w:lineRule="exact"/>
        <w:ind w:firstLine="640"/>
        <w:rPr>
          <w:rFonts w:hint="eastAsia" w:asciiTheme="minorEastAsia" w:hAnsiTheme="minorEastAsia" w:eastAsiaTheme="minorEastAsia"/>
          <w:highlight w:val="none"/>
          <w:shd w:val="clear" w:color="auto" w:fill="FFFFFF"/>
          <w:lang w:val="en-US" w:eastAsia="zh-CN"/>
        </w:rPr>
      </w:pPr>
      <w:r>
        <w:rPr>
          <w:rFonts w:hint="eastAsia" w:asciiTheme="minorEastAsia" w:hAnsiTheme="minorEastAsia" w:eastAsiaTheme="minorEastAsia"/>
          <w:highlight w:val="none"/>
          <w:shd w:val="clear" w:color="auto" w:fill="FFFFFF"/>
          <w:lang w:val="en-US" w:eastAsia="zh-CN"/>
        </w:rPr>
        <w:t>1.部门绩效目标制定、预算编制的准确性。</w:t>
      </w:r>
      <w:r>
        <w:rPr>
          <w:rFonts w:hint="eastAsia" w:asciiTheme="minorEastAsia" w:hAnsiTheme="minorEastAsia" w:eastAsiaTheme="minorEastAsia"/>
          <w:highlight w:val="none"/>
        </w:rPr>
        <w:t>我单位根据沙湾区委、区政府的工作安排和区财政局的预算口径，按照“二上二下”的原则编制、上报了2020年预算。</w:t>
      </w:r>
      <w:r>
        <w:rPr>
          <w:rFonts w:hint="eastAsia" w:asciiTheme="minorEastAsia" w:hAnsiTheme="minorEastAsia" w:eastAsiaTheme="minorEastAsia"/>
          <w:highlight w:val="none"/>
          <w:lang w:val="en-US" w:eastAsia="zh-CN"/>
        </w:rPr>
        <w:t>预算编制时，充分考虑了沫若中学的年度工作计划及驾驭发展规划。预算编制目标明确、数据准确、操作性强。</w:t>
      </w:r>
      <w:r>
        <w:rPr>
          <w:rFonts w:hint="eastAsia" w:asciiTheme="minorEastAsia" w:hAnsiTheme="minorEastAsia" w:eastAsiaTheme="minorEastAsia"/>
          <w:highlight w:val="none"/>
        </w:rPr>
        <w:t>经区财政初审，区政府领导审核，最后报区人代会审议</w:t>
      </w:r>
      <w:r>
        <w:rPr>
          <w:rFonts w:hint="eastAsia" w:asciiTheme="minorEastAsia" w:hAnsiTheme="minorEastAsia" w:eastAsiaTheme="minorEastAsia"/>
          <w:highlight w:val="none"/>
          <w:lang w:val="en-US" w:eastAsia="zh-CN"/>
        </w:rPr>
        <w:t>通过</w:t>
      </w:r>
      <w:r>
        <w:rPr>
          <w:rFonts w:hint="eastAsia" w:asciiTheme="minorEastAsia" w:hAnsiTheme="minorEastAsia" w:eastAsiaTheme="minorEastAsia"/>
          <w:highlight w:val="none"/>
          <w:lang w:eastAsia="zh-CN"/>
        </w:rPr>
        <w:t>。</w:t>
      </w:r>
    </w:p>
    <w:p>
      <w:pPr>
        <w:pStyle w:val="34"/>
        <w:spacing w:line="560" w:lineRule="exact"/>
        <w:ind w:firstLine="640"/>
        <w:rPr>
          <w:rFonts w:asciiTheme="minorEastAsia" w:hAnsiTheme="minorEastAsia" w:eastAsiaTheme="minorEastAsia"/>
          <w:highlight w:val="none"/>
          <w:shd w:val="clear" w:color="auto" w:fill="FFFFFF"/>
          <w:lang w:val="zh-CN"/>
        </w:rPr>
      </w:pPr>
      <w:r>
        <w:rPr>
          <w:rFonts w:hint="eastAsia" w:asciiTheme="minorEastAsia" w:hAnsiTheme="minorEastAsia" w:eastAsiaTheme="minorEastAsia"/>
          <w:highlight w:val="none"/>
          <w:shd w:val="clear" w:color="auto" w:fill="FFFFFF"/>
          <w:lang w:val="zh-CN"/>
        </w:rPr>
        <w:t>2.</w:t>
      </w:r>
      <w:r>
        <w:rPr>
          <w:rFonts w:hint="eastAsia" w:asciiTheme="minorEastAsia" w:hAnsiTheme="minorEastAsia" w:eastAsiaTheme="minorEastAsia"/>
          <w:highlight w:val="none"/>
          <w:shd w:val="clear" w:color="auto" w:fill="FFFFFF"/>
          <w:lang w:val="en-US" w:eastAsia="zh-CN"/>
        </w:rPr>
        <w:t>预算</w:t>
      </w:r>
      <w:r>
        <w:rPr>
          <w:rFonts w:hint="eastAsia" w:asciiTheme="minorEastAsia" w:hAnsiTheme="minorEastAsia" w:eastAsiaTheme="minorEastAsia"/>
          <w:highlight w:val="none"/>
          <w:shd w:val="clear" w:color="auto" w:fill="FFFFFF"/>
          <w:lang w:val="zh-CN"/>
        </w:rPr>
        <w:t>目标情况。根据财政通知和管理要求，</w:t>
      </w:r>
      <w:r>
        <w:rPr>
          <w:rFonts w:hint="eastAsia" w:asciiTheme="minorEastAsia" w:hAnsiTheme="minorEastAsia" w:eastAsiaTheme="minorEastAsia"/>
          <w:highlight w:val="none"/>
          <w:shd w:val="clear" w:color="auto" w:fill="FFFFFF"/>
          <w:lang w:val="en-US" w:eastAsia="zh-CN"/>
        </w:rPr>
        <w:t>为确保教育事业健康、稳定的发展，</w:t>
      </w:r>
      <w:r>
        <w:rPr>
          <w:rFonts w:hint="eastAsia" w:asciiTheme="minorEastAsia" w:hAnsiTheme="minorEastAsia" w:eastAsiaTheme="minorEastAsia"/>
          <w:highlight w:val="none"/>
          <w:shd w:val="clear" w:color="auto" w:fill="FFFFFF"/>
          <w:lang w:val="zh-CN"/>
        </w:rPr>
        <w:t>我单位编制年初预算时，</w:t>
      </w:r>
      <w:r>
        <w:rPr>
          <w:rFonts w:hint="eastAsia" w:asciiTheme="minorEastAsia" w:hAnsiTheme="minorEastAsia" w:eastAsiaTheme="minorEastAsia"/>
          <w:highlight w:val="none"/>
          <w:shd w:val="clear" w:color="auto" w:fill="FFFFFF"/>
          <w:lang w:val="en-US" w:eastAsia="zh-CN"/>
        </w:rPr>
        <w:t>认真</w:t>
      </w:r>
      <w:r>
        <w:rPr>
          <w:rFonts w:hint="eastAsia" w:asciiTheme="minorEastAsia" w:hAnsiTheme="minorEastAsia" w:eastAsiaTheme="minorEastAsia"/>
          <w:highlight w:val="none"/>
          <w:shd w:val="clear" w:color="auto" w:fill="FFFFFF"/>
          <w:lang w:val="zh-CN"/>
        </w:rPr>
        <w:t>编制了项目绩效预算和整体支出绩效预算。绩效目标的设置适应上级民生要求、符合教育特点、综合考虑财政资金安排进度。</w:t>
      </w:r>
    </w:p>
    <w:p>
      <w:pPr>
        <w:pStyle w:val="34"/>
        <w:spacing w:line="560" w:lineRule="exact"/>
        <w:ind w:firstLine="640"/>
        <w:rPr>
          <w:rFonts w:asciiTheme="minorEastAsia" w:hAnsiTheme="minorEastAsia" w:eastAsiaTheme="minorEastAsia"/>
          <w:highlight w:val="none"/>
          <w:shd w:val="clear" w:color="auto" w:fill="FFFFFF"/>
          <w:lang w:val="zh-CN"/>
        </w:rPr>
      </w:pPr>
      <w:r>
        <w:rPr>
          <w:rFonts w:hint="eastAsia" w:asciiTheme="minorEastAsia" w:hAnsiTheme="minorEastAsia" w:eastAsiaTheme="minorEastAsia"/>
          <w:highlight w:val="none"/>
          <w:shd w:val="clear" w:color="auto" w:fill="FFFFFF"/>
          <w:lang w:val="zh-CN"/>
        </w:rPr>
        <w:t>3.</w:t>
      </w:r>
      <w:r>
        <w:rPr>
          <w:rFonts w:hint="eastAsia" w:asciiTheme="minorEastAsia" w:hAnsiTheme="minorEastAsia" w:eastAsiaTheme="minorEastAsia"/>
          <w:highlight w:val="none"/>
          <w:shd w:val="clear" w:color="auto" w:fill="FFFFFF"/>
          <w:lang w:val="en-US" w:eastAsia="zh-CN"/>
        </w:rPr>
        <w:t>预算调整</w:t>
      </w:r>
      <w:r>
        <w:rPr>
          <w:rFonts w:hint="eastAsia" w:asciiTheme="minorEastAsia" w:hAnsiTheme="minorEastAsia" w:eastAsiaTheme="minorEastAsia"/>
          <w:highlight w:val="none"/>
          <w:shd w:val="clear" w:color="auto" w:fill="FFFFFF"/>
          <w:lang w:val="zh-CN"/>
        </w:rPr>
        <w:t>。</w:t>
      </w:r>
      <w:r>
        <w:rPr>
          <w:rFonts w:hint="eastAsia" w:asciiTheme="minorEastAsia" w:hAnsiTheme="minorEastAsia" w:eastAsiaTheme="minorEastAsia"/>
          <w:highlight w:val="none"/>
          <w:shd w:val="clear" w:color="auto" w:fill="FFFFFF"/>
          <w:lang w:val="en-US" w:eastAsia="zh-CN"/>
        </w:rPr>
        <w:t>为确保教育工作顺利开展，结合政府和财政局工作安排，</w:t>
      </w:r>
      <w:r>
        <w:rPr>
          <w:rFonts w:hint="eastAsia" w:asciiTheme="minorEastAsia" w:hAnsiTheme="minorEastAsia" w:eastAsiaTheme="minorEastAsia"/>
          <w:highlight w:val="none"/>
          <w:shd w:val="clear" w:color="auto" w:fill="FFFFFF"/>
          <w:lang w:val="zh-CN"/>
        </w:rPr>
        <w:t>我单位</w:t>
      </w:r>
      <w:r>
        <w:rPr>
          <w:rFonts w:hint="eastAsia" w:asciiTheme="minorEastAsia" w:hAnsiTheme="minorEastAsia" w:eastAsiaTheme="minorEastAsia"/>
          <w:highlight w:val="none"/>
          <w:shd w:val="clear" w:color="auto" w:fill="FFFFFF"/>
          <w:lang w:val="en-US" w:eastAsia="zh-CN"/>
        </w:rPr>
        <w:t>2021年共进行了二次预算调整，确保了人员和项目支出的顺利进行</w:t>
      </w:r>
      <w:r>
        <w:rPr>
          <w:rFonts w:hint="eastAsia" w:asciiTheme="minorEastAsia" w:hAnsiTheme="minorEastAsia" w:eastAsiaTheme="minorEastAsia"/>
          <w:highlight w:val="none"/>
          <w:shd w:val="clear" w:color="auto" w:fill="FFFFFF"/>
          <w:lang w:val="zh-CN"/>
        </w:rPr>
        <w:t>。</w:t>
      </w:r>
      <w:r>
        <w:rPr>
          <w:rFonts w:hint="eastAsia" w:asciiTheme="minorEastAsia" w:hAnsiTheme="minorEastAsia" w:eastAsiaTheme="minorEastAsia"/>
          <w:highlight w:val="none"/>
          <w:shd w:val="clear" w:color="auto" w:fill="FFFFFF"/>
          <w:lang w:val="en-US" w:eastAsia="zh-CN"/>
        </w:rPr>
        <w:t>另外，根据上级资金下达情况，我单位及时与财政衔接，做好上级专项资金的</w:t>
      </w:r>
      <w:r>
        <w:rPr>
          <w:rFonts w:hint="eastAsia" w:asciiTheme="minorEastAsia" w:hAnsiTheme="minorEastAsia" w:eastAsiaTheme="minorEastAsia"/>
          <w:highlight w:val="none"/>
          <w:shd w:val="clear" w:color="auto" w:fill="FFFFFF"/>
          <w:lang w:val="zh-CN"/>
        </w:rPr>
        <w:t>预算分配、</w:t>
      </w:r>
      <w:r>
        <w:rPr>
          <w:rFonts w:hint="eastAsia" w:asciiTheme="minorEastAsia" w:hAnsiTheme="minorEastAsia" w:eastAsiaTheme="minorEastAsia"/>
          <w:highlight w:val="none"/>
          <w:shd w:val="clear" w:color="auto" w:fill="FFFFFF"/>
          <w:lang w:val="en-US" w:eastAsia="zh-CN"/>
        </w:rPr>
        <w:t>及时调整</w:t>
      </w:r>
      <w:r>
        <w:rPr>
          <w:rFonts w:hint="eastAsia" w:asciiTheme="minorEastAsia" w:hAnsiTheme="minorEastAsia" w:eastAsiaTheme="minorEastAsia"/>
          <w:highlight w:val="none"/>
          <w:shd w:val="clear" w:color="auto" w:fill="FFFFFF"/>
          <w:lang w:val="zh-CN"/>
        </w:rPr>
        <w:t>节能降耗及“三公”经费预算等</w:t>
      </w:r>
    </w:p>
    <w:p>
      <w:pPr>
        <w:pStyle w:val="34"/>
        <w:spacing w:line="560" w:lineRule="exact"/>
        <w:ind w:firstLine="640"/>
        <w:rPr>
          <w:rFonts w:hint="eastAsia" w:asciiTheme="minorEastAsia" w:hAnsiTheme="minorEastAsia" w:eastAsiaTheme="minorEastAsia"/>
          <w:highlight w:val="none"/>
          <w:shd w:val="clear" w:color="auto" w:fill="FFFFFF"/>
          <w:lang w:val="en-US" w:eastAsia="zh-CN"/>
        </w:rPr>
      </w:pPr>
      <w:r>
        <w:rPr>
          <w:rFonts w:hint="eastAsia" w:asciiTheme="minorEastAsia" w:hAnsiTheme="minorEastAsia" w:eastAsiaTheme="minorEastAsia"/>
          <w:highlight w:val="none"/>
          <w:shd w:val="clear" w:color="auto" w:fill="FFFFFF"/>
          <w:lang w:val="zh-CN"/>
        </w:rPr>
        <w:t>4.</w:t>
      </w:r>
      <w:r>
        <w:rPr>
          <w:rFonts w:hint="eastAsia" w:asciiTheme="minorEastAsia" w:hAnsiTheme="minorEastAsia" w:eastAsiaTheme="minorEastAsia"/>
          <w:highlight w:val="none"/>
          <w:shd w:val="clear" w:color="auto" w:fill="FFFFFF"/>
          <w:lang w:val="en-US" w:eastAsia="zh-CN"/>
        </w:rPr>
        <w:t>预算执行</w:t>
      </w:r>
      <w:r>
        <w:rPr>
          <w:rFonts w:hint="eastAsia" w:asciiTheme="minorEastAsia" w:hAnsiTheme="minorEastAsia" w:eastAsiaTheme="minorEastAsia"/>
          <w:highlight w:val="none"/>
          <w:shd w:val="clear" w:color="auto" w:fill="FFFFFF"/>
          <w:lang w:val="zh-CN"/>
        </w:rPr>
        <w:t>。</w:t>
      </w:r>
      <w:r>
        <w:rPr>
          <w:rFonts w:hint="eastAsia" w:asciiTheme="minorEastAsia" w:hAnsiTheme="minorEastAsia" w:eastAsiaTheme="minorEastAsia"/>
          <w:highlight w:val="none"/>
          <w:shd w:val="clear" w:color="auto" w:fill="FFFFFF"/>
          <w:lang w:val="en-US" w:eastAsia="zh-CN"/>
        </w:rPr>
        <w:t>沫若中学2021年一般公共预算基本支出29661227元，其中：</w:t>
      </w:r>
    </w:p>
    <w:p>
      <w:pPr>
        <w:pStyle w:val="34"/>
        <w:spacing w:line="560" w:lineRule="exact"/>
        <w:ind w:firstLine="640"/>
        <w:rPr>
          <w:rFonts w:hint="eastAsia" w:asciiTheme="minorEastAsia" w:hAnsiTheme="minorEastAsia" w:eastAsiaTheme="minorEastAsia"/>
          <w:highlight w:val="none"/>
          <w:shd w:val="clear" w:color="auto" w:fill="FFFFFF"/>
          <w:lang w:val="en-US" w:eastAsia="zh-CN"/>
        </w:rPr>
      </w:pPr>
      <w:r>
        <w:rPr>
          <w:rFonts w:hint="eastAsia" w:asciiTheme="minorEastAsia" w:hAnsiTheme="minorEastAsia" w:eastAsiaTheme="minorEastAsia"/>
          <w:highlight w:val="none"/>
          <w:shd w:val="clear" w:color="auto" w:fill="FFFFFF"/>
          <w:lang w:val="en-US" w:eastAsia="zh-CN"/>
        </w:rPr>
        <w:t>人员经费22681559元，主要包括：基本工资、津贴补贴、奖金、社会保险缴费、绩效工资、机关事业单位基本养老保险缴费、职业年金缴费、其他工资福利支出、离休费、</w:t>
      </w:r>
      <w:bookmarkStart w:id="0" w:name="_GoBack"/>
      <w:bookmarkEnd w:id="0"/>
      <w:r>
        <w:rPr>
          <w:rFonts w:hint="eastAsia" w:asciiTheme="minorEastAsia" w:hAnsiTheme="minorEastAsia" w:eastAsiaTheme="minorEastAsia"/>
          <w:highlight w:val="none"/>
          <w:shd w:val="clear" w:color="auto" w:fill="FFFFFF"/>
          <w:lang w:val="en-US" w:eastAsia="zh-CN"/>
        </w:rPr>
        <w:t>住房公积金、其他对个人和家庭的补助支出。</w:t>
      </w:r>
    </w:p>
    <w:p>
      <w:pPr>
        <w:pStyle w:val="34"/>
        <w:spacing w:line="560" w:lineRule="exact"/>
        <w:ind w:firstLine="640"/>
        <w:rPr>
          <w:rFonts w:hint="eastAsia" w:asciiTheme="minorEastAsia" w:hAnsiTheme="minorEastAsia" w:eastAsiaTheme="minorEastAsia"/>
          <w:highlight w:val="none"/>
          <w:shd w:val="clear" w:color="auto" w:fill="FFFFFF"/>
          <w:lang w:val="en-US" w:eastAsia="zh-CN"/>
        </w:rPr>
      </w:pPr>
      <w:r>
        <w:rPr>
          <w:rFonts w:hint="eastAsia" w:asciiTheme="minorEastAsia" w:hAnsiTheme="minorEastAsia" w:eastAsiaTheme="minorEastAsia"/>
          <w:highlight w:val="none"/>
          <w:shd w:val="clear" w:color="auto" w:fill="FFFFFF"/>
          <w:lang w:val="en-US" w:eastAsia="zh-CN"/>
        </w:rPr>
        <w:t>公用经费1179668元，主要包括：办公费、印刷费、手续费、水费、电费、邮电费、差旅费、维修（护）费、会议费、培训费、劳务费、工会经费、福利费、其他交通费、其他商品和服务支出。</w:t>
      </w:r>
    </w:p>
    <w:p>
      <w:pPr>
        <w:pStyle w:val="34"/>
        <w:spacing w:line="560" w:lineRule="exact"/>
        <w:ind w:firstLine="640"/>
        <w:rPr>
          <w:rFonts w:hint="default" w:asciiTheme="minorEastAsia" w:hAnsiTheme="minorEastAsia" w:eastAsiaTheme="minorEastAsia"/>
          <w:highlight w:val="none"/>
          <w:shd w:val="clear" w:color="auto" w:fill="FFFFFF"/>
          <w:lang w:val="en-US" w:eastAsia="zh-CN"/>
        </w:rPr>
      </w:pPr>
      <w:r>
        <w:rPr>
          <w:rFonts w:hint="eastAsia" w:asciiTheme="minorEastAsia" w:hAnsiTheme="minorEastAsia" w:eastAsiaTheme="minorEastAsia"/>
          <w:highlight w:val="none"/>
          <w:shd w:val="clear" w:color="auto" w:fill="FFFFFF"/>
          <w:lang w:val="en-US" w:eastAsia="zh-CN"/>
        </w:rPr>
        <w:t>国内债务付息5800000元，用于支付沫若中学整体搬迁工程向工行贷款2021年利息。除因部分项目因未达到付款进度，尚未支付款项外，基本实行年初目标。</w:t>
      </w:r>
    </w:p>
    <w:p>
      <w:pPr>
        <w:pStyle w:val="28"/>
        <w:numPr>
          <w:ilvl w:val="0"/>
          <w:numId w:val="0"/>
        </w:numPr>
        <w:spacing w:line="560" w:lineRule="exact"/>
        <w:ind w:left="635"/>
        <w:outlineLvl w:val="9"/>
        <w:rPr>
          <w:rFonts w:hint="default" w:asciiTheme="minorEastAsia" w:hAnsiTheme="minorEastAsia" w:eastAsiaTheme="minorEastAsia"/>
          <w:szCs w:val="32"/>
          <w:shd w:val="clear" w:color="auto" w:fill="FFFFFF"/>
          <w:lang w:val="en-US" w:eastAsia="zh-CN"/>
        </w:rPr>
      </w:pPr>
      <w:r>
        <w:rPr>
          <w:rFonts w:hint="eastAsia" w:asciiTheme="minorEastAsia" w:hAnsiTheme="minorEastAsia" w:eastAsiaTheme="minorEastAsia"/>
          <w:b/>
          <w:szCs w:val="32"/>
          <w:shd w:val="clear" w:color="auto" w:fill="FFFFFF"/>
        </w:rPr>
        <w:t>（二）</w:t>
      </w:r>
      <w:r>
        <w:rPr>
          <w:rFonts w:hint="eastAsia" w:asciiTheme="minorEastAsia" w:hAnsiTheme="minorEastAsia" w:eastAsiaTheme="minorEastAsia"/>
          <w:b/>
          <w:szCs w:val="32"/>
          <w:shd w:val="clear" w:color="auto" w:fill="FFFFFF"/>
          <w:lang w:val="en-US" w:eastAsia="zh-CN"/>
        </w:rPr>
        <w:t>项目预算管理</w:t>
      </w:r>
    </w:p>
    <w:p>
      <w:pPr>
        <w:pStyle w:val="28"/>
        <w:numPr>
          <w:ilvl w:val="0"/>
          <w:numId w:val="0"/>
        </w:numPr>
        <w:spacing w:line="560" w:lineRule="exact"/>
        <w:ind w:firstLine="640" w:firstLineChars="200"/>
        <w:jc w:val="both"/>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szCs w:val="32"/>
          <w:shd w:val="clear" w:color="auto" w:fill="FFFFFF"/>
        </w:rPr>
        <w:t>1.</w:t>
      </w:r>
      <w:r>
        <w:rPr>
          <w:rFonts w:hint="eastAsia" w:asciiTheme="minorEastAsia" w:hAnsiTheme="minorEastAsia" w:eastAsiaTheme="minorEastAsia"/>
          <w:szCs w:val="32"/>
          <w:shd w:val="clear" w:color="auto" w:fill="FFFFFF"/>
          <w:lang w:val="en-US" w:eastAsia="zh-CN"/>
        </w:rPr>
        <w:t>项目基本</w:t>
      </w:r>
      <w:r>
        <w:rPr>
          <w:rFonts w:hint="eastAsia" w:asciiTheme="minorEastAsia" w:hAnsiTheme="minorEastAsia" w:eastAsiaTheme="minorEastAsia"/>
          <w:szCs w:val="32"/>
          <w:shd w:val="clear" w:color="auto" w:fill="FFFFFF"/>
        </w:rPr>
        <w:t>情况。</w:t>
      </w:r>
      <w:r>
        <w:rPr>
          <w:rFonts w:hint="eastAsia" w:asciiTheme="minorEastAsia" w:hAnsiTheme="minorEastAsia" w:eastAsiaTheme="minorEastAsia"/>
          <w:szCs w:val="32"/>
          <w:shd w:val="clear" w:color="auto" w:fill="FFFFFF"/>
          <w:lang w:val="en-US" w:eastAsia="zh-CN"/>
        </w:rPr>
        <w:t>根据区政府的安排及学校的实际情况，完成相关工作，2021年编制项目4个，其中一般预算项目3个，财政专户管理资金项目1个</w:t>
      </w:r>
      <w:r>
        <w:rPr>
          <w:rFonts w:hint="eastAsia" w:asciiTheme="minorEastAsia" w:hAnsiTheme="minorEastAsia" w:eastAsiaTheme="minorEastAsia"/>
          <w:szCs w:val="32"/>
          <w:shd w:val="clear" w:color="auto" w:fill="FFFFFF"/>
        </w:rPr>
        <w:t>。</w:t>
      </w:r>
    </w:p>
    <w:p>
      <w:pPr>
        <w:pStyle w:val="28"/>
        <w:numPr>
          <w:ilvl w:val="0"/>
          <w:numId w:val="0"/>
        </w:numPr>
        <w:spacing w:line="560" w:lineRule="exact"/>
        <w:ind w:firstLine="640" w:firstLineChars="200"/>
        <w:jc w:val="both"/>
        <w:outlineLvl w:val="9"/>
        <w:rPr>
          <w:rFonts w:hint="default" w:asciiTheme="minorEastAsia" w:hAnsiTheme="minorEastAsia" w:eastAsiaTheme="minorEastAsia"/>
          <w:szCs w:val="32"/>
          <w:shd w:val="clear" w:color="auto" w:fill="FFFFFF"/>
          <w:lang w:val="en-US"/>
        </w:rPr>
      </w:pPr>
      <w:r>
        <w:rPr>
          <w:rFonts w:hint="eastAsia" w:asciiTheme="minorEastAsia" w:hAnsiTheme="minorEastAsia" w:eastAsiaTheme="minorEastAsia"/>
          <w:szCs w:val="32"/>
          <w:shd w:val="clear" w:color="auto" w:fill="FFFFFF"/>
        </w:rPr>
        <w:t>2.</w:t>
      </w:r>
      <w:r>
        <w:rPr>
          <w:rFonts w:hint="eastAsia" w:asciiTheme="minorEastAsia" w:hAnsiTheme="minorEastAsia" w:eastAsiaTheme="minorEastAsia"/>
          <w:szCs w:val="32"/>
          <w:shd w:val="clear" w:color="auto" w:fill="FFFFFF"/>
          <w:lang w:val="en-US" w:eastAsia="zh-CN"/>
        </w:rPr>
        <w:t>项目目标完成</w:t>
      </w:r>
      <w:r>
        <w:rPr>
          <w:rFonts w:hint="eastAsia" w:asciiTheme="minorEastAsia" w:hAnsiTheme="minorEastAsia" w:eastAsiaTheme="minorEastAsia"/>
          <w:szCs w:val="32"/>
          <w:shd w:val="clear" w:color="auto" w:fill="FFFFFF"/>
        </w:rPr>
        <w:t>情况。</w:t>
      </w:r>
      <w:r>
        <w:rPr>
          <w:rFonts w:hint="eastAsia" w:asciiTheme="minorEastAsia" w:hAnsiTheme="minorEastAsia" w:eastAsiaTheme="minorEastAsia"/>
          <w:szCs w:val="32"/>
          <w:shd w:val="clear" w:color="auto" w:fill="FFFFFF"/>
          <w:lang w:val="en-US" w:eastAsia="zh-CN"/>
        </w:rPr>
        <w:t>截止2021年底，4个项目全部执行完毕。执行率达100%的项目有4个。</w:t>
      </w:r>
    </w:p>
    <w:p>
      <w:pPr>
        <w:pStyle w:val="34"/>
        <w:spacing w:line="560" w:lineRule="exact"/>
        <w:ind w:firstLine="640"/>
        <w:jc w:val="both"/>
        <w:rPr>
          <w:rFonts w:asciiTheme="minorEastAsia" w:hAnsiTheme="minorEastAsia" w:eastAsiaTheme="minorEastAsia"/>
        </w:rPr>
      </w:pPr>
      <w:r>
        <w:rPr>
          <w:rFonts w:hint="eastAsia" w:asciiTheme="minorEastAsia" w:hAnsiTheme="minorEastAsia" w:eastAsiaTheme="minorEastAsia"/>
          <w:lang w:val="zh-CN"/>
        </w:rPr>
        <w:t>3.</w:t>
      </w:r>
      <w:r>
        <w:rPr>
          <w:rFonts w:hint="eastAsia" w:asciiTheme="minorEastAsia" w:hAnsiTheme="minorEastAsia" w:eastAsiaTheme="minorEastAsia"/>
          <w:lang w:val="en-US" w:eastAsia="zh-CN"/>
        </w:rPr>
        <w:t>结果应用情况</w:t>
      </w:r>
      <w:r>
        <w:rPr>
          <w:rFonts w:hint="eastAsia" w:asciiTheme="minorEastAsia" w:hAnsiTheme="minorEastAsia" w:eastAsiaTheme="minorEastAsia"/>
          <w:lang w:val="zh-CN"/>
        </w:rPr>
        <w:t>。我单位是</w:t>
      </w:r>
      <w:r>
        <w:rPr>
          <w:rFonts w:hint="eastAsia" w:asciiTheme="minorEastAsia" w:hAnsiTheme="minorEastAsia" w:eastAsiaTheme="minorEastAsia"/>
        </w:rPr>
        <w:t>教育局</w:t>
      </w:r>
      <w:r>
        <w:rPr>
          <w:rFonts w:hint="eastAsia" w:asciiTheme="minorEastAsia" w:hAnsiTheme="minorEastAsia" w:eastAsiaTheme="minorEastAsia"/>
          <w:lang w:eastAsia="zh-CN"/>
        </w:rPr>
        <w:t>下属的教育执行</w:t>
      </w:r>
      <w:r>
        <w:rPr>
          <w:rFonts w:hint="eastAsia" w:asciiTheme="minorEastAsia" w:hAnsiTheme="minorEastAsia" w:eastAsiaTheme="minorEastAsia"/>
        </w:rPr>
        <w:t>部门，我单位从领导到普通职工均严格按照各类规范和程序履行教育职责，按照教育规律办事，努力办好人民满意的教育。这一年来，</w:t>
      </w:r>
      <w:r>
        <w:rPr>
          <w:rFonts w:hint="eastAsia" w:asciiTheme="minorEastAsia" w:hAnsiTheme="minorEastAsia" w:eastAsiaTheme="minorEastAsia"/>
          <w:lang w:eastAsia="zh-CN"/>
        </w:rPr>
        <w:t>我校</w:t>
      </w:r>
      <w:r>
        <w:rPr>
          <w:rFonts w:hint="eastAsia" w:asciiTheme="minorEastAsia" w:hAnsiTheme="minorEastAsia" w:eastAsiaTheme="minorEastAsia"/>
        </w:rPr>
        <w:t>教育一直健康、稳定、持续向好发展，全区人民和区委区政府都比较满意。</w:t>
      </w:r>
    </w:p>
    <w:p>
      <w:pPr>
        <w:pStyle w:val="34"/>
        <w:spacing w:line="560" w:lineRule="exact"/>
        <w:ind w:firstLine="640"/>
        <w:rPr>
          <w:rFonts w:asciiTheme="minorEastAsia" w:hAnsiTheme="minorEastAsia" w:eastAsiaTheme="minorEastAsia"/>
        </w:rPr>
      </w:pPr>
      <w:r>
        <w:rPr>
          <w:rFonts w:hint="eastAsia" w:asciiTheme="minorEastAsia" w:hAnsiTheme="minorEastAsia" w:eastAsiaTheme="minorEastAsia"/>
        </w:rPr>
        <w:t>我</w:t>
      </w:r>
      <w:r>
        <w:rPr>
          <w:rFonts w:hint="eastAsia" w:asciiTheme="minorEastAsia" w:hAnsiTheme="minorEastAsia" w:eastAsiaTheme="minorEastAsia"/>
          <w:lang w:val="en-US" w:eastAsia="zh-CN"/>
        </w:rPr>
        <w:t>单位</w:t>
      </w:r>
      <w:r>
        <w:rPr>
          <w:rFonts w:hint="eastAsia" w:asciiTheme="minorEastAsia" w:hAnsiTheme="minorEastAsia" w:eastAsiaTheme="minorEastAsia"/>
        </w:rPr>
        <w:t>积极配合各级各类检查，认真落实区财政、区纪委和区监察委的各类专项资金检查和审计。发现问题及时整改，并及时向全区学校通报违规违纪现象，让所有学校引以为鉴</w:t>
      </w:r>
    </w:p>
    <w:p>
      <w:pPr>
        <w:pStyle w:val="27"/>
        <w:numPr>
          <w:ilvl w:val="0"/>
          <w:numId w:val="0"/>
        </w:numPr>
        <w:spacing w:line="560" w:lineRule="exact"/>
        <w:ind w:firstLine="643" w:firstLineChars="200"/>
        <w:outlineLvl w:val="9"/>
        <w:rPr>
          <w:rFonts w:asciiTheme="minorEastAsia" w:hAnsiTheme="minorEastAsia" w:eastAsiaTheme="minorEastAsia"/>
          <w:b/>
          <w:shd w:val="clear" w:color="auto" w:fill="FFFFFF"/>
        </w:rPr>
      </w:pPr>
      <w:r>
        <w:rPr>
          <w:rFonts w:hint="eastAsia" w:asciiTheme="minorEastAsia" w:hAnsiTheme="minorEastAsia" w:eastAsiaTheme="minorEastAsia"/>
          <w:b/>
          <w:shd w:val="clear" w:color="auto" w:fill="FFFFFF"/>
        </w:rPr>
        <w:t>四、评价结论及建议</w:t>
      </w:r>
    </w:p>
    <w:p>
      <w:pPr>
        <w:pStyle w:val="28"/>
        <w:numPr>
          <w:ilvl w:val="0"/>
          <w:numId w:val="0"/>
        </w:numPr>
        <w:spacing w:line="560" w:lineRule="exact"/>
        <w:ind w:left="635"/>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（一）评价结论</w:t>
      </w:r>
    </w:p>
    <w:p>
      <w:pPr>
        <w:ind w:firstLine="640" w:firstLineChars="200"/>
        <w:rPr>
          <w:rFonts w:asciiTheme="minorEastAsia" w:hAnsiTheme="minorEastAsia" w:eastAsiaTheme="minorEastAsia"/>
          <w:lang w:val="zh-CN"/>
        </w:rPr>
      </w:pPr>
      <w:r>
        <w:rPr>
          <w:rFonts w:asciiTheme="minorEastAsia" w:hAnsiTheme="minorEastAsia" w:eastAsiaTheme="minorEastAsia"/>
          <w:lang w:val="zh-CN"/>
        </w:rPr>
        <w:t>经</w:t>
      </w:r>
      <w:r>
        <w:rPr>
          <w:rFonts w:hint="eastAsia" w:asciiTheme="minorEastAsia" w:hAnsiTheme="minorEastAsia" w:eastAsiaTheme="minorEastAsia"/>
          <w:lang w:val="zh-CN"/>
        </w:rPr>
        <w:t>校长办公会和学校行政会</w:t>
      </w:r>
      <w:r>
        <w:rPr>
          <w:rFonts w:asciiTheme="minorEastAsia" w:hAnsiTheme="minorEastAsia" w:eastAsiaTheme="minorEastAsia"/>
          <w:lang w:val="zh-CN"/>
        </w:rPr>
        <w:t>认真自评</w:t>
      </w:r>
      <w:r>
        <w:rPr>
          <w:rFonts w:hint="eastAsia" w:asciiTheme="minorEastAsia" w:hAnsiTheme="minorEastAsia" w:eastAsiaTheme="minorEastAsia"/>
          <w:lang w:val="zh-CN"/>
        </w:rPr>
        <w:t>，</w:t>
      </w:r>
      <w:r>
        <w:rPr>
          <w:rFonts w:asciiTheme="minorEastAsia" w:hAnsiTheme="minorEastAsia" w:eastAsiaTheme="minorEastAsia"/>
          <w:lang w:val="zh-CN"/>
        </w:rPr>
        <w:t>一致认为我</w:t>
      </w:r>
      <w:r>
        <w:rPr>
          <w:rFonts w:hint="eastAsia" w:asciiTheme="minorEastAsia" w:hAnsiTheme="minorEastAsia" w:eastAsiaTheme="minorEastAsia"/>
          <w:lang w:val="zh-CN"/>
        </w:rPr>
        <w:t>校202</w:t>
      </w:r>
      <w:r>
        <w:rPr>
          <w:rFonts w:hint="eastAsia" w:asciiTheme="minorEastAsia" w:hAnsiTheme="minorEastAsia" w:eastAsiaTheme="minorEastAsia"/>
          <w:lang w:val="en-US" w:eastAsia="zh-CN"/>
        </w:rPr>
        <w:t>1</w:t>
      </w:r>
      <w:r>
        <w:rPr>
          <w:rFonts w:hint="eastAsia" w:asciiTheme="minorEastAsia" w:hAnsiTheme="minorEastAsia" w:eastAsiaTheme="minorEastAsia"/>
          <w:lang w:val="zh-CN"/>
        </w:rPr>
        <w:t>年整体支出绩效合格。</w:t>
      </w:r>
    </w:p>
    <w:p>
      <w:pPr>
        <w:pStyle w:val="28"/>
        <w:numPr>
          <w:ilvl w:val="0"/>
          <w:numId w:val="0"/>
        </w:numPr>
        <w:spacing w:line="560" w:lineRule="exact"/>
        <w:ind w:left="635"/>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（二）存在问题</w:t>
      </w:r>
    </w:p>
    <w:p>
      <w:pPr>
        <w:pStyle w:val="28"/>
        <w:numPr>
          <w:ilvl w:val="0"/>
          <w:numId w:val="0"/>
        </w:numPr>
        <w:spacing w:line="560" w:lineRule="exact"/>
        <w:ind w:firstLine="640" w:firstLineChars="200"/>
        <w:jc w:val="both"/>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szCs w:val="32"/>
          <w:shd w:val="clear" w:color="auto" w:fill="FFFFFF"/>
        </w:rPr>
        <w:t>1.</w:t>
      </w:r>
      <w:r>
        <w:rPr>
          <w:rFonts w:hint="eastAsia" w:asciiTheme="minorEastAsia" w:hAnsiTheme="minorEastAsia" w:eastAsiaTheme="minorEastAsia"/>
          <w:szCs w:val="32"/>
          <w:shd w:val="clear" w:color="auto" w:fill="FFFFFF"/>
          <w:lang w:val="en-US" w:eastAsia="zh-CN"/>
        </w:rPr>
        <w:t>应进一步加大教育投入。</w:t>
      </w:r>
      <w:r>
        <w:rPr>
          <w:rFonts w:hint="eastAsia" w:asciiTheme="minorEastAsia" w:hAnsiTheme="minorEastAsia" w:eastAsiaTheme="minorEastAsia"/>
          <w:szCs w:val="32"/>
          <w:shd w:val="clear" w:color="auto" w:fill="FFFFFF"/>
          <w:lang w:eastAsia="zh-CN"/>
        </w:rPr>
        <w:t>保障学校各项经费的及时到位，使学校各项工作顺利开展，让学校的工作全部投入到教育教学工作中去，切实保障学校的教育教学工作的提高。</w:t>
      </w:r>
      <w:r>
        <w:rPr>
          <w:rFonts w:hint="eastAsia" w:asciiTheme="minorEastAsia" w:hAnsiTheme="minorEastAsia" w:eastAsiaTheme="minorEastAsia"/>
          <w:szCs w:val="32"/>
          <w:shd w:val="clear" w:color="auto" w:fill="FFFFFF"/>
          <w:lang w:val="en-US" w:eastAsia="zh-CN"/>
        </w:rPr>
        <w:t>有效改善学校办学条件，</w:t>
      </w:r>
      <w:r>
        <w:rPr>
          <w:rFonts w:hint="eastAsia" w:asciiTheme="minorEastAsia" w:hAnsiTheme="minorEastAsia" w:eastAsiaTheme="minorEastAsia"/>
          <w:szCs w:val="32"/>
          <w:shd w:val="clear" w:color="auto" w:fill="FFFFFF"/>
        </w:rPr>
        <w:t>有利于教育的持续</w:t>
      </w:r>
      <w:r>
        <w:rPr>
          <w:rFonts w:hint="eastAsia" w:asciiTheme="minorEastAsia" w:hAnsiTheme="minorEastAsia" w:eastAsiaTheme="minorEastAsia"/>
          <w:szCs w:val="32"/>
          <w:shd w:val="clear" w:color="auto" w:fill="FFFFFF"/>
          <w:lang w:val="en-US" w:eastAsia="zh-CN"/>
        </w:rPr>
        <w:t>发展和</w:t>
      </w:r>
      <w:r>
        <w:rPr>
          <w:rFonts w:hint="eastAsia" w:asciiTheme="minorEastAsia" w:hAnsiTheme="minorEastAsia" w:eastAsiaTheme="minorEastAsia"/>
          <w:szCs w:val="32"/>
          <w:shd w:val="clear" w:color="auto" w:fill="FFFFFF"/>
        </w:rPr>
        <w:t>高质量发展。</w:t>
      </w:r>
    </w:p>
    <w:p>
      <w:pPr>
        <w:pStyle w:val="28"/>
        <w:numPr>
          <w:ilvl w:val="0"/>
          <w:numId w:val="0"/>
        </w:numPr>
        <w:spacing w:line="560" w:lineRule="exact"/>
        <w:ind w:firstLine="640" w:firstLineChars="200"/>
        <w:jc w:val="both"/>
        <w:outlineLvl w:val="9"/>
        <w:rPr>
          <w:rFonts w:asciiTheme="minorEastAsia" w:hAnsiTheme="minorEastAsia" w:eastAsiaTheme="minorEastAsia"/>
        </w:rPr>
      </w:pPr>
      <w:r>
        <w:rPr>
          <w:rFonts w:hint="eastAsia" w:asciiTheme="minorEastAsia" w:hAnsiTheme="minorEastAsia" w:eastAsiaTheme="minorEastAsia"/>
          <w:szCs w:val="32"/>
          <w:shd w:val="clear" w:color="auto" w:fill="FFFFFF"/>
        </w:rPr>
        <w:t>2.</w:t>
      </w:r>
      <w:r>
        <w:rPr>
          <w:rFonts w:hint="eastAsia" w:asciiTheme="minorEastAsia" w:hAnsiTheme="minorEastAsia" w:eastAsiaTheme="minorEastAsia"/>
          <w:szCs w:val="32"/>
          <w:shd w:val="clear" w:color="auto" w:fill="FFFFFF"/>
          <w:lang w:eastAsia="zh-CN"/>
        </w:rPr>
        <w:t>学校项目资金和办公经费</w:t>
      </w:r>
      <w:r>
        <w:rPr>
          <w:rFonts w:hint="eastAsia" w:asciiTheme="minorEastAsia" w:hAnsiTheme="minorEastAsia" w:eastAsiaTheme="minorEastAsia"/>
          <w:szCs w:val="32"/>
          <w:shd w:val="clear" w:color="auto" w:fill="FFFFFF"/>
        </w:rPr>
        <w:t>没按进度办理。按照区财政目前的管理，</w:t>
      </w:r>
      <w:r>
        <w:rPr>
          <w:rFonts w:hint="eastAsia" w:asciiTheme="minorEastAsia" w:hAnsiTheme="minorEastAsia" w:eastAsiaTheme="minorEastAsia"/>
          <w:szCs w:val="32"/>
          <w:shd w:val="clear" w:color="auto" w:fill="FFFFFF"/>
          <w:lang w:eastAsia="zh-CN"/>
        </w:rPr>
        <w:t>平时没有到位的</w:t>
      </w:r>
      <w:r>
        <w:rPr>
          <w:rFonts w:hint="eastAsia" w:asciiTheme="minorEastAsia" w:hAnsiTheme="minorEastAsia" w:eastAsiaTheme="minorEastAsia"/>
          <w:szCs w:val="32"/>
          <w:shd w:val="clear" w:color="auto" w:fill="FFFFFF"/>
        </w:rPr>
        <w:t>是到年底才统一安排资金，</w:t>
      </w:r>
      <w:r>
        <w:rPr>
          <w:rFonts w:hint="eastAsia" w:asciiTheme="minorEastAsia" w:hAnsiTheme="minorEastAsia" w:eastAsiaTheme="minorEastAsia"/>
          <w:szCs w:val="32"/>
          <w:shd w:val="clear" w:color="auto" w:fill="FFFFFF"/>
          <w:lang w:eastAsia="zh-CN"/>
        </w:rPr>
        <w:t>甚至有还要缩减年底急需资金</w:t>
      </w:r>
      <w:r>
        <w:rPr>
          <w:rFonts w:hint="eastAsia" w:asciiTheme="minorEastAsia" w:hAnsiTheme="minorEastAsia" w:eastAsiaTheme="minorEastAsia"/>
          <w:szCs w:val="32"/>
          <w:shd w:val="clear" w:color="auto" w:fill="FFFFFF"/>
        </w:rPr>
        <w:t>导致很多</w:t>
      </w:r>
      <w:r>
        <w:rPr>
          <w:rFonts w:hint="eastAsia" w:asciiTheme="minorEastAsia" w:hAnsiTheme="minorEastAsia" w:eastAsiaTheme="minorEastAsia"/>
          <w:szCs w:val="32"/>
          <w:shd w:val="clear" w:color="auto" w:fill="FFFFFF"/>
          <w:lang w:eastAsia="zh-CN"/>
        </w:rPr>
        <w:t>支付</w:t>
      </w:r>
      <w:r>
        <w:rPr>
          <w:rFonts w:hint="eastAsia" w:asciiTheme="minorEastAsia" w:hAnsiTheme="minorEastAsia" w:eastAsiaTheme="minorEastAsia"/>
          <w:szCs w:val="32"/>
          <w:shd w:val="clear" w:color="auto" w:fill="FFFFFF"/>
        </w:rPr>
        <w:t>实施困难，不能按进度稳步推进。</w:t>
      </w:r>
    </w:p>
    <w:p>
      <w:pPr>
        <w:pStyle w:val="28"/>
        <w:numPr>
          <w:ilvl w:val="0"/>
          <w:numId w:val="0"/>
        </w:numPr>
        <w:spacing w:line="560" w:lineRule="exact"/>
        <w:ind w:left="635"/>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b/>
          <w:szCs w:val="32"/>
          <w:shd w:val="clear" w:color="auto" w:fill="FFFFFF"/>
        </w:rPr>
        <w:t>（三）改进建议</w:t>
      </w:r>
    </w:p>
    <w:p>
      <w:pPr>
        <w:pStyle w:val="28"/>
        <w:numPr>
          <w:ilvl w:val="0"/>
          <w:numId w:val="0"/>
        </w:numPr>
        <w:spacing w:line="560" w:lineRule="exact"/>
        <w:ind w:firstLine="640" w:firstLineChars="200"/>
        <w:jc w:val="both"/>
        <w:outlineLvl w:val="9"/>
        <w:rPr>
          <w:rFonts w:asciiTheme="minorEastAsia" w:hAnsiTheme="minorEastAsia" w:eastAsiaTheme="minorEastAsia"/>
          <w:szCs w:val="32"/>
          <w:shd w:val="clear" w:color="auto" w:fill="FFFFFF"/>
        </w:rPr>
      </w:pPr>
      <w:r>
        <w:rPr>
          <w:rFonts w:hint="eastAsia" w:asciiTheme="minorEastAsia" w:hAnsiTheme="minorEastAsia" w:eastAsiaTheme="minorEastAsia"/>
          <w:szCs w:val="32"/>
          <w:shd w:val="clear" w:color="auto" w:fill="FFFFFF"/>
          <w:lang w:val="en-US" w:eastAsia="zh-CN"/>
        </w:rPr>
        <w:t>加大教育经费投入，尽快进一步改善学校的教育教学条件，为提升我校教育教学质量提供有力保障</w:t>
      </w:r>
      <w:r>
        <w:rPr>
          <w:rFonts w:hint="eastAsia" w:asciiTheme="minorEastAsia" w:hAnsiTheme="minorEastAsia" w:eastAsiaTheme="minorEastAsia"/>
          <w:szCs w:val="32"/>
          <w:shd w:val="clear" w:color="auto" w:fill="FFFFFF"/>
        </w:rPr>
        <w:t>。</w:t>
      </w:r>
    </w:p>
    <w:p>
      <w:pPr>
        <w:ind w:firstLine="5760" w:firstLineChars="1800"/>
        <w:rPr>
          <w:rFonts w:hint="eastAsia" w:asciiTheme="minorEastAsia" w:hAnsiTheme="minorEastAsia" w:eastAsiaTheme="minorEastAsia"/>
          <w:lang w:val="zh-CN"/>
        </w:rPr>
      </w:pPr>
    </w:p>
    <w:p>
      <w:pPr>
        <w:ind w:firstLine="5760" w:firstLineChars="1800"/>
        <w:rPr>
          <w:rFonts w:asciiTheme="minorEastAsia" w:hAnsiTheme="minorEastAsia" w:eastAsiaTheme="minorEastAsia"/>
          <w:lang w:val="zh-CN"/>
        </w:rPr>
      </w:pPr>
      <w:r>
        <w:rPr>
          <w:rFonts w:hint="eastAsia" w:asciiTheme="minorEastAsia" w:hAnsiTheme="minorEastAsia" w:eastAsiaTheme="minorEastAsia"/>
          <w:lang w:val="zh-CN"/>
        </w:rPr>
        <w:t>202</w:t>
      </w:r>
      <w:r>
        <w:rPr>
          <w:rFonts w:hint="eastAsia" w:asciiTheme="minorEastAsia" w:hAnsiTheme="minorEastAsia" w:eastAsiaTheme="minorEastAsia"/>
          <w:lang w:val="en-US" w:eastAsia="zh-CN"/>
        </w:rPr>
        <w:t>2</w:t>
      </w:r>
      <w:r>
        <w:rPr>
          <w:rFonts w:hint="eastAsia" w:asciiTheme="minorEastAsia" w:hAnsiTheme="minorEastAsia" w:eastAsiaTheme="minorEastAsia"/>
          <w:lang w:val="zh-CN"/>
        </w:rPr>
        <w:t>年</w:t>
      </w:r>
      <w:r>
        <w:rPr>
          <w:rFonts w:hint="eastAsia" w:asciiTheme="minorEastAsia" w:hAnsiTheme="minorEastAsia" w:eastAsiaTheme="minorEastAsia"/>
          <w:lang w:val="en-US" w:eastAsia="zh-CN"/>
        </w:rPr>
        <w:t>6</w:t>
      </w:r>
      <w:r>
        <w:rPr>
          <w:rFonts w:hint="eastAsia" w:asciiTheme="minorEastAsia" w:hAnsiTheme="minorEastAsia" w:eastAsiaTheme="minorEastAsia"/>
          <w:lang w:val="zh-CN"/>
        </w:rPr>
        <w:t>月</w:t>
      </w:r>
      <w:r>
        <w:rPr>
          <w:rFonts w:hint="eastAsia" w:asciiTheme="minorEastAsia" w:hAnsiTheme="minorEastAsia" w:eastAsiaTheme="minorEastAsia"/>
          <w:lang w:val="en-US" w:eastAsia="zh-CN"/>
        </w:rPr>
        <w:t>24</w:t>
      </w:r>
      <w:r>
        <w:rPr>
          <w:rFonts w:hint="eastAsia" w:asciiTheme="minorEastAsia" w:hAnsiTheme="minorEastAsia" w:eastAsiaTheme="minorEastAsia"/>
          <w:lang w:val="zh-CN"/>
        </w:rPr>
        <w:t xml:space="preserve">日 </w:t>
      </w:r>
    </w:p>
    <w:p>
      <w:pPr>
        <w:rPr>
          <w:rFonts w:asciiTheme="minorEastAsia" w:hAnsiTheme="minorEastAsia" w:eastAsiaTheme="minorEastAsia"/>
          <w:lang w:val="zh-CN"/>
        </w:rPr>
      </w:pPr>
    </w:p>
    <w:p>
      <w:pPr>
        <w:rPr>
          <w:rFonts w:asciiTheme="minorEastAsia" w:hAnsiTheme="minorEastAsia" w:eastAsiaTheme="minorEastAsia"/>
          <w:lang w:val="zh-CN"/>
        </w:rPr>
      </w:pPr>
    </w:p>
    <w:sectPr>
      <w:headerReference r:id="rId3" w:type="default"/>
      <w:footerReference r:id="rId4" w:type="default"/>
      <w:footerReference r:id="rId5" w:type="even"/>
      <w:pgSz w:w="11906" w:h="16838"/>
      <w:pgMar w:top="907" w:right="1361" w:bottom="851" w:left="136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moder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hakuyoxingshu7000"/>
    <w:panose1 w:val="00000000000000000000"/>
    <w:charset w:val="86"/>
    <w:family w:val="script"/>
    <w:pitch w:val="default"/>
    <w:sig w:usb0="00000000" w:usb1="00000000" w:usb2="00000010" w:usb3="00000000" w:csb0="00040000" w:csb1="00000000"/>
  </w:font>
  <w:font w:name="hakuyoxingshu7000">
    <w:panose1 w:val="02000600000000000000"/>
    <w:charset w:val="86"/>
    <w:family w:val="auto"/>
    <w:pitch w:val="default"/>
    <w:sig w:usb0="FFFFFFFF" w:usb1="E9FFFFFF" w:usb2="0000003F" w:usb3="00000000" w:csb0="603F00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r>
      <w:rPr>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9</w:t>
    </w:r>
    <w:r>
      <w:rPr>
        <w:rStyle w:val="11"/>
      </w:rPr>
      <w:fldChar w:fldCharType="end"/>
    </w:r>
  </w:p>
  <w:p>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5226B4"/>
    <w:multiLevelType w:val="multilevel"/>
    <w:tmpl w:val="2B5226B4"/>
    <w:lvl w:ilvl="0" w:tentative="0">
      <w:start w:val="1"/>
      <w:numFmt w:val="decimal"/>
      <w:pStyle w:val="30"/>
      <w:suff w:val="nothing"/>
      <w:lvlText w:val="(%1)"/>
      <w:lvlJc w:val="left"/>
      <w:pPr>
        <w:ind w:left="0" w:firstLine="635"/>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34F85EAF"/>
    <w:multiLevelType w:val="multilevel"/>
    <w:tmpl w:val="34F85EAF"/>
    <w:lvl w:ilvl="0" w:tentative="0">
      <w:start w:val="1"/>
      <w:numFmt w:val="chineseCountingThousand"/>
      <w:pStyle w:val="27"/>
      <w:suff w:val="nothing"/>
      <w:lvlText w:val="%1、"/>
      <w:lvlJc w:val="left"/>
      <w:pPr>
        <w:ind w:left="0" w:firstLine="637"/>
      </w:pPr>
      <w:rPr>
        <w:rFonts w:hint="eastAsia"/>
      </w:rPr>
    </w:lvl>
    <w:lvl w:ilvl="1" w:tentative="0">
      <w:start w:val="1"/>
      <w:numFmt w:val="lowerLetter"/>
      <w:lvlText w:val="%2)"/>
      <w:lvlJc w:val="left"/>
      <w:pPr>
        <w:ind w:left="1477" w:hanging="420"/>
      </w:pPr>
    </w:lvl>
    <w:lvl w:ilvl="2" w:tentative="0">
      <w:start w:val="1"/>
      <w:numFmt w:val="lowerRoman"/>
      <w:lvlText w:val="%3."/>
      <w:lvlJc w:val="right"/>
      <w:pPr>
        <w:ind w:left="1897" w:hanging="420"/>
      </w:pPr>
    </w:lvl>
    <w:lvl w:ilvl="3" w:tentative="0">
      <w:start w:val="1"/>
      <w:numFmt w:val="decimal"/>
      <w:lvlText w:val="%4."/>
      <w:lvlJc w:val="left"/>
      <w:pPr>
        <w:ind w:left="2317" w:hanging="420"/>
      </w:pPr>
    </w:lvl>
    <w:lvl w:ilvl="4" w:tentative="0">
      <w:start w:val="1"/>
      <w:numFmt w:val="lowerLetter"/>
      <w:lvlText w:val="%5)"/>
      <w:lvlJc w:val="left"/>
      <w:pPr>
        <w:ind w:left="2737" w:hanging="420"/>
      </w:pPr>
    </w:lvl>
    <w:lvl w:ilvl="5" w:tentative="0">
      <w:start w:val="1"/>
      <w:numFmt w:val="lowerRoman"/>
      <w:lvlText w:val="%6."/>
      <w:lvlJc w:val="right"/>
      <w:pPr>
        <w:ind w:left="3157" w:hanging="420"/>
      </w:pPr>
    </w:lvl>
    <w:lvl w:ilvl="6" w:tentative="0">
      <w:start w:val="1"/>
      <w:numFmt w:val="decimal"/>
      <w:lvlText w:val="%7."/>
      <w:lvlJc w:val="left"/>
      <w:pPr>
        <w:ind w:left="3577" w:hanging="420"/>
      </w:pPr>
    </w:lvl>
    <w:lvl w:ilvl="7" w:tentative="0">
      <w:start w:val="1"/>
      <w:numFmt w:val="lowerLetter"/>
      <w:lvlText w:val="%8)"/>
      <w:lvlJc w:val="left"/>
      <w:pPr>
        <w:ind w:left="3997" w:hanging="420"/>
      </w:pPr>
    </w:lvl>
    <w:lvl w:ilvl="8" w:tentative="0">
      <w:start w:val="1"/>
      <w:numFmt w:val="lowerRoman"/>
      <w:lvlText w:val="%9."/>
      <w:lvlJc w:val="right"/>
      <w:pPr>
        <w:ind w:left="4417" w:hanging="420"/>
      </w:pPr>
    </w:lvl>
  </w:abstractNum>
  <w:abstractNum w:abstractNumId="2">
    <w:nsid w:val="5B63281F"/>
    <w:multiLevelType w:val="multilevel"/>
    <w:tmpl w:val="5B63281F"/>
    <w:lvl w:ilvl="0" w:tentative="0">
      <w:start w:val="1"/>
      <w:numFmt w:val="decimal"/>
      <w:pStyle w:val="29"/>
      <w:suff w:val="nothing"/>
      <w:lvlText w:val="%1."/>
      <w:lvlJc w:val="left"/>
      <w:pPr>
        <w:ind w:left="0" w:firstLine="635"/>
      </w:pPr>
      <w:rPr>
        <w:rFonts w:hint="eastAsia"/>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abstractNum w:abstractNumId="3">
    <w:nsid w:val="7EE55BF3"/>
    <w:multiLevelType w:val="multilevel"/>
    <w:tmpl w:val="7EE55BF3"/>
    <w:lvl w:ilvl="0" w:tentative="0">
      <w:start w:val="1"/>
      <w:numFmt w:val="chineseCountingThousand"/>
      <w:pStyle w:val="28"/>
      <w:suff w:val="nothing"/>
      <w:lvlText w:val="（%1）"/>
      <w:lvlJc w:val="left"/>
      <w:pPr>
        <w:ind w:left="0" w:firstLine="635"/>
      </w:pPr>
      <w:rPr>
        <w:rFonts w:hint="eastAsia"/>
      </w:rPr>
    </w:lvl>
    <w:lvl w:ilvl="1" w:tentative="0">
      <w:start w:val="1"/>
      <w:numFmt w:val="decimal"/>
      <w:lvlText w:val="%2."/>
      <w:lvlJc w:val="left"/>
      <w:pPr>
        <w:ind w:left="980" w:hanging="360"/>
      </w:pPr>
      <w:rPr>
        <w:rFonts w:hint="default"/>
      </w:rPr>
    </w:lvl>
    <w:lvl w:ilvl="2" w:tentative="0">
      <w:start w:val="4"/>
      <w:numFmt w:val="japaneseCounting"/>
      <w:lvlText w:val="%3、"/>
      <w:lvlJc w:val="left"/>
      <w:pPr>
        <w:ind w:left="1760" w:hanging="720"/>
      </w:pPr>
      <w:rPr>
        <w:rFonts w:hint="default"/>
      </w:r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yNTk0NTA4Mzk3MGYyODlhODQ3ZDJjNTQ1YmRiY2QifQ=="/>
  </w:docVars>
  <w:rsids>
    <w:rsidRoot w:val="00EC0174"/>
    <w:rsid w:val="00001664"/>
    <w:rsid w:val="00006E4D"/>
    <w:rsid w:val="00021652"/>
    <w:rsid w:val="0006102A"/>
    <w:rsid w:val="00065B0F"/>
    <w:rsid w:val="00065E7E"/>
    <w:rsid w:val="00080A42"/>
    <w:rsid w:val="000820BB"/>
    <w:rsid w:val="000868D2"/>
    <w:rsid w:val="00092280"/>
    <w:rsid w:val="00097FAE"/>
    <w:rsid w:val="000A3233"/>
    <w:rsid w:val="000A7CE3"/>
    <w:rsid w:val="000B04D6"/>
    <w:rsid w:val="000B15CE"/>
    <w:rsid w:val="000C3AB9"/>
    <w:rsid w:val="000C40C6"/>
    <w:rsid w:val="000C79C1"/>
    <w:rsid w:val="000D208A"/>
    <w:rsid w:val="000E037E"/>
    <w:rsid w:val="000E2D8C"/>
    <w:rsid w:val="000F3FF8"/>
    <w:rsid w:val="000F659A"/>
    <w:rsid w:val="000F77B0"/>
    <w:rsid w:val="0010235D"/>
    <w:rsid w:val="00103A47"/>
    <w:rsid w:val="00105856"/>
    <w:rsid w:val="00106D4D"/>
    <w:rsid w:val="001119A2"/>
    <w:rsid w:val="001221D6"/>
    <w:rsid w:val="0012510A"/>
    <w:rsid w:val="00125F67"/>
    <w:rsid w:val="001261AE"/>
    <w:rsid w:val="00132949"/>
    <w:rsid w:val="00133D04"/>
    <w:rsid w:val="001348A4"/>
    <w:rsid w:val="00136638"/>
    <w:rsid w:val="00137F06"/>
    <w:rsid w:val="0014117C"/>
    <w:rsid w:val="00146FE8"/>
    <w:rsid w:val="0014767B"/>
    <w:rsid w:val="00147AED"/>
    <w:rsid w:val="00153DC1"/>
    <w:rsid w:val="00177AAF"/>
    <w:rsid w:val="00183850"/>
    <w:rsid w:val="00184D9F"/>
    <w:rsid w:val="001A4749"/>
    <w:rsid w:val="001A4842"/>
    <w:rsid w:val="001A5833"/>
    <w:rsid w:val="001C0882"/>
    <w:rsid w:val="001C2158"/>
    <w:rsid w:val="001C73AB"/>
    <w:rsid w:val="001D2EA4"/>
    <w:rsid w:val="001F47CE"/>
    <w:rsid w:val="001F5776"/>
    <w:rsid w:val="0020620D"/>
    <w:rsid w:val="002069BC"/>
    <w:rsid w:val="002069EB"/>
    <w:rsid w:val="002201B0"/>
    <w:rsid w:val="00220900"/>
    <w:rsid w:val="0022307E"/>
    <w:rsid w:val="00224D05"/>
    <w:rsid w:val="00224E06"/>
    <w:rsid w:val="002323A3"/>
    <w:rsid w:val="00236EF7"/>
    <w:rsid w:val="0024058A"/>
    <w:rsid w:val="002410C0"/>
    <w:rsid w:val="00252894"/>
    <w:rsid w:val="00253FA6"/>
    <w:rsid w:val="00254728"/>
    <w:rsid w:val="002558D4"/>
    <w:rsid w:val="002560E2"/>
    <w:rsid w:val="002563DF"/>
    <w:rsid w:val="00256F2A"/>
    <w:rsid w:val="00264CFA"/>
    <w:rsid w:val="00270DD7"/>
    <w:rsid w:val="00270EF9"/>
    <w:rsid w:val="00280BFB"/>
    <w:rsid w:val="00280C88"/>
    <w:rsid w:val="00295908"/>
    <w:rsid w:val="00296617"/>
    <w:rsid w:val="002973A4"/>
    <w:rsid w:val="002A0195"/>
    <w:rsid w:val="002A26CB"/>
    <w:rsid w:val="002B0FC4"/>
    <w:rsid w:val="002B1839"/>
    <w:rsid w:val="002B5B34"/>
    <w:rsid w:val="002B5CB7"/>
    <w:rsid w:val="002B7215"/>
    <w:rsid w:val="002C0AFD"/>
    <w:rsid w:val="002C59D0"/>
    <w:rsid w:val="002D1A18"/>
    <w:rsid w:val="002D1C58"/>
    <w:rsid w:val="002E1104"/>
    <w:rsid w:val="002E409F"/>
    <w:rsid w:val="002F3EC4"/>
    <w:rsid w:val="00301353"/>
    <w:rsid w:val="0030233F"/>
    <w:rsid w:val="0030244C"/>
    <w:rsid w:val="00305FF6"/>
    <w:rsid w:val="00306BA1"/>
    <w:rsid w:val="00307568"/>
    <w:rsid w:val="00311506"/>
    <w:rsid w:val="00316ADB"/>
    <w:rsid w:val="00317623"/>
    <w:rsid w:val="00335F67"/>
    <w:rsid w:val="003361E9"/>
    <w:rsid w:val="00337BB0"/>
    <w:rsid w:val="00350A65"/>
    <w:rsid w:val="00361C85"/>
    <w:rsid w:val="00371352"/>
    <w:rsid w:val="00376753"/>
    <w:rsid w:val="0038541D"/>
    <w:rsid w:val="00387818"/>
    <w:rsid w:val="00391A13"/>
    <w:rsid w:val="00391FD0"/>
    <w:rsid w:val="003A44FC"/>
    <w:rsid w:val="003B3299"/>
    <w:rsid w:val="003C7504"/>
    <w:rsid w:val="003C7DD9"/>
    <w:rsid w:val="003D10A2"/>
    <w:rsid w:val="003D33B8"/>
    <w:rsid w:val="003D624D"/>
    <w:rsid w:val="003D719A"/>
    <w:rsid w:val="003D7996"/>
    <w:rsid w:val="003E2820"/>
    <w:rsid w:val="003F5EB7"/>
    <w:rsid w:val="003F7FE2"/>
    <w:rsid w:val="004004E7"/>
    <w:rsid w:val="00411CDD"/>
    <w:rsid w:val="00416E1A"/>
    <w:rsid w:val="00417F18"/>
    <w:rsid w:val="004221DA"/>
    <w:rsid w:val="00426A3F"/>
    <w:rsid w:val="004277D4"/>
    <w:rsid w:val="00461638"/>
    <w:rsid w:val="004706FA"/>
    <w:rsid w:val="00474D8D"/>
    <w:rsid w:val="00475CCD"/>
    <w:rsid w:val="004838C0"/>
    <w:rsid w:val="00486492"/>
    <w:rsid w:val="00487F26"/>
    <w:rsid w:val="00492CF6"/>
    <w:rsid w:val="004A294D"/>
    <w:rsid w:val="004A4C9D"/>
    <w:rsid w:val="004C2078"/>
    <w:rsid w:val="004E752F"/>
    <w:rsid w:val="004F1E37"/>
    <w:rsid w:val="0050318A"/>
    <w:rsid w:val="00515198"/>
    <w:rsid w:val="00521C44"/>
    <w:rsid w:val="005243E2"/>
    <w:rsid w:val="005274E1"/>
    <w:rsid w:val="00531DDF"/>
    <w:rsid w:val="00535FA6"/>
    <w:rsid w:val="0055358D"/>
    <w:rsid w:val="005540C8"/>
    <w:rsid w:val="00555809"/>
    <w:rsid w:val="00556345"/>
    <w:rsid w:val="00562165"/>
    <w:rsid w:val="005756AF"/>
    <w:rsid w:val="00575A4A"/>
    <w:rsid w:val="00585788"/>
    <w:rsid w:val="005A1DAF"/>
    <w:rsid w:val="005C17C8"/>
    <w:rsid w:val="005C2098"/>
    <w:rsid w:val="005D0CCF"/>
    <w:rsid w:val="005E297D"/>
    <w:rsid w:val="005F627E"/>
    <w:rsid w:val="0061652E"/>
    <w:rsid w:val="006205E9"/>
    <w:rsid w:val="00622D0B"/>
    <w:rsid w:val="006270DA"/>
    <w:rsid w:val="00630B75"/>
    <w:rsid w:val="00632C48"/>
    <w:rsid w:val="00634DFF"/>
    <w:rsid w:val="00635337"/>
    <w:rsid w:val="0064265B"/>
    <w:rsid w:val="0064519C"/>
    <w:rsid w:val="006500A9"/>
    <w:rsid w:val="0065082E"/>
    <w:rsid w:val="006512D0"/>
    <w:rsid w:val="00654CF6"/>
    <w:rsid w:val="006560A3"/>
    <w:rsid w:val="00656301"/>
    <w:rsid w:val="006600C9"/>
    <w:rsid w:val="006701CC"/>
    <w:rsid w:val="00671F58"/>
    <w:rsid w:val="00672AAB"/>
    <w:rsid w:val="006900E7"/>
    <w:rsid w:val="006946AF"/>
    <w:rsid w:val="006A00A8"/>
    <w:rsid w:val="006A4B7E"/>
    <w:rsid w:val="006B11E0"/>
    <w:rsid w:val="006B386A"/>
    <w:rsid w:val="006B7CB4"/>
    <w:rsid w:val="006C24D3"/>
    <w:rsid w:val="006C7917"/>
    <w:rsid w:val="006D4157"/>
    <w:rsid w:val="006E51AE"/>
    <w:rsid w:val="006E712D"/>
    <w:rsid w:val="0070081F"/>
    <w:rsid w:val="007018F5"/>
    <w:rsid w:val="00710897"/>
    <w:rsid w:val="00712F45"/>
    <w:rsid w:val="00731F03"/>
    <w:rsid w:val="00734305"/>
    <w:rsid w:val="00734B64"/>
    <w:rsid w:val="00736A42"/>
    <w:rsid w:val="007370E1"/>
    <w:rsid w:val="00746BFC"/>
    <w:rsid w:val="00771159"/>
    <w:rsid w:val="007732A1"/>
    <w:rsid w:val="00774C4A"/>
    <w:rsid w:val="007A0690"/>
    <w:rsid w:val="007A078F"/>
    <w:rsid w:val="007B34D4"/>
    <w:rsid w:val="007C0633"/>
    <w:rsid w:val="007D086C"/>
    <w:rsid w:val="007F0676"/>
    <w:rsid w:val="007F1BE1"/>
    <w:rsid w:val="007F707F"/>
    <w:rsid w:val="007F794C"/>
    <w:rsid w:val="007F7AC9"/>
    <w:rsid w:val="00803B42"/>
    <w:rsid w:val="0081095C"/>
    <w:rsid w:val="00810C41"/>
    <w:rsid w:val="008212FF"/>
    <w:rsid w:val="0082593B"/>
    <w:rsid w:val="00827537"/>
    <w:rsid w:val="0083342C"/>
    <w:rsid w:val="0084676E"/>
    <w:rsid w:val="008468EA"/>
    <w:rsid w:val="008502BC"/>
    <w:rsid w:val="00867140"/>
    <w:rsid w:val="00881134"/>
    <w:rsid w:val="008904F0"/>
    <w:rsid w:val="00890BB8"/>
    <w:rsid w:val="008918C5"/>
    <w:rsid w:val="00891DC4"/>
    <w:rsid w:val="008B2F27"/>
    <w:rsid w:val="008B4A72"/>
    <w:rsid w:val="008B585E"/>
    <w:rsid w:val="008E6C0C"/>
    <w:rsid w:val="008F2579"/>
    <w:rsid w:val="008F3052"/>
    <w:rsid w:val="00901E19"/>
    <w:rsid w:val="009214F7"/>
    <w:rsid w:val="00921CD7"/>
    <w:rsid w:val="0092486A"/>
    <w:rsid w:val="009315F2"/>
    <w:rsid w:val="00934F1E"/>
    <w:rsid w:val="00940EB6"/>
    <w:rsid w:val="00944771"/>
    <w:rsid w:val="009601FC"/>
    <w:rsid w:val="00965426"/>
    <w:rsid w:val="0096654A"/>
    <w:rsid w:val="009711E4"/>
    <w:rsid w:val="00971572"/>
    <w:rsid w:val="00981E55"/>
    <w:rsid w:val="00986CEF"/>
    <w:rsid w:val="009A0E5F"/>
    <w:rsid w:val="009A18CA"/>
    <w:rsid w:val="009D542D"/>
    <w:rsid w:val="009F233E"/>
    <w:rsid w:val="009F739B"/>
    <w:rsid w:val="00A024AB"/>
    <w:rsid w:val="00A050A5"/>
    <w:rsid w:val="00A05B8B"/>
    <w:rsid w:val="00A1372F"/>
    <w:rsid w:val="00A170EC"/>
    <w:rsid w:val="00A20EE1"/>
    <w:rsid w:val="00A217B3"/>
    <w:rsid w:val="00A23D04"/>
    <w:rsid w:val="00A277D9"/>
    <w:rsid w:val="00A30CEB"/>
    <w:rsid w:val="00A54ED7"/>
    <w:rsid w:val="00A9670E"/>
    <w:rsid w:val="00AA0172"/>
    <w:rsid w:val="00AA1423"/>
    <w:rsid w:val="00AA1664"/>
    <w:rsid w:val="00AB7996"/>
    <w:rsid w:val="00AC43C3"/>
    <w:rsid w:val="00AF77BE"/>
    <w:rsid w:val="00B11CEE"/>
    <w:rsid w:val="00B23428"/>
    <w:rsid w:val="00B264BF"/>
    <w:rsid w:val="00B42E74"/>
    <w:rsid w:val="00B46874"/>
    <w:rsid w:val="00B4705F"/>
    <w:rsid w:val="00B50AE6"/>
    <w:rsid w:val="00B51151"/>
    <w:rsid w:val="00B523E4"/>
    <w:rsid w:val="00B52B4F"/>
    <w:rsid w:val="00B6108C"/>
    <w:rsid w:val="00B649AD"/>
    <w:rsid w:val="00B64B9C"/>
    <w:rsid w:val="00B735CC"/>
    <w:rsid w:val="00B82C95"/>
    <w:rsid w:val="00B83F87"/>
    <w:rsid w:val="00B84DFD"/>
    <w:rsid w:val="00BA0152"/>
    <w:rsid w:val="00BB4E38"/>
    <w:rsid w:val="00BC03BA"/>
    <w:rsid w:val="00BC166E"/>
    <w:rsid w:val="00BC3879"/>
    <w:rsid w:val="00BC3CF5"/>
    <w:rsid w:val="00BD0E0D"/>
    <w:rsid w:val="00BD41BC"/>
    <w:rsid w:val="00BD55AD"/>
    <w:rsid w:val="00BE0305"/>
    <w:rsid w:val="00BE20F9"/>
    <w:rsid w:val="00BF15F0"/>
    <w:rsid w:val="00C03559"/>
    <w:rsid w:val="00C05395"/>
    <w:rsid w:val="00C22AD7"/>
    <w:rsid w:val="00C26D7B"/>
    <w:rsid w:val="00C272C1"/>
    <w:rsid w:val="00C32A68"/>
    <w:rsid w:val="00C34282"/>
    <w:rsid w:val="00C35350"/>
    <w:rsid w:val="00C3564B"/>
    <w:rsid w:val="00C442D3"/>
    <w:rsid w:val="00C53721"/>
    <w:rsid w:val="00C64D2E"/>
    <w:rsid w:val="00C7497C"/>
    <w:rsid w:val="00C75966"/>
    <w:rsid w:val="00C76577"/>
    <w:rsid w:val="00C80225"/>
    <w:rsid w:val="00C81349"/>
    <w:rsid w:val="00C83B4F"/>
    <w:rsid w:val="00CA08A0"/>
    <w:rsid w:val="00CA32D2"/>
    <w:rsid w:val="00CA4E07"/>
    <w:rsid w:val="00CA737D"/>
    <w:rsid w:val="00CB1EF5"/>
    <w:rsid w:val="00CC3D55"/>
    <w:rsid w:val="00CC7166"/>
    <w:rsid w:val="00CF5275"/>
    <w:rsid w:val="00CF6136"/>
    <w:rsid w:val="00D0023D"/>
    <w:rsid w:val="00D006C6"/>
    <w:rsid w:val="00D14A65"/>
    <w:rsid w:val="00D162B9"/>
    <w:rsid w:val="00D201A6"/>
    <w:rsid w:val="00D251E2"/>
    <w:rsid w:val="00D254F4"/>
    <w:rsid w:val="00D263A7"/>
    <w:rsid w:val="00D26B5D"/>
    <w:rsid w:val="00D33159"/>
    <w:rsid w:val="00D33A19"/>
    <w:rsid w:val="00D51791"/>
    <w:rsid w:val="00D5281E"/>
    <w:rsid w:val="00D6531B"/>
    <w:rsid w:val="00D6612D"/>
    <w:rsid w:val="00D710BE"/>
    <w:rsid w:val="00D71AD9"/>
    <w:rsid w:val="00D73C02"/>
    <w:rsid w:val="00D872ED"/>
    <w:rsid w:val="00D913C6"/>
    <w:rsid w:val="00DA0236"/>
    <w:rsid w:val="00DA5D51"/>
    <w:rsid w:val="00DA5E29"/>
    <w:rsid w:val="00DA61CA"/>
    <w:rsid w:val="00DB3D29"/>
    <w:rsid w:val="00DB66BB"/>
    <w:rsid w:val="00DB73AF"/>
    <w:rsid w:val="00DC2865"/>
    <w:rsid w:val="00DD0894"/>
    <w:rsid w:val="00DD1E8C"/>
    <w:rsid w:val="00DE1888"/>
    <w:rsid w:val="00DE7CFB"/>
    <w:rsid w:val="00DF1250"/>
    <w:rsid w:val="00DF1CDB"/>
    <w:rsid w:val="00DF6EF7"/>
    <w:rsid w:val="00E05454"/>
    <w:rsid w:val="00E074C3"/>
    <w:rsid w:val="00E22EAE"/>
    <w:rsid w:val="00E23329"/>
    <w:rsid w:val="00E24D6D"/>
    <w:rsid w:val="00E341B2"/>
    <w:rsid w:val="00E42633"/>
    <w:rsid w:val="00E5699E"/>
    <w:rsid w:val="00E570E1"/>
    <w:rsid w:val="00E61E73"/>
    <w:rsid w:val="00E72773"/>
    <w:rsid w:val="00E76739"/>
    <w:rsid w:val="00E76C68"/>
    <w:rsid w:val="00E772DC"/>
    <w:rsid w:val="00E81946"/>
    <w:rsid w:val="00E82BB7"/>
    <w:rsid w:val="00E86D13"/>
    <w:rsid w:val="00E936C2"/>
    <w:rsid w:val="00E95346"/>
    <w:rsid w:val="00EA0CEF"/>
    <w:rsid w:val="00EA2E2A"/>
    <w:rsid w:val="00EB79D2"/>
    <w:rsid w:val="00EC0174"/>
    <w:rsid w:val="00ED3EEB"/>
    <w:rsid w:val="00ED5749"/>
    <w:rsid w:val="00ED5FA3"/>
    <w:rsid w:val="00ED6A4E"/>
    <w:rsid w:val="00ED6F57"/>
    <w:rsid w:val="00ED72EA"/>
    <w:rsid w:val="00EE3A4F"/>
    <w:rsid w:val="00EF10C3"/>
    <w:rsid w:val="00EF3BD2"/>
    <w:rsid w:val="00F02712"/>
    <w:rsid w:val="00F16BCE"/>
    <w:rsid w:val="00F45DA1"/>
    <w:rsid w:val="00F5267B"/>
    <w:rsid w:val="00F53E8B"/>
    <w:rsid w:val="00F54C21"/>
    <w:rsid w:val="00F54E6A"/>
    <w:rsid w:val="00F663FD"/>
    <w:rsid w:val="00F743B0"/>
    <w:rsid w:val="00F84580"/>
    <w:rsid w:val="00F873DA"/>
    <w:rsid w:val="00F95982"/>
    <w:rsid w:val="00FA190E"/>
    <w:rsid w:val="00FA288B"/>
    <w:rsid w:val="00FA2997"/>
    <w:rsid w:val="00FA2C71"/>
    <w:rsid w:val="00FB3345"/>
    <w:rsid w:val="00FC5F07"/>
    <w:rsid w:val="00FD0228"/>
    <w:rsid w:val="00FD3BB7"/>
    <w:rsid w:val="00FD616A"/>
    <w:rsid w:val="00FE0D93"/>
    <w:rsid w:val="00FF2572"/>
    <w:rsid w:val="00FF32AD"/>
    <w:rsid w:val="01993100"/>
    <w:rsid w:val="02242B38"/>
    <w:rsid w:val="05704F58"/>
    <w:rsid w:val="07B76CC9"/>
    <w:rsid w:val="0CF01334"/>
    <w:rsid w:val="0D395980"/>
    <w:rsid w:val="0F6F7417"/>
    <w:rsid w:val="10C4289E"/>
    <w:rsid w:val="10DD6BDF"/>
    <w:rsid w:val="17874652"/>
    <w:rsid w:val="180E0D73"/>
    <w:rsid w:val="1EA0732C"/>
    <w:rsid w:val="20D530FA"/>
    <w:rsid w:val="27E52F3D"/>
    <w:rsid w:val="28147E73"/>
    <w:rsid w:val="2C124820"/>
    <w:rsid w:val="309B6F6E"/>
    <w:rsid w:val="33ED4904"/>
    <w:rsid w:val="3EE43539"/>
    <w:rsid w:val="40B8573F"/>
    <w:rsid w:val="41345C9E"/>
    <w:rsid w:val="41A61AAC"/>
    <w:rsid w:val="444A5D67"/>
    <w:rsid w:val="454506AE"/>
    <w:rsid w:val="484B6DB3"/>
    <w:rsid w:val="53B53D59"/>
    <w:rsid w:val="53F86918"/>
    <w:rsid w:val="54695642"/>
    <w:rsid w:val="57042BE4"/>
    <w:rsid w:val="58C65CDB"/>
    <w:rsid w:val="593C6AF4"/>
    <w:rsid w:val="5B282D25"/>
    <w:rsid w:val="5CAC276B"/>
    <w:rsid w:val="5E625D28"/>
    <w:rsid w:val="6CAF25C6"/>
    <w:rsid w:val="70765795"/>
    <w:rsid w:val="72CD5DE0"/>
    <w:rsid w:val="7DC41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uiPriority w:val="0"/>
    <w:rPr>
      <w:rFonts w:ascii="宋体" w:eastAsia="宋体"/>
      <w:sz w:val="18"/>
      <w:szCs w:val="18"/>
    </w:rPr>
  </w:style>
  <w:style w:type="paragraph" w:styleId="3">
    <w:name w:val="Body Text"/>
    <w:basedOn w:val="1"/>
    <w:qFormat/>
    <w:uiPriority w:val="99"/>
    <w:pPr>
      <w:spacing w:beforeLines="30"/>
    </w:pPr>
    <w:rPr>
      <w:rFonts w:ascii="仿宋_GB2312" w:eastAsia="仿宋_GB2312"/>
      <w:kern w:val="0"/>
      <w:sz w:val="24"/>
      <w:szCs w:val="20"/>
    </w:rPr>
  </w:style>
  <w:style w:type="paragraph" w:styleId="4">
    <w:name w:val="Date"/>
    <w:basedOn w:val="1"/>
    <w:next w:val="1"/>
    <w:link w:val="37"/>
    <w:qFormat/>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rFonts w:eastAsia="宋体"/>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rFonts w:eastAsia="宋体"/>
      <w:sz w:val="18"/>
      <w:szCs w:val="18"/>
    </w:rPr>
  </w:style>
  <w:style w:type="table" w:styleId="9">
    <w:name w:val="Table Grid"/>
    <w:basedOn w:val="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iPriority w:val="0"/>
  </w:style>
  <w:style w:type="paragraph" w:customStyle="1" w:styleId="12">
    <w:name w:val="四号正文"/>
    <w:basedOn w:val="1"/>
    <w:link w:val="13"/>
    <w:uiPriority w:val="0"/>
    <w:pPr>
      <w:spacing w:line="360" w:lineRule="auto"/>
    </w:pPr>
    <w:rPr>
      <w:rFonts w:ascii="??" w:hAnsi="??" w:eastAsia="宋体" w:cs="宋体"/>
      <w:color w:val="000000"/>
      <w:kern w:val="0"/>
      <w:sz w:val="28"/>
      <w:szCs w:val="21"/>
    </w:rPr>
  </w:style>
  <w:style w:type="character" w:customStyle="1" w:styleId="13">
    <w:name w:val="四号正文 Char"/>
    <w:link w:val="12"/>
    <w:uiPriority w:val="0"/>
    <w:rPr>
      <w:rFonts w:ascii="??" w:hAnsi="??" w:eastAsia="宋体" w:cs="宋体"/>
      <w:color w:val="000000"/>
      <w:sz w:val="28"/>
      <w:szCs w:val="21"/>
      <w:lang w:val="en-US" w:eastAsia="zh-CN" w:bidi="ar-SA"/>
    </w:rPr>
  </w:style>
  <w:style w:type="character" w:customStyle="1" w:styleId="14">
    <w:name w:val="文档结构图 Char"/>
    <w:link w:val="2"/>
    <w:uiPriority w:val="0"/>
    <w:rPr>
      <w:rFonts w:ascii="宋体"/>
      <w:kern w:val="2"/>
      <w:sz w:val="18"/>
      <w:szCs w:val="18"/>
    </w:rPr>
  </w:style>
  <w:style w:type="paragraph" w:customStyle="1" w:styleId="15">
    <w:name w:val="a"/>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16">
    <w:name w:val="〖A01〗密级、紧急及附件"/>
    <w:next w:val="1"/>
    <w:qFormat/>
    <w:uiPriority w:val="0"/>
    <w:pPr>
      <w:spacing w:line="600" w:lineRule="exact"/>
    </w:pPr>
    <w:rPr>
      <w:rFonts w:ascii="黑体" w:hAnsi="Calibri" w:eastAsia="黑体" w:cs="Times New Roman"/>
      <w:kern w:val="2"/>
      <w:sz w:val="32"/>
      <w:szCs w:val="21"/>
      <w:lang w:val="en-US" w:eastAsia="zh-CN" w:bidi="ar-SA"/>
    </w:rPr>
  </w:style>
  <w:style w:type="paragraph" w:customStyle="1" w:styleId="17">
    <w:name w:val="〖A02〗签发人姓名"/>
    <w:next w:val="1"/>
    <w:link w:val="18"/>
    <w:qFormat/>
    <w:uiPriority w:val="0"/>
    <w:pPr>
      <w:tabs>
        <w:tab w:val="right" w:pos="8626"/>
      </w:tabs>
      <w:spacing w:line="600" w:lineRule="exact"/>
    </w:pPr>
    <w:rPr>
      <w:rFonts w:ascii="楷体_GB2312" w:hAnsi="Calibri" w:eastAsia="楷体_GB2312" w:cs="Times New Roman"/>
      <w:kern w:val="2"/>
      <w:sz w:val="32"/>
      <w:szCs w:val="21"/>
      <w:lang w:val="en-US" w:eastAsia="zh-CN" w:bidi="ar-SA"/>
    </w:rPr>
  </w:style>
  <w:style w:type="character" w:customStyle="1" w:styleId="18">
    <w:name w:val="〖A02〗签发人姓名 Char"/>
    <w:link w:val="17"/>
    <w:uiPriority w:val="0"/>
    <w:rPr>
      <w:rFonts w:ascii="楷体_GB2312" w:hAnsi="Calibri" w:eastAsia="楷体_GB2312"/>
      <w:kern w:val="2"/>
      <w:sz w:val="32"/>
      <w:szCs w:val="21"/>
      <w:lang w:bidi="ar-SA"/>
    </w:rPr>
  </w:style>
  <w:style w:type="paragraph" w:customStyle="1" w:styleId="19">
    <w:name w:val="〖A02〗上行文文号"/>
    <w:next w:val="1"/>
    <w:qFormat/>
    <w:uiPriority w:val="0"/>
    <w:pPr>
      <w:tabs>
        <w:tab w:val="left" w:pos="318"/>
        <w:tab w:val="right" w:pos="8626"/>
      </w:tabs>
      <w:topLinePunct/>
      <w:spacing w:line="600" w:lineRule="exact"/>
      <w:ind w:left="318" w:right="318"/>
    </w:pPr>
    <w:rPr>
      <w:rFonts w:ascii="仿宋_GB2312" w:hAnsi="Calibri" w:eastAsia="仿宋_GB2312" w:cs="Times New Roman"/>
      <w:kern w:val="2"/>
      <w:sz w:val="32"/>
      <w:szCs w:val="21"/>
      <w:lang w:val="en-US" w:eastAsia="zh-CN" w:bidi="ar-SA"/>
    </w:rPr>
  </w:style>
  <w:style w:type="paragraph" w:customStyle="1" w:styleId="20">
    <w:name w:val="〖A03〗下行文文号"/>
    <w:next w:val="1"/>
    <w:qFormat/>
    <w:uiPriority w:val="0"/>
    <w:pPr>
      <w:topLinePunct/>
      <w:spacing w:line="600" w:lineRule="exact"/>
      <w:jc w:val="center"/>
    </w:pPr>
    <w:rPr>
      <w:rFonts w:ascii="仿宋_GB2312" w:hAnsi="Calibri" w:eastAsia="仿宋_GB2312" w:cs="Times New Roman"/>
      <w:kern w:val="2"/>
      <w:sz w:val="32"/>
      <w:szCs w:val="21"/>
      <w:lang w:val="en-US" w:eastAsia="zh-CN" w:bidi="ar-SA"/>
    </w:rPr>
  </w:style>
  <w:style w:type="paragraph" w:customStyle="1" w:styleId="21">
    <w:name w:val="〖A04〗函件文号"/>
    <w:next w:val="1"/>
    <w:qFormat/>
    <w:uiPriority w:val="0"/>
    <w:pPr>
      <w:spacing w:line="600" w:lineRule="exact"/>
      <w:ind w:left="318" w:right="318"/>
      <w:jc w:val="right"/>
    </w:pPr>
    <w:rPr>
      <w:rFonts w:ascii="仿宋_GB2312" w:hAnsi="Calibri" w:eastAsia="仿宋_GB2312" w:cs="Times New Roman"/>
      <w:kern w:val="2"/>
      <w:sz w:val="32"/>
      <w:szCs w:val="32"/>
      <w:lang w:val="en-US" w:eastAsia="zh-CN" w:bidi="ar-SA"/>
    </w:rPr>
  </w:style>
  <w:style w:type="paragraph" w:customStyle="1" w:styleId="22">
    <w:name w:val="〖A08〗公文标题"/>
    <w:next w:val="1"/>
    <w:qFormat/>
    <w:uiPriority w:val="0"/>
    <w:pPr>
      <w:widowControl w:val="0"/>
      <w:topLinePunct/>
      <w:spacing w:line="700" w:lineRule="exact"/>
      <w:jc w:val="center"/>
    </w:pPr>
    <w:rPr>
      <w:rFonts w:ascii="方正小标宋简体" w:hAnsi="Calibri" w:eastAsia="方正小标宋简体" w:cs="Times New Roman"/>
      <w:kern w:val="2"/>
      <w:sz w:val="44"/>
      <w:szCs w:val="21"/>
      <w:lang w:val="en-US" w:eastAsia="zh-CN" w:bidi="ar-SA"/>
    </w:rPr>
  </w:style>
  <w:style w:type="paragraph" w:customStyle="1" w:styleId="23">
    <w:name w:val="〖A09〗主送机关"/>
    <w:next w:val="1"/>
    <w:qFormat/>
    <w:uiPriority w:val="0"/>
    <w:pPr>
      <w:widowControl w:val="0"/>
      <w:topLinePunct/>
      <w:spacing w:line="600" w:lineRule="exact"/>
    </w:pPr>
    <w:rPr>
      <w:rFonts w:ascii="仿宋_GB2312" w:hAnsi="Calibri" w:eastAsia="仿宋_GB2312" w:cs="Times New Roman"/>
      <w:kern w:val="2"/>
      <w:sz w:val="32"/>
      <w:szCs w:val="32"/>
      <w:lang w:val="en-US" w:eastAsia="zh-CN" w:bidi="ar-SA"/>
    </w:rPr>
  </w:style>
  <w:style w:type="paragraph" w:customStyle="1" w:styleId="24">
    <w:name w:val="〖A10〗版记"/>
    <w:qFormat/>
    <w:uiPriority w:val="0"/>
    <w:pPr>
      <w:widowControl w:val="0"/>
      <w:pBdr>
        <w:top w:val="single" w:color="auto" w:sz="4" w:space="1"/>
        <w:bottom w:val="single" w:color="auto" w:sz="4" w:space="1"/>
        <w:between w:val="single" w:color="auto" w:sz="4" w:space="1"/>
      </w:pBdr>
      <w:tabs>
        <w:tab w:val="left" w:pos="278"/>
        <w:tab w:val="right" w:pos="8665"/>
      </w:tabs>
      <w:topLinePunct/>
      <w:spacing w:line="600" w:lineRule="exact"/>
      <w:ind w:left="1105" w:hanging="1105" w:hangingChars="397"/>
    </w:pPr>
    <w:rPr>
      <w:rFonts w:ascii="仿宋_GB2312" w:hAnsi="Calibri" w:eastAsia="仿宋_GB2312" w:cs="Times New Roman"/>
      <w:kern w:val="2"/>
      <w:sz w:val="28"/>
      <w:szCs w:val="28"/>
      <w:lang w:val="en-US" w:eastAsia="zh-CN" w:bidi="ar-SA"/>
    </w:rPr>
  </w:style>
  <w:style w:type="paragraph" w:customStyle="1" w:styleId="25">
    <w:name w:val="〖A11〗偶数页码，4页以上"/>
    <w:basedOn w:val="6"/>
    <w:qFormat/>
    <w:uiPriority w:val="0"/>
    <w:pPr>
      <w:topLinePunct/>
      <w:ind w:left="134" w:leftChars="134"/>
    </w:pPr>
    <w:rPr>
      <w:rFonts w:ascii="宋体"/>
      <w:kern w:val="0"/>
      <w:sz w:val="28"/>
      <w:szCs w:val="28"/>
    </w:rPr>
  </w:style>
  <w:style w:type="paragraph" w:customStyle="1" w:styleId="26">
    <w:name w:val="〖A11〗奇数页码，4页以上"/>
    <w:basedOn w:val="6"/>
    <w:qFormat/>
    <w:uiPriority w:val="0"/>
    <w:pPr>
      <w:topLinePunct/>
      <w:ind w:right="134" w:rightChars="134"/>
      <w:jc w:val="right"/>
    </w:pPr>
    <w:rPr>
      <w:rFonts w:ascii="宋体"/>
      <w:kern w:val="0"/>
      <w:sz w:val="28"/>
      <w:szCs w:val="28"/>
    </w:rPr>
  </w:style>
  <w:style w:type="paragraph" w:customStyle="1" w:styleId="27">
    <w:name w:val="〖B01〗一级标题"/>
    <w:next w:val="1"/>
    <w:qFormat/>
    <w:uiPriority w:val="0"/>
    <w:pPr>
      <w:numPr>
        <w:ilvl w:val="0"/>
        <w:numId w:val="1"/>
      </w:numPr>
      <w:topLinePunct/>
      <w:spacing w:line="600" w:lineRule="exact"/>
      <w:outlineLvl w:val="0"/>
    </w:pPr>
    <w:rPr>
      <w:rFonts w:ascii="黑体" w:hAnsi="Calibri" w:eastAsia="黑体" w:cs="Times New Roman"/>
      <w:kern w:val="2"/>
      <w:sz w:val="32"/>
      <w:szCs w:val="32"/>
      <w:lang w:val="en-US" w:eastAsia="zh-CN" w:bidi="ar-SA"/>
    </w:rPr>
  </w:style>
  <w:style w:type="paragraph" w:customStyle="1" w:styleId="28">
    <w:name w:val="〖B02〗二级标题"/>
    <w:next w:val="1"/>
    <w:qFormat/>
    <w:uiPriority w:val="0"/>
    <w:pPr>
      <w:widowControl w:val="0"/>
      <w:numPr>
        <w:ilvl w:val="0"/>
        <w:numId w:val="2"/>
      </w:numPr>
      <w:spacing w:line="600" w:lineRule="exact"/>
      <w:outlineLvl w:val="1"/>
    </w:pPr>
    <w:rPr>
      <w:rFonts w:ascii="楷体_GB2312" w:hAnsi="Calibri" w:eastAsia="楷体_GB2312" w:cs="Times New Roman"/>
      <w:kern w:val="2"/>
      <w:sz w:val="32"/>
      <w:szCs w:val="21"/>
      <w:lang w:val="zh-CN" w:eastAsia="zh-CN" w:bidi="ar-SA"/>
    </w:rPr>
  </w:style>
  <w:style w:type="paragraph" w:customStyle="1" w:styleId="29">
    <w:name w:val="〖B03〗三级标题"/>
    <w:qFormat/>
    <w:uiPriority w:val="0"/>
    <w:pPr>
      <w:numPr>
        <w:ilvl w:val="0"/>
        <w:numId w:val="3"/>
      </w:numPr>
      <w:topLinePunct/>
      <w:spacing w:line="600" w:lineRule="exact"/>
      <w:outlineLvl w:val="2"/>
    </w:pPr>
    <w:rPr>
      <w:rFonts w:ascii="仿宋_GB2312" w:hAnsi="Calibri" w:eastAsia="仿宋_GB2312" w:cs="Times New Roman"/>
      <w:kern w:val="2"/>
      <w:sz w:val="32"/>
      <w:szCs w:val="32"/>
      <w:lang w:val="en-US" w:eastAsia="zh-CN" w:bidi="ar-SA"/>
    </w:rPr>
  </w:style>
  <w:style w:type="paragraph" w:customStyle="1" w:styleId="30">
    <w:name w:val="〖B04〗四级标题"/>
    <w:next w:val="1"/>
    <w:qFormat/>
    <w:uiPriority w:val="0"/>
    <w:pPr>
      <w:widowControl w:val="0"/>
      <w:numPr>
        <w:ilvl w:val="0"/>
        <w:numId w:val="4"/>
      </w:numPr>
      <w:spacing w:line="600" w:lineRule="exact"/>
      <w:outlineLvl w:val="3"/>
    </w:pPr>
    <w:rPr>
      <w:rFonts w:ascii="仿宋_GB2312" w:hAnsi="Calibri" w:eastAsia="仿宋_GB2312" w:cs="Times New Roman"/>
      <w:kern w:val="2"/>
      <w:sz w:val="32"/>
      <w:szCs w:val="32"/>
      <w:lang w:val="en-US" w:eastAsia="zh-CN" w:bidi="ar-SA"/>
    </w:rPr>
  </w:style>
  <w:style w:type="paragraph" w:customStyle="1" w:styleId="31">
    <w:name w:val="〖B09〗附件说明（无顺序号）"/>
    <w:next w:val="1"/>
    <w:qFormat/>
    <w:uiPriority w:val="0"/>
    <w:pPr>
      <w:widowControl w:val="0"/>
      <w:topLinePunct/>
      <w:spacing w:line="600" w:lineRule="exact"/>
      <w:ind w:left="1588" w:hanging="953"/>
    </w:pPr>
    <w:rPr>
      <w:rFonts w:ascii="仿宋_GB2312" w:hAnsi="Calibri" w:eastAsia="仿宋_GB2312" w:cs="Times New Roman"/>
      <w:kern w:val="2"/>
      <w:sz w:val="32"/>
      <w:szCs w:val="32"/>
      <w:lang w:val="en-US" w:eastAsia="zh-CN" w:bidi="ar-SA"/>
    </w:rPr>
  </w:style>
  <w:style w:type="paragraph" w:customStyle="1" w:styleId="32">
    <w:name w:val="〖B10〗附件说明（1）"/>
    <w:next w:val="1"/>
    <w:qFormat/>
    <w:uiPriority w:val="0"/>
    <w:pPr>
      <w:widowControl w:val="0"/>
      <w:spacing w:line="600" w:lineRule="exact"/>
      <w:ind w:left="1905" w:hanging="1270"/>
    </w:pPr>
    <w:rPr>
      <w:rFonts w:ascii="仿宋_GB2312" w:hAnsi="Calibri" w:eastAsia="仿宋_GB2312" w:cs="Times New Roman"/>
      <w:kern w:val="2"/>
      <w:sz w:val="32"/>
      <w:szCs w:val="21"/>
      <w:lang w:val="en-US" w:eastAsia="zh-CN" w:bidi="ar-SA"/>
    </w:rPr>
  </w:style>
  <w:style w:type="paragraph" w:customStyle="1" w:styleId="33">
    <w:name w:val="〖B10〗附件说明（234...）"/>
    <w:next w:val="1"/>
    <w:qFormat/>
    <w:uiPriority w:val="0"/>
    <w:pPr>
      <w:widowControl w:val="0"/>
      <w:spacing w:line="600" w:lineRule="exact"/>
      <w:ind w:left="1906" w:hanging="318"/>
    </w:pPr>
    <w:rPr>
      <w:rFonts w:ascii="仿宋_GB2312" w:hAnsi="Calibri" w:eastAsia="仿宋_GB2312" w:cs="Times New Roman"/>
      <w:kern w:val="2"/>
      <w:sz w:val="32"/>
      <w:szCs w:val="21"/>
      <w:lang w:val="en-US" w:eastAsia="zh-CN" w:bidi="ar-SA"/>
    </w:rPr>
  </w:style>
  <w:style w:type="paragraph" w:customStyle="1" w:styleId="34">
    <w:name w:val="〖C01〗正文"/>
    <w:qFormat/>
    <w:uiPriority w:val="0"/>
    <w:pPr>
      <w:widowControl w:val="0"/>
      <w:topLinePunct/>
      <w:spacing w:line="600" w:lineRule="exact"/>
      <w:ind w:firstLine="637" w:firstLineChars="200"/>
    </w:pPr>
    <w:rPr>
      <w:rFonts w:ascii="仿宋_GB2312" w:hAnsi="Calibri" w:eastAsia="仿宋_GB2312" w:cs="Times New Roman"/>
      <w:kern w:val="2"/>
      <w:sz w:val="32"/>
      <w:szCs w:val="32"/>
      <w:lang w:val="en-US" w:eastAsia="zh-CN" w:bidi="ar-SA"/>
    </w:rPr>
  </w:style>
  <w:style w:type="paragraph" w:customStyle="1" w:styleId="35">
    <w:name w:val="〖C02〗发文单位及日期"/>
    <w:next w:val="34"/>
    <w:qFormat/>
    <w:uiPriority w:val="0"/>
    <w:pPr>
      <w:tabs>
        <w:tab w:val="center" w:pos="6656"/>
      </w:tabs>
      <w:topLinePunct/>
      <w:spacing w:line="600" w:lineRule="exact"/>
      <w:ind w:firstLine="637" w:firstLineChars="200"/>
    </w:pPr>
    <w:rPr>
      <w:rFonts w:ascii="仿宋_GB2312" w:hAnsi="Calibri" w:eastAsia="仿宋_GB2312" w:cs="Times New Roman"/>
      <w:kern w:val="2"/>
      <w:sz w:val="32"/>
      <w:szCs w:val="32"/>
      <w:lang w:val="en-US" w:eastAsia="zh-CN" w:bidi="ar-SA"/>
    </w:rPr>
  </w:style>
  <w:style w:type="paragraph" w:customStyle="1" w:styleId="36">
    <w:name w:val="〖C11〗图片格式"/>
    <w:next w:val="34"/>
    <w:qFormat/>
    <w:uiPriority w:val="0"/>
    <w:pPr>
      <w:widowControl w:val="0"/>
      <w:jc w:val="center"/>
    </w:pPr>
    <w:rPr>
      <w:rFonts w:ascii="仿宋_GB2312" w:hAnsi="Calibri" w:eastAsia="仿宋_GB2312" w:cs="宋体"/>
      <w:kern w:val="2"/>
      <w:sz w:val="32"/>
      <w:lang w:val="en-US" w:eastAsia="zh-CN" w:bidi="ar-SA"/>
    </w:rPr>
  </w:style>
  <w:style w:type="character" w:customStyle="1" w:styleId="37">
    <w:name w:val="日期 Char"/>
    <w:basedOn w:val="10"/>
    <w:link w:val="4"/>
    <w:qFormat/>
    <w:uiPriority w:val="0"/>
    <w:rPr>
      <w:rFonts w:eastAsia="仿宋_GB2312"/>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PSZX</Company>
  <Pages>13</Pages>
  <Words>7123</Words>
  <Characters>7308</Characters>
  <Lines>36</Lines>
  <Paragraphs>10</Paragraphs>
  <TotalTime>71</TotalTime>
  <ScaleCrop>false</ScaleCrop>
  <LinksUpToDate>false</LinksUpToDate>
  <CharactersWithSpaces>7334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2019-07-11T02:15:00Z</dcterms:created>
  <dc:creator>陈萍</dc:creator>
  <cp:lastModifiedBy>Administrator</cp:lastModifiedBy>
  <cp:lastPrinted>2020-11-08T07:24:00Z</cp:lastPrinted>
  <dcterms:modified xsi:type="dcterms:W3CDTF">2022-06-27T04:40:08Z</dcterms:modified>
  <dc:title>区域性就业培训基地建设项目</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23EFDE0AC7C14B3DA2434AFC2E892709</vt:lpwstr>
  </property>
</Properties>
</file>