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hint="default" w:ascii="方正小标宋简体" w:hAnsi="宋体" w:eastAsia="方正小标宋简体"/>
          <w:color w:val="auto"/>
          <w:sz w:val="72"/>
          <w:szCs w:val="72"/>
          <w:highlight w:val="none"/>
          <w:lang w:val="en-US" w:eastAsia="zh-CN"/>
        </w:rPr>
      </w:pPr>
      <w:bookmarkStart w:id="0" w:name="_Toc15306267"/>
    </w:p>
    <w:p>
      <w:pPr>
        <w:spacing w:line="600" w:lineRule="exact"/>
        <w:jc w:val="center"/>
        <w:outlineLvl w:val="9"/>
        <w:rPr>
          <w:rFonts w:ascii="方正小标宋简体" w:hAnsi="宋体" w:eastAsia="方正小标宋简体"/>
          <w:color w:val="auto"/>
          <w:sz w:val="72"/>
          <w:szCs w:val="72"/>
          <w:highlight w:val="none"/>
        </w:rPr>
      </w:pPr>
    </w:p>
    <w:p>
      <w:pPr>
        <w:spacing w:line="600" w:lineRule="exact"/>
        <w:jc w:val="center"/>
        <w:outlineLvl w:val="9"/>
        <w:rPr>
          <w:rFonts w:ascii="方正小标宋简体" w:hAnsi="宋体" w:eastAsia="方正小标宋简体"/>
          <w:color w:val="auto"/>
          <w:sz w:val="72"/>
          <w:szCs w:val="72"/>
          <w:highlight w:val="none"/>
        </w:rPr>
      </w:pPr>
    </w:p>
    <w:p>
      <w:pPr>
        <w:spacing w:line="600" w:lineRule="exact"/>
        <w:jc w:val="center"/>
        <w:outlineLvl w:val="9"/>
        <w:rPr>
          <w:rFonts w:ascii="方正小标宋简体" w:hAnsi="宋体" w:eastAsia="方正小标宋简体"/>
          <w:color w:val="auto"/>
          <w:sz w:val="72"/>
          <w:szCs w:val="72"/>
          <w:highlight w:val="none"/>
        </w:rPr>
      </w:pPr>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lang w:val="en-US" w:eastAsia="zh-CN"/>
        </w:rPr>
      </w:pPr>
      <w:bookmarkStart w:id="1" w:name="_Toc32679"/>
      <w:bookmarkStart w:id="2" w:name="_Toc15396475"/>
      <w:bookmarkStart w:id="3" w:name="_Toc15378441"/>
      <w:bookmarkStart w:id="4" w:name="_Toc565"/>
      <w:bookmarkStart w:id="5" w:name="_Toc6854"/>
      <w:bookmarkStart w:id="6" w:name="_Toc15377425"/>
      <w:bookmarkStart w:id="7" w:name="_Toc15396597"/>
      <w:bookmarkStart w:id="8" w:name="_Toc6798"/>
      <w:bookmarkStart w:id="9" w:name="_Toc15377193"/>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21</w:t>
      </w:r>
      <w:r>
        <w:rPr>
          <w:rFonts w:hint="eastAsia" w:ascii="方正小标宋简体" w:hAnsi="方正小标宋简体" w:eastAsia="方正小标宋简体" w:cs="方正小标宋简体"/>
          <w:color w:val="auto"/>
          <w:sz w:val="72"/>
          <w:szCs w:val="72"/>
          <w:highlight w:val="none"/>
        </w:rPr>
        <w:t>年度</w:t>
      </w:r>
      <w:bookmarkEnd w:id="1"/>
      <w:bookmarkEnd w:id="2"/>
      <w:bookmarkEnd w:id="3"/>
      <w:bookmarkEnd w:id="4"/>
      <w:bookmarkEnd w:id="5"/>
      <w:bookmarkEnd w:id="6"/>
      <w:bookmarkEnd w:id="7"/>
      <w:bookmarkEnd w:id="8"/>
      <w:bookmarkEnd w:id="9"/>
    </w:p>
    <w:bookmarkEnd w:id="0"/>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lang w:val="en-US" w:eastAsia="zh-CN"/>
        </w:rPr>
      </w:pPr>
      <w:bookmarkStart w:id="10" w:name="_Toc15306268"/>
      <w:bookmarkStart w:id="11" w:name="_Toc15377194"/>
      <w:bookmarkStart w:id="12" w:name="_Toc15378442"/>
      <w:bookmarkStart w:id="13" w:name="_Toc16067"/>
      <w:bookmarkStart w:id="14" w:name="_Toc22911"/>
      <w:bookmarkStart w:id="15" w:name="_Toc15377426"/>
      <w:bookmarkStart w:id="16" w:name="_Toc25875"/>
      <w:bookmarkStart w:id="17" w:name="_Toc15396476"/>
      <w:bookmarkStart w:id="18" w:name="_Toc15396598"/>
      <w:bookmarkStart w:id="19" w:name="_Toc2431"/>
      <w:r>
        <w:rPr>
          <w:rFonts w:hint="eastAsia" w:ascii="方正小标宋简体" w:hAnsi="方正小标宋简体" w:eastAsia="方正小标宋简体" w:cs="方正小标宋简体"/>
          <w:b w:val="0"/>
          <w:bCs w:val="0"/>
          <w:color w:val="auto"/>
          <w:sz w:val="72"/>
          <w:szCs w:val="72"/>
          <w:highlight w:val="none"/>
          <w:lang w:val="en-US" w:eastAsia="zh-CN"/>
        </w:rPr>
        <w:t>乐山市沙湾区妇女联合会</w:t>
      </w:r>
      <w:r>
        <w:rPr>
          <w:rFonts w:hint="eastAsia" w:ascii="方正小标宋简体" w:hAnsi="方正小标宋简体" w:eastAsia="方正小标宋简体" w:cs="方正小标宋简体"/>
          <w:sz w:val="72"/>
          <w:szCs w:val="72"/>
        </w:rPr>
        <w:t>部门</w:t>
      </w:r>
      <w:r>
        <w:rPr>
          <w:rFonts w:hint="eastAsia" w:ascii="方正小标宋简体" w:hAnsi="方正小标宋简体" w:eastAsia="方正小标宋简体" w:cs="方正小标宋简体"/>
          <w:b w:val="0"/>
          <w:bCs w:val="0"/>
          <w:color w:val="auto"/>
          <w:sz w:val="72"/>
          <w:szCs w:val="72"/>
          <w:highlight w:val="none"/>
          <w:lang w:eastAsia="zh-CN"/>
        </w:rPr>
        <w:t>决算</w:t>
      </w:r>
      <w:bookmarkEnd w:id="10"/>
      <w:bookmarkEnd w:id="11"/>
      <w:bookmarkEnd w:id="12"/>
      <w:bookmarkEnd w:id="13"/>
      <w:bookmarkEnd w:id="14"/>
      <w:bookmarkEnd w:id="15"/>
      <w:bookmarkEnd w:id="16"/>
      <w:bookmarkEnd w:id="17"/>
      <w:bookmarkEnd w:id="18"/>
      <w:bookmarkEnd w:id="19"/>
    </w:p>
    <w:p>
      <w:pPr>
        <w:spacing w:before="0" w:beforeLines="0" w:after="0" w:afterLines="0" w:line="240" w:lineRule="auto"/>
        <w:ind w:left="0" w:leftChars="0" w:right="0" w:rightChars="0" w:firstLine="0" w:firstLineChars="0"/>
        <w:jc w:val="center"/>
        <w:rPr>
          <w:rFonts w:ascii="宋体" w:hAnsi="宋体" w:eastAsia="宋体" w:cs="Times New Roman"/>
          <w:kern w:val="2"/>
          <w:sz w:val="18"/>
          <w:szCs w:val="21"/>
          <w:lang w:val="en-US" w:eastAsia="zh-CN" w:bidi="ar-SA"/>
        </w:rPr>
        <w:sectPr>
          <w:footerReference r:id="rId5" w:type="first"/>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20" w:name="_Toc15396599"/>
      <w:bookmarkStart w:id="21" w:name="_Toc15377196"/>
    </w:p>
    <w:sdt>
      <w:sdtPr>
        <w:rPr>
          <w:rFonts w:ascii="宋体" w:hAnsi="宋体" w:eastAsia="宋体" w:cs="Times New Roman"/>
          <w:kern w:val="2"/>
          <w:sz w:val="15"/>
          <w:szCs w:val="18"/>
          <w:lang w:val="en-US" w:eastAsia="zh-CN" w:bidi="ar-SA"/>
        </w:rPr>
        <w:id w:val="147470373"/>
        <w15:color w:val="DBDBDB"/>
        <w:docPartObj>
          <w:docPartGallery w:val="Table of Contents"/>
          <w:docPartUnique/>
        </w:docPartObj>
      </w:sdtPr>
      <w:sdtEndPr>
        <w:rPr>
          <w:rFonts w:ascii="Times New Roman" w:hAnsi="Times New Roman" w:eastAsia="宋体" w:cs="Times New Roman"/>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目录</w:t>
          </w:r>
        </w:p>
        <w:p>
          <w:pPr>
            <w:pStyle w:val="16"/>
            <w:rPr>
              <w:rFonts w:ascii="仿宋" w:hAnsi="仿宋" w:eastAsia="仿宋" w:cs="Times New Roman"/>
              <w:kern w:val="2"/>
              <w:sz w:val="28"/>
              <w:szCs w:val="28"/>
              <w:lang w:val="en-US" w:eastAsia="zh-CN" w:bidi="ar-SA"/>
            </w:rPr>
          </w:pPr>
          <w:r>
            <w:rPr>
              <w:rFonts w:hint="eastAsia"/>
              <w:color w:val="auto"/>
              <w:sz w:val="24"/>
              <w:szCs w:val="24"/>
              <w:highlight w:val="none"/>
            </w:rPr>
            <w:t>公开时间：20</w:t>
          </w:r>
          <w:r>
            <w:rPr>
              <w:rFonts w:hint="eastAsia"/>
              <w:color w:val="auto"/>
              <w:sz w:val="24"/>
              <w:szCs w:val="24"/>
              <w:highlight w:val="none"/>
              <w:lang w:val="en-US" w:eastAsia="zh-CN"/>
            </w:rPr>
            <w:t>22</w:t>
          </w:r>
          <w:r>
            <w:rPr>
              <w:rFonts w:hint="eastAsia"/>
              <w:color w:val="auto"/>
              <w:sz w:val="24"/>
              <w:szCs w:val="24"/>
              <w:highlight w:val="none"/>
            </w:rPr>
            <w:t>年</w:t>
          </w:r>
          <w:r>
            <w:rPr>
              <w:rFonts w:hint="eastAsia"/>
              <w:color w:val="auto"/>
              <w:sz w:val="24"/>
              <w:szCs w:val="24"/>
              <w:highlight w:val="none"/>
              <w:lang w:val="en-US" w:eastAsia="zh-CN"/>
            </w:rPr>
            <w:t>9</w:t>
          </w:r>
          <w:r>
            <w:rPr>
              <w:rFonts w:hint="eastAsia"/>
              <w:color w:val="auto"/>
              <w:sz w:val="24"/>
              <w:szCs w:val="24"/>
              <w:highlight w:val="none"/>
            </w:rPr>
            <w:t>月</w:t>
          </w:r>
          <w:r>
            <w:rPr>
              <w:rFonts w:hint="eastAsia"/>
              <w:color w:val="auto"/>
              <w:sz w:val="24"/>
              <w:szCs w:val="24"/>
              <w:highlight w:val="none"/>
              <w:lang w:val="en-US" w:eastAsia="zh-CN"/>
            </w:rPr>
            <w:t>9</w:t>
          </w:r>
          <w:r>
            <w:rPr>
              <w:rFonts w:hint="eastAsia"/>
              <w:color w:val="auto"/>
              <w:sz w:val="24"/>
              <w:szCs w:val="24"/>
              <w:highlight w:val="none"/>
            </w:rPr>
            <w:t>日</w:t>
          </w:r>
          <w:r>
            <w:fldChar w:fldCharType="begin"/>
          </w:r>
          <w:r>
            <w:instrText xml:space="preserve">TOC \o "1-2" \h \u </w:instrText>
          </w:r>
          <w:r>
            <w:fldChar w:fldCharType="separate"/>
          </w:r>
        </w:p>
        <w:p>
          <w:pPr>
            <w:pStyle w:val="16"/>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_Toc28443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 xml:space="preserve">第一部分 </w:t>
          </w:r>
          <w:r>
            <w:rPr>
              <w:rFonts w:hint="eastAsia" w:ascii="仿宋" w:hAnsi="仿宋" w:eastAsia="仿宋" w:cs="仿宋"/>
              <w:bCs w:val="0"/>
              <w:sz w:val="28"/>
              <w:szCs w:val="28"/>
              <w:highlight w:val="none"/>
            </w:rPr>
            <w:t>部门概况</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_Toc28443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_Toc6609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一、基</w:t>
          </w:r>
          <w:r>
            <w:rPr>
              <w:rFonts w:hint="eastAsia" w:ascii="仿宋" w:hAnsi="仿宋" w:eastAsia="仿宋" w:cs="仿宋"/>
              <w:bCs w:val="0"/>
              <w:sz w:val="28"/>
              <w:szCs w:val="28"/>
              <w:highlight w:val="none"/>
            </w:rPr>
            <w:t>本职能及主要工作</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_Toc6609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_Toc23857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二、机构设置</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_Toc23857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_Toc11958 </w:instrText>
          </w:r>
          <w:r>
            <w:rPr>
              <w:rFonts w:hint="eastAsia" w:ascii="仿宋" w:hAnsi="仿宋" w:eastAsia="仿宋" w:cs="仿宋"/>
              <w:sz w:val="28"/>
              <w:szCs w:val="28"/>
            </w:rPr>
            <w:fldChar w:fldCharType="separate"/>
          </w:r>
          <w:r>
            <w:rPr>
              <w:rFonts w:hint="eastAsia" w:ascii="仿宋" w:hAnsi="仿宋" w:eastAsia="仿宋" w:cs="仿宋"/>
              <w:bCs/>
              <w:sz w:val="28"/>
              <w:szCs w:val="28"/>
              <w:highlight w:val="none"/>
            </w:rPr>
            <w:t xml:space="preserve">第二部分 </w:t>
          </w:r>
          <w:r>
            <w:rPr>
              <w:rFonts w:hint="eastAsia" w:ascii="仿宋" w:hAnsi="仿宋" w:eastAsia="仿宋" w:cs="仿宋"/>
              <w:bCs/>
              <w:sz w:val="28"/>
              <w:szCs w:val="28"/>
              <w:highlight w:val="none"/>
              <w:lang w:val="en-US" w:eastAsia="zh-CN"/>
            </w:rPr>
            <w:t>2021年度</w:t>
          </w:r>
          <w:r>
            <w:rPr>
              <w:rFonts w:hint="eastAsia" w:ascii="仿宋" w:hAnsi="仿宋" w:eastAsia="仿宋" w:cs="仿宋"/>
              <w:bCs/>
              <w:sz w:val="28"/>
              <w:szCs w:val="28"/>
              <w:highlight w:val="none"/>
              <w:lang w:eastAsia="zh-CN"/>
            </w:rPr>
            <w:t>单位</w:t>
          </w:r>
          <w:r>
            <w:rPr>
              <w:rFonts w:hint="eastAsia" w:ascii="仿宋" w:hAnsi="仿宋" w:eastAsia="仿宋" w:cs="仿宋"/>
              <w:bCs/>
              <w:sz w:val="28"/>
              <w:szCs w:val="28"/>
              <w:highlight w:val="none"/>
            </w:rPr>
            <w:t>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_Toc11958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_Toc29866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一、 </w:t>
          </w:r>
          <w:r>
            <w:rPr>
              <w:rFonts w:hint="eastAsia" w:ascii="仿宋" w:hAnsi="仿宋" w:eastAsia="仿宋" w:cs="仿宋"/>
              <w:sz w:val="28"/>
              <w:szCs w:val="28"/>
              <w:highlight w:val="none"/>
            </w:rPr>
            <w:t>收入支出决算总体情况说明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_Toc29866 \h </w:instrText>
          </w:r>
          <w:r>
            <w:rPr>
              <w:rFonts w:hint="eastAsia" w:ascii="仿宋" w:hAnsi="仿宋" w:eastAsia="仿宋" w:cs="仿宋"/>
              <w:sz w:val="28"/>
              <w:szCs w:val="28"/>
            </w:rPr>
            <w:fldChar w:fldCharType="separate"/>
          </w:r>
          <w:r>
            <w:rPr>
              <w:rFonts w:hint="eastAsia" w:ascii="仿宋" w:hAnsi="仿宋" w:eastAsia="仿宋" w:cs="仿宋"/>
              <w:sz w:val="28"/>
              <w:szCs w:val="28"/>
            </w:rPr>
            <w:t>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_Toc2806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二、 </w:t>
          </w:r>
          <w:r>
            <w:rPr>
              <w:rFonts w:hint="eastAsia" w:ascii="仿宋" w:hAnsi="仿宋" w:eastAsia="仿宋" w:cs="仿宋"/>
              <w:sz w:val="28"/>
              <w:szCs w:val="28"/>
              <w:highlight w:val="none"/>
            </w:rPr>
            <w:t>收入决算情况说明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_Toc2806 \h </w:instrText>
          </w:r>
          <w:r>
            <w:rPr>
              <w:rFonts w:hint="eastAsia" w:ascii="仿宋" w:hAnsi="仿宋" w:eastAsia="仿宋" w:cs="仿宋"/>
              <w:sz w:val="28"/>
              <w:szCs w:val="28"/>
            </w:rPr>
            <w:fldChar w:fldCharType="separate"/>
          </w:r>
          <w:r>
            <w:rPr>
              <w:rFonts w:hint="eastAsia" w:ascii="仿宋" w:hAnsi="仿宋" w:eastAsia="仿宋" w:cs="仿宋"/>
              <w:sz w:val="28"/>
              <w:szCs w:val="28"/>
            </w:rPr>
            <w:t>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_Toc11386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四、财政拨款收入支出决算总体情况说明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_Toc11386 \h </w:instrText>
          </w:r>
          <w:r>
            <w:rPr>
              <w:rFonts w:hint="eastAsia" w:ascii="仿宋" w:hAnsi="仿宋" w:eastAsia="仿宋" w:cs="仿宋"/>
              <w:sz w:val="28"/>
              <w:szCs w:val="28"/>
            </w:rPr>
            <w:fldChar w:fldCharType="separate"/>
          </w:r>
          <w:r>
            <w:rPr>
              <w:rFonts w:hint="eastAsia" w:ascii="仿宋" w:hAnsi="仿宋" w:eastAsia="仿宋" w:cs="仿宋"/>
              <w:sz w:val="28"/>
              <w:szCs w:val="28"/>
            </w:rPr>
            <w:t>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_Toc8430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五、一般公共预算财政拨款支出决算情况说明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_Toc8430 \h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_Toc23254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六、一般公共预算财政拨款基本支出决算情况说明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_Toc23254 \h </w:instrText>
          </w:r>
          <w:r>
            <w:rPr>
              <w:rFonts w:hint="eastAsia" w:ascii="仿宋" w:hAnsi="仿宋" w:eastAsia="仿宋" w:cs="仿宋"/>
              <w:sz w:val="28"/>
              <w:szCs w:val="28"/>
            </w:rPr>
            <w:fldChar w:fldCharType="separate"/>
          </w:r>
          <w:r>
            <w:rPr>
              <w:rFonts w:hint="eastAsia" w:ascii="仿宋" w:hAnsi="仿宋" w:eastAsia="仿宋" w:cs="仿宋"/>
              <w:sz w:val="28"/>
              <w:szCs w:val="28"/>
            </w:rPr>
            <w:t>13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_Toc19143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七、“三公”经费财政拨款支出决算情况说明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_Toc19143 \h </w:instrText>
          </w:r>
          <w:r>
            <w:rPr>
              <w:rFonts w:hint="eastAsia" w:ascii="仿宋" w:hAnsi="仿宋" w:eastAsia="仿宋" w:cs="仿宋"/>
              <w:sz w:val="28"/>
              <w:szCs w:val="28"/>
            </w:rPr>
            <w:fldChar w:fldCharType="separate"/>
          </w:r>
          <w:r>
            <w:rPr>
              <w:rFonts w:hint="eastAsia" w:ascii="仿宋" w:hAnsi="仿宋" w:eastAsia="仿宋" w:cs="仿宋"/>
              <w:sz w:val="28"/>
              <w:szCs w:val="28"/>
            </w:rPr>
            <w:t>14</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_Toc14247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八、政府性基金预算支出决算情况说明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_Toc14247 \h </w:instrText>
          </w:r>
          <w:r>
            <w:rPr>
              <w:rFonts w:hint="eastAsia" w:ascii="仿宋" w:hAnsi="仿宋" w:eastAsia="仿宋" w:cs="仿宋"/>
              <w:sz w:val="28"/>
              <w:szCs w:val="28"/>
            </w:rPr>
            <w:fldChar w:fldCharType="separate"/>
          </w:r>
          <w:r>
            <w:rPr>
              <w:rFonts w:hint="eastAsia" w:ascii="仿宋" w:hAnsi="仿宋" w:eastAsia="仿宋" w:cs="仿宋"/>
              <w:sz w:val="28"/>
              <w:szCs w:val="28"/>
            </w:rPr>
            <w:t>16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_Toc14816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九、 </w:t>
          </w:r>
          <w:r>
            <w:rPr>
              <w:rFonts w:hint="eastAsia" w:ascii="仿宋" w:hAnsi="仿宋" w:eastAsia="仿宋" w:cs="仿宋"/>
              <w:sz w:val="28"/>
              <w:szCs w:val="28"/>
              <w:highlight w:val="none"/>
            </w:rPr>
            <w:t>国有资本经营预算支出决算情况说明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_Toc14816 \h </w:instrText>
          </w:r>
          <w:r>
            <w:rPr>
              <w:rFonts w:hint="eastAsia" w:ascii="仿宋" w:hAnsi="仿宋" w:eastAsia="仿宋" w:cs="仿宋"/>
              <w:sz w:val="28"/>
              <w:szCs w:val="28"/>
            </w:rPr>
            <w:fldChar w:fldCharType="separate"/>
          </w:r>
          <w:r>
            <w:rPr>
              <w:rFonts w:hint="eastAsia" w:ascii="仿宋" w:hAnsi="仿宋" w:eastAsia="仿宋" w:cs="仿宋"/>
              <w:sz w:val="28"/>
              <w:szCs w:val="28"/>
            </w:rPr>
            <w:t>16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_Toc7135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十、 </w:t>
          </w:r>
          <w:r>
            <w:rPr>
              <w:rFonts w:hint="eastAsia" w:ascii="仿宋" w:hAnsi="仿宋" w:eastAsia="仿宋" w:cs="仿宋"/>
              <w:sz w:val="28"/>
              <w:szCs w:val="28"/>
              <w:highlight w:val="none"/>
            </w:rPr>
            <w:t>其他重要事项的情况说明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_Toc7135 \h </w:instrText>
          </w:r>
          <w:r>
            <w:rPr>
              <w:rFonts w:hint="eastAsia" w:ascii="仿宋" w:hAnsi="仿宋" w:eastAsia="仿宋" w:cs="仿宋"/>
              <w:sz w:val="28"/>
              <w:szCs w:val="28"/>
            </w:rPr>
            <w:fldChar w:fldCharType="separate"/>
          </w:r>
          <w:r>
            <w:rPr>
              <w:rFonts w:hint="eastAsia" w:ascii="仿宋" w:hAnsi="仿宋" w:eastAsia="仿宋" w:cs="仿宋"/>
              <w:sz w:val="28"/>
              <w:szCs w:val="28"/>
            </w:rPr>
            <w:t>16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_Toc12880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第三部分 </w:t>
          </w:r>
          <w:r>
            <w:rPr>
              <w:rFonts w:hint="eastAsia" w:ascii="仿宋" w:hAnsi="仿宋" w:eastAsia="仿宋" w:cs="仿宋"/>
              <w:sz w:val="28"/>
              <w:szCs w:val="28"/>
              <w:highlight w:val="none"/>
            </w:rPr>
            <w:t>名词解释</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_Toc12880 \h </w:instrText>
          </w:r>
          <w:r>
            <w:rPr>
              <w:rFonts w:hint="eastAsia" w:ascii="仿宋" w:hAnsi="仿宋" w:eastAsia="仿宋" w:cs="仿宋"/>
              <w:sz w:val="28"/>
              <w:szCs w:val="28"/>
            </w:rPr>
            <w:fldChar w:fldCharType="separate"/>
          </w:r>
          <w:r>
            <w:rPr>
              <w:rFonts w:hint="eastAsia" w:ascii="仿宋" w:hAnsi="仿宋" w:eastAsia="仿宋" w:cs="仿宋"/>
              <w:sz w:val="28"/>
              <w:szCs w:val="28"/>
            </w:rPr>
            <w:t>18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_Toc5728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第四部分 附件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_Toc5728 \h </w:instrText>
          </w:r>
          <w:r>
            <w:rPr>
              <w:rFonts w:hint="eastAsia" w:ascii="仿宋" w:hAnsi="仿宋" w:eastAsia="仿宋" w:cs="仿宋"/>
              <w:sz w:val="28"/>
              <w:szCs w:val="28"/>
            </w:rPr>
            <w:fldChar w:fldCharType="separate"/>
          </w:r>
          <w:r>
            <w:rPr>
              <w:rFonts w:hint="eastAsia" w:ascii="仿宋" w:hAnsi="仿宋" w:eastAsia="仿宋" w:cs="仿宋"/>
              <w:sz w:val="28"/>
              <w:szCs w:val="28"/>
            </w:rPr>
            <w:t>25</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_Toc766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第五部分 附表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_Toc766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_Toc18590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一、收</w:t>
          </w:r>
          <w:r>
            <w:rPr>
              <w:rFonts w:hint="eastAsia" w:ascii="仿宋" w:hAnsi="仿宋" w:eastAsia="仿宋" w:cs="仿宋"/>
              <w:bCs w:val="0"/>
              <w:sz w:val="28"/>
              <w:szCs w:val="28"/>
              <w:highlight w:val="none"/>
            </w:rPr>
            <w:t>入支出决算总表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_Toc18590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_Toc28327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二、收</w:t>
          </w:r>
          <w:r>
            <w:rPr>
              <w:rFonts w:hint="eastAsia" w:ascii="仿宋" w:hAnsi="仿宋" w:eastAsia="仿宋" w:cs="仿宋"/>
              <w:bCs w:val="0"/>
              <w:sz w:val="28"/>
              <w:szCs w:val="28"/>
              <w:highlight w:val="none"/>
            </w:rPr>
            <w:t>入决算表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_Toc28327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_Toc2302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三、</w:t>
          </w:r>
          <w:r>
            <w:rPr>
              <w:rFonts w:hint="eastAsia" w:ascii="仿宋" w:hAnsi="仿宋" w:eastAsia="仿宋" w:cs="仿宋"/>
              <w:sz w:val="28"/>
              <w:szCs w:val="28"/>
              <w:highlight w:val="none"/>
            </w:rPr>
            <w:t>支</w:t>
          </w:r>
          <w:r>
            <w:rPr>
              <w:rFonts w:hint="eastAsia" w:ascii="仿宋" w:hAnsi="仿宋" w:eastAsia="仿宋" w:cs="仿宋"/>
              <w:bCs w:val="0"/>
              <w:sz w:val="28"/>
              <w:szCs w:val="28"/>
              <w:highlight w:val="none"/>
            </w:rPr>
            <w:t>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_Toc2302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_Toc279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四、</w:t>
          </w:r>
          <w:r>
            <w:rPr>
              <w:rFonts w:hint="eastAsia" w:ascii="仿宋" w:hAnsi="仿宋" w:eastAsia="仿宋" w:cs="仿宋"/>
              <w:sz w:val="28"/>
              <w:szCs w:val="28"/>
              <w:highlight w:val="none"/>
            </w:rPr>
            <w:t>财</w:t>
          </w:r>
          <w:r>
            <w:rPr>
              <w:rFonts w:hint="eastAsia" w:ascii="仿宋" w:hAnsi="仿宋" w:eastAsia="仿宋" w:cs="仿宋"/>
              <w:bCs w:val="0"/>
              <w:sz w:val="28"/>
              <w:szCs w:val="28"/>
              <w:highlight w:val="none"/>
            </w:rPr>
            <w:t>政拨款收入支出决算总表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_Toc279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_Toc15905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五、</w:t>
          </w:r>
          <w:r>
            <w:rPr>
              <w:rFonts w:hint="eastAsia" w:ascii="仿宋" w:hAnsi="仿宋" w:eastAsia="仿宋" w:cs="仿宋"/>
              <w:sz w:val="28"/>
              <w:szCs w:val="28"/>
              <w:highlight w:val="none"/>
            </w:rPr>
            <w:t>财</w:t>
          </w:r>
          <w:r>
            <w:rPr>
              <w:rFonts w:hint="eastAsia" w:ascii="仿宋" w:hAnsi="仿宋" w:eastAsia="仿宋" w:cs="仿宋"/>
              <w:bCs w:val="0"/>
              <w:sz w:val="28"/>
              <w:szCs w:val="28"/>
              <w:highlight w:val="none"/>
            </w:rPr>
            <w:t>政拨款支出决算明细表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_Toc15905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_Toc26361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六、</w:t>
          </w:r>
          <w:r>
            <w:rPr>
              <w:rFonts w:hint="eastAsia" w:ascii="仿宋" w:hAnsi="仿宋" w:eastAsia="仿宋" w:cs="仿宋"/>
              <w:sz w:val="28"/>
              <w:szCs w:val="28"/>
              <w:highlight w:val="none"/>
            </w:rPr>
            <w:t>一</w:t>
          </w:r>
          <w:r>
            <w:rPr>
              <w:rFonts w:hint="eastAsia" w:ascii="仿宋" w:hAnsi="仿宋" w:eastAsia="仿宋" w:cs="仿宋"/>
              <w:bCs w:val="0"/>
              <w:sz w:val="28"/>
              <w:szCs w:val="28"/>
              <w:highlight w:val="none"/>
            </w:rPr>
            <w:t>般公共预算财政拨款支出决算表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_Toc26361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_Toc7358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七、</w:t>
          </w:r>
          <w:r>
            <w:rPr>
              <w:rFonts w:hint="eastAsia" w:ascii="仿宋" w:hAnsi="仿宋" w:eastAsia="仿宋" w:cs="仿宋"/>
              <w:sz w:val="28"/>
              <w:szCs w:val="28"/>
              <w:highlight w:val="none"/>
            </w:rPr>
            <w:t>一</w:t>
          </w:r>
          <w:r>
            <w:rPr>
              <w:rFonts w:hint="eastAsia" w:ascii="仿宋" w:hAnsi="仿宋" w:eastAsia="仿宋" w:cs="仿宋"/>
              <w:bCs w:val="0"/>
              <w:sz w:val="28"/>
              <w:szCs w:val="28"/>
              <w:highlight w:val="none"/>
            </w:rPr>
            <w:t>般公共预算财政拨款支出决算明细表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_Toc7358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_Toc14840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八、</w:t>
          </w:r>
          <w:r>
            <w:rPr>
              <w:rFonts w:hint="eastAsia" w:ascii="仿宋" w:hAnsi="仿宋" w:eastAsia="仿宋" w:cs="仿宋"/>
              <w:sz w:val="28"/>
              <w:szCs w:val="28"/>
              <w:highlight w:val="none"/>
            </w:rPr>
            <w:t>一</w:t>
          </w:r>
          <w:r>
            <w:rPr>
              <w:rFonts w:hint="eastAsia" w:ascii="仿宋" w:hAnsi="仿宋" w:eastAsia="仿宋" w:cs="仿宋"/>
              <w:bCs w:val="0"/>
              <w:sz w:val="28"/>
              <w:szCs w:val="28"/>
              <w:highlight w:val="none"/>
            </w:rPr>
            <w:t>般公共预算财政拨款基本支出决算表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_Toc14840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_Toc30815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九、</w:t>
          </w:r>
          <w:r>
            <w:rPr>
              <w:rFonts w:hint="eastAsia" w:ascii="仿宋" w:hAnsi="仿宋" w:eastAsia="仿宋" w:cs="仿宋"/>
              <w:sz w:val="28"/>
              <w:szCs w:val="28"/>
              <w:highlight w:val="none"/>
            </w:rPr>
            <w:t>一</w:t>
          </w:r>
          <w:r>
            <w:rPr>
              <w:rFonts w:hint="eastAsia" w:ascii="仿宋" w:hAnsi="仿宋" w:eastAsia="仿宋" w:cs="仿宋"/>
              <w:bCs w:val="0"/>
              <w:sz w:val="28"/>
              <w:szCs w:val="28"/>
              <w:highlight w:val="none"/>
            </w:rPr>
            <w:t>般公共预算财政拨款项目支出决算表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_Toc30815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_Toc17879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十、</w:t>
          </w:r>
          <w:r>
            <w:rPr>
              <w:rFonts w:hint="eastAsia" w:ascii="仿宋" w:hAnsi="仿宋" w:eastAsia="仿宋" w:cs="仿宋"/>
              <w:sz w:val="28"/>
              <w:szCs w:val="28"/>
              <w:highlight w:val="none"/>
            </w:rPr>
            <w:t>一</w:t>
          </w:r>
          <w:r>
            <w:rPr>
              <w:rFonts w:hint="eastAsia" w:ascii="仿宋" w:hAnsi="仿宋" w:eastAsia="仿宋" w:cs="仿宋"/>
              <w:bCs w:val="0"/>
              <w:sz w:val="28"/>
              <w:szCs w:val="28"/>
              <w:highlight w:val="none"/>
            </w:rPr>
            <w:t>般公共预算财政拨款“三公”经费支出决算表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_Toc17879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_Toc8853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十一、</w:t>
          </w:r>
          <w:r>
            <w:rPr>
              <w:rFonts w:hint="eastAsia" w:ascii="仿宋" w:hAnsi="仿宋" w:eastAsia="仿宋" w:cs="仿宋"/>
              <w:sz w:val="28"/>
              <w:szCs w:val="28"/>
              <w:highlight w:val="none"/>
            </w:rPr>
            <w:t>政</w:t>
          </w:r>
          <w:r>
            <w:rPr>
              <w:rFonts w:hint="eastAsia" w:ascii="仿宋" w:hAnsi="仿宋" w:eastAsia="仿宋" w:cs="仿宋"/>
              <w:bCs w:val="0"/>
              <w:sz w:val="28"/>
              <w:szCs w:val="28"/>
              <w:highlight w:val="none"/>
            </w:rPr>
            <w:t>府性基金预算财政拨款收入支出决算表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_Toc8853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_Toc24410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十二、</w:t>
          </w:r>
          <w:r>
            <w:rPr>
              <w:rFonts w:hint="eastAsia" w:ascii="仿宋" w:hAnsi="仿宋" w:eastAsia="仿宋" w:cs="仿宋"/>
              <w:sz w:val="28"/>
              <w:szCs w:val="28"/>
              <w:highlight w:val="none"/>
            </w:rPr>
            <w:t>政</w:t>
          </w:r>
          <w:r>
            <w:rPr>
              <w:rFonts w:hint="eastAsia" w:ascii="仿宋" w:hAnsi="仿宋" w:eastAsia="仿宋" w:cs="仿宋"/>
              <w:bCs w:val="0"/>
              <w:sz w:val="28"/>
              <w:szCs w:val="28"/>
              <w:highlight w:val="none"/>
            </w:rPr>
            <w:t>府性基金预算财政拨款“三公”经费支出决算表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_Toc24410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_Toc2241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十三、</w:t>
          </w:r>
          <w:r>
            <w:rPr>
              <w:rFonts w:hint="eastAsia" w:ascii="仿宋" w:hAnsi="仿宋" w:eastAsia="仿宋" w:cs="仿宋"/>
              <w:sz w:val="28"/>
              <w:szCs w:val="28"/>
              <w:highlight w:val="none"/>
            </w:rPr>
            <w:t>国</w:t>
          </w:r>
          <w:r>
            <w:rPr>
              <w:rFonts w:hint="eastAsia" w:ascii="仿宋" w:hAnsi="仿宋" w:eastAsia="仿宋" w:cs="仿宋"/>
              <w:bCs w:val="0"/>
              <w:sz w:val="28"/>
              <w:szCs w:val="28"/>
              <w:highlight w:val="none"/>
            </w:rPr>
            <w:t>有资本经营预算</w:t>
          </w:r>
          <w:r>
            <w:rPr>
              <w:rFonts w:hint="eastAsia" w:ascii="仿宋" w:hAnsi="仿宋" w:eastAsia="仿宋" w:cs="仿宋"/>
              <w:bCs w:val="0"/>
              <w:sz w:val="28"/>
              <w:szCs w:val="28"/>
              <w:highlight w:val="none"/>
              <w:lang w:eastAsia="zh-CN"/>
            </w:rPr>
            <w:t>财政拨款收入</w:t>
          </w:r>
          <w:r>
            <w:rPr>
              <w:rFonts w:hint="eastAsia" w:ascii="仿宋" w:hAnsi="仿宋" w:eastAsia="仿宋" w:cs="仿宋"/>
              <w:bCs w:val="0"/>
              <w:sz w:val="28"/>
              <w:szCs w:val="28"/>
              <w:highlight w:val="none"/>
            </w:rPr>
            <w:t>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_Toc2241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_Toc9053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lang w:eastAsia="zh-CN"/>
            </w:rPr>
            <w:t>十四、国有资本经营预算财政拨款支出决算表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_Toc9053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tabs>
              <w:tab w:val="right" w:leader="dot" w:pos="8296"/>
            </w:tabs>
            <w:jc w:val="center"/>
            <w:rPr>
              <w:rFonts w:hint="eastAsia" w:ascii="黑体" w:hAnsi="黑体" w:eastAsia="黑体"/>
              <w:b w:val="0"/>
              <w:color w:val="auto"/>
              <w:highlight w:val="none"/>
            </w:rPr>
            <w:sectPr>
              <w:footerReference r:id="rId7" w:type="first"/>
              <w:footerReference r:id="rId6" w:type="default"/>
              <w:pgSz w:w="11906" w:h="16838"/>
              <w:pgMar w:top="1440" w:right="1800" w:bottom="1440" w:left="1800" w:header="851" w:footer="992" w:gutter="0"/>
              <w:pgNumType w:start="1"/>
              <w:cols w:space="425" w:num="1"/>
              <w:titlePg/>
              <w:docGrid w:type="lines" w:linePitch="312" w:charSpace="0"/>
            </w:sectPr>
          </w:pPr>
          <w:r>
            <w:fldChar w:fldCharType="end"/>
          </w:r>
        </w:p>
      </w:sdtContent>
    </w:sdt>
    <w:bookmarkEnd w:id="20"/>
    <w:bookmarkEnd w:id="21"/>
    <w:p>
      <w:pPr>
        <w:pStyle w:val="4"/>
        <w:jc w:val="center"/>
        <w:rPr>
          <w:rFonts w:hint="eastAsia" w:ascii="黑体" w:hAnsi="黑体" w:eastAsia="黑体"/>
          <w:b w:val="0"/>
          <w:color w:val="auto"/>
          <w:highlight w:val="none"/>
        </w:rPr>
      </w:pPr>
      <w:bookmarkStart w:id="22" w:name="_Toc28443"/>
      <w:bookmarkStart w:id="23" w:name="_Toc15396600"/>
      <w:bookmarkStart w:id="24" w:name="_Toc15377197"/>
      <w:r>
        <w:rPr>
          <w:rFonts w:hint="eastAsia" w:ascii="黑体" w:hAnsi="黑体" w:eastAsia="黑体"/>
          <w:b w:val="0"/>
          <w:color w:val="auto"/>
          <w:highlight w:val="none"/>
        </w:rPr>
        <w:t xml:space="preserve">第一部分 </w:t>
      </w:r>
      <w:r>
        <w:rPr>
          <w:rStyle w:val="37"/>
          <w:rFonts w:hint="eastAsia" w:ascii="黑体" w:hAnsi="黑体" w:eastAsia="黑体"/>
          <w:b w:val="0"/>
          <w:bCs w:val="0"/>
          <w:color w:val="auto"/>
          <w:highlight w:val="none"/>
        </w:rPr>
        <w:t>部门概况</w:t>
      </w:r>
      <w:bookmarkEnd w:id="22"/>
    </w:p>
    <w:p>
      <w:pPr>
        <w:pStyle w:val="5"/>
        <w:rPr>
          <w:rStyle w:val="38"/>
          <w:rFonts w:ascii="仿宋" w:hAnsi="仿宋" w:eastAsia="仿宋"/>
          <w:b w:val="0"/>
          <w:bCs w:val="0"/>
          <w:color w:val="auto"/>
          <w:highlight w:val="none"/>
        </w:rPr>
      </w:pPr>
      <w:bookmarkStart w:id="25" w:name="_Toc6609"/>
      <w:r>
        <w:rPr>
          <w:rFonts w:hint="eastAsia" w:ascii="黑体" w:hAnsi="黑体" w:eastAsia="黑体"/>
          <w:b w:val="0"/>
          <w:color w:val="auto"/>
          <w:highlight w:val="none"/>
        </w:rPr>
        <w:t>一、基</w:t>
      </w:r>
      <w:r>
        <w:rPr>
          <w:rStyle w:val="38"/>
          <w:rFonts w:hint="eastAsia" w:ascii="黑体" w:hAnsi="黑体" w:eastAsia="黑体"/>
          <w:b w:val="0"/>
          <w:bCs w:val="0"/>
          <w:color w:val="auto"/>
          <w:highlight w:val="none"/>
        </w:rPr>
        <w:t>本职能及主要工作</w:t>
      </w:r>
      <w:bookmarkEnd w:id="25"/>
    </w:p>
    <w:p>
      <w:pPr>
        <w:pStyle w:val="9"/>
        <w:adjustRightInd w:val="0"/>
        <w:snapToGrid w:val="0"/>
        <w:spacing w:before="93" w:line="600" w:lineRule="exact"/>
        <w:ind w:firstLine="672" w:firstLineChars="210"/>
        <w:outlineLvl w:val="2"/>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rPr>
        <w:t>（一）主要职能。</w:t>
      </w:r>
    </w:p>
    <w:p>
      <w:pPr>
        <w:widowControl w:val="0"/>
        <w:numPr>
          <w:ilvl w:val="0"/>
          <w:numId w:val="0"/>
        </w:numPr>
        <w:adjustRightInd w:val="0"/>
        <w:snapToGrid w:val="0"/>
        <w:spacing w:before="93" w:beforeLines="30" w:line="600" w:lineRule="exact"/>
        <w:ind w:firstLine="640" w:firstLineChars="200"/>
        <w:jc w:val="both"/>
        <w:outlineLvl w:val="9"/>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代表和维护妇女儿童权益，促进男女平等，推动妇女发展。</w:t>
      </w:r>
    </w:p>
    <w:p>
      <w:pPr>
        <w:widowControl w:val="0"/>
        <w:numPr>
          <w:ilvl w:val="0"/>
          <w:numId w:val="0"/>
        </w:numPr>
        <w:adjustRightInd w:val="0"/>
        <w:snapToGrid w:val="0"/>
        <w:spacing w:before="93" w:beforeLines="30" w:line="600" w:lineRule="exact"/>
        <w:ind w:firstLine="640" w:firstLineChars="200"/>
        <w:jc w:val="both"/>
        <w:outlineLvl w:val="9"/>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主要任务：团结、动员、带领广大妇女积极投身全市经济社会建设主战场，为全面建成小康社会献智出力；教育、引导广大妇女发扬自尊、自信、自立、自强精神，努力提高自身素质，不断实现发展进步；代表妇女参与国家和社会事务的民主管理、民主监督，参与有关妇女儿童法律、法规、规章的制定，维护妇女儿童的合法权益；为妇女儿童服务，加强与社会各界的联系、协调和推动社会各界为妇女儿童办实事、办好事。</w:t>
      </w:r>
    </w:p>
    <w:p>
      <w:pPr>
        <w:pStyle w:val="9"/>
        <w:adjustRightInd w:val="0"/>
        <w:snapToGrid w:val="0"/>
        <w:spacing w:before="93" w:line="600" w:lineRule="exact"/>
        <w:ind w:firstLine="672" w:firstLineChars="210"/>
        <w:outlineLvl w:val="2"/>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rPr>
        <w:t>（二）</w:t>
      </w:r>
      <w:r>
        <w:rPr>
          <w:rFonts w:hint="eastAsia" w:ascii="仿宋" w:hAnsi="仿宋" w:eastAsia="仿宋"/>
          <w:bCs/>
          <w:color w:val="auto"/>
          <w:sz w:val="32"/>
          <w:szCs w:val="32"/>
          <w:highlight w:val="none"/>
          <w:lang w:val="en-US" w:eastAsia="zh-CN"/>
        </w:rPr>
        <w:t>2021年重点</w:t>
      </w:r>
      <w:r>
        <w:rPr>
          <w:rFonts w:hint="eastAsia" w:ascii="仿宋" w:hAnsi="仿宋" w:eastAsia="仿宋"/>
          <w:bCs/>
          <w:color w:val="auto"/>
          <w:sz w:val="32"/>
          <w:szCs w:val="32"/>
          <w:highlight w:val="none"/>
        </w:rPr>
        <w:t>工作</w:t>
      </w:r>
      <w:bookmarkEnd w:id="23"/>
      <w:bookmarkEnd w:id="24"/>
      <w:r>
        <w:rPr>
          <w:rFonts w:hint="eastAsia" w:ascii="仿宋" w:hAnsi="仿宋" w:eastAsia="仿宋"/>
          <w:bCs/>
          <w:color w:val="auto"/>
          <w:sz w:val="32"/>
          <w:szCs w:val="32"/>
          <w:highlight w:val="none"/>
          <w:lang w:eastAsia="zh-CN"/>
        </w:rPr>
        <w:t>完成情况</w:t>
      </w:r>
    </w:p>
    <w:p>
      <w:pPr>
        <w:widowControl w:val="0"/>
        <w:numPr>
          <w:ilvl w:val="0"/>
          <w:numId w:val="0"/>
        </w:numPr>
        <w:adjustRightInd w:val="0"/>
        <w:snapToGrid w:val="0"/>
        <w:spacing w:before="93" w:beforeLines="30" w:line="600" w:lineRule="exact"/>
        <w:ind w:firstLine="640" w:firstLineChars="200"/>
        <w:jc w:val="both"/>
        <w:outlineLvl w:val="9"/>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 xml:space="preserve">一、服务中心，主动作为，妇儿保障有力度 </w:t>
      </w:r>
    </w:p>
    <w:p>
      <w:pPr>
        <w:widowControl w:val="0"/>
        <w:numPr>
          <w:ilvl w:val="0"/>
          <w:numId w:val="0"/>
        </w:numPr>
        <w:adjustRightInd w:val="0"/>
        <w:snapToGrid w:val="0"/>
        <w:spacing w:before="93" w:beforeLines="30" w:line="600" w:lineRule="exact"/>
        <w:ind w:firstLine="640" w:firstLineChars="200"/>
        <w:jc w:val="both"/>
        <w:outlineLvl w:val="9"/>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一）民生保障有力。面向村、社区开展“两癌”知识宣讲进基层活动2场，为1430名建档立卡贫困妇女提供总价值4.29万元的女性安康保险。5、6月份与沙湾人寿保险公司一同进村入户宣传，采取自愿原则，鼓励村、社区妇女、成年男性自行购买“安康”保</w:t>
      </w:r>
      <w:bookmarkStart w:id="128" w:name="_GoBack"/>
      <w:bookmarkEnd w:id="128"/>
      <w:r>
        <w:rPr>
          <w:rFonts w:hint="eastAsia" w:ascii="仿宋" w:hAnsi="仿宋" w:eastAsia="仿宋" w:cs="Times New Roman"/>
          <w:bCs/>
          <w:color w:val="000000"/>
          <w:kern w:val="0"/>
          <w:sz w:val="32"/>
          <w:szCs w:val="32"/>
          <w:lang w:val="en-US" w:eastAsia="zh-CN" w:bidi="ar-SA"/>
        </w:rPr>
        <w:t>险22900人。人寿保险公司理赔2020年入保妇女39人，赔付金额达195万元。</w:t>
      </w:r>
    </w:p>
    <w:p>
      <w:pPr>
        <w:widowControl w:val="0"/>
        <w:numPr>
          <w:ilvl w:val="0"/>
          <w:numId w:val="0"/>
        </w:numPr>
        <w:adjustRightInd w:val="0"/>
        <w:snapToGrid w:val="0"/>
        <w:spacing w:before="93" w:beforeLines="30" w:line="600" w:lineRule="exact"/>
        <w:ind w:firstLine="640" w:firstLineChars="200"/>
        <w:jc w:val="both"/>
        <w:outlineLvl w:val="9"/>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二）区域治理有效。一是区、镇、村三级妇联联动，组建妇女儿童维权保护志愿队伍人员205人、网格员152人，将妇女儿童侵权隐患排查纳入网格员职责清单，网格员通过“网格E通系统”及时上报，实现矛盾排查信息化。二是联合辖区内公安派出所建立了“家庭暴力投诉中心”8个和110接警中心，妇女儿童维权站点83个。三是建立完善了婚姻家庭矛盾纠纷“红、橙、黄”三色预警动态管理和包案化解制度，促进风险隐患化解在前端、消除在萌芽。</w:t>
      </w:r>
    </w:p>
    <w:p>
      <w:pPr>
        <w:widowControl w:val="0"/>
        <w:numPr>
          <w:ilvl w:val="0"/>
          <w:numId w:val="0"/>
        </w:numPr>
        <w:adjustRightInd w:val="0"/>
        <w:snapToGrid w:val="0"/>
        <w:spacing w:before="93" w:beforeLines="30" w:line="600" w:lineRule="exact"/>
        <w:ind w:firstLine="640" w:firstLineChars="200"/>
        <w:jc w:val="both"/>
        <w:outlineLvl w:val="9"/>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三）妇儿帮扶有爱。春节、“三八”节、“六一”儿童节期间，先后慰问223名贫困母亲、贫困留守儿童、困境儿童、农民工，慰问资金达5万元。开展“童心向党庆华诞·关爱儿童助成长”主题活动，为踏水镇、嘉农镇、轸溪镇等镇23名留守儿童、贫困（特殊）儿童、残疾儿童进行了入户走访慰问，为他们送去了价值5000元的节日慰问品和1本红色书籍《我可爱的中国》《闪闪的红星》，同时为儿童父母送上《民法典》《妇女权益保障法》《未成年人保护法》等。暑假期间与轸溪镇妇联联合开展关爱留守儿童公益活动，开设手工、绘画、心理辅导、法制等课程，受益儿童达50人次。继续做好巩固脱贫攻坚工作，为10户联系帮扶户提供帮助和认真做好了金口河对口帮扶工作，共慰问妇女儿童13人，慰问资金5000元。</w:t>
      </w:r>
    </w:p>
    <w:p>
      <w:pPr>
        <w:widowControl w:val="0"/>
        <w:numPr>
          <w:ilvl w:val="0"/>
          <w:numId w:val="0"/>
        </w:numPr>
        <w:adjustRightInd w:val="0"/>
        <w:snapToGrid w:val="0"/>
        <w:spacing w:before="93" w:beforeLines="30" w:line="600" w:lineRule="exact"/>
        <w:ind w:firstLine="640" w:firstLineChars="200"/>
        <w:jc w:val="both"/>
        <w:outlineLvl w:val="9"/>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 xml:space="preserve">二、突出重点，锐意创新，专项工作有深度 </w:t>
      </w:r>
    </w:p>
    <w:p>
      <w:pPr>
        <w:widowControl w:val="0"/>
        <w:numPr>
          <w:ilvl w:val="0"/>
          <w:numId w:val="0"/>
        </w:numPr>
        <w:adjustRightInd w:val="0"/>
        <w:snapToGrid w:val="0"/>
        <w:spacing w:before="93" w:beforeLines="30" w:line="600" w:lineRule="exact"/>
        <w:ind w:firstLine="640" w:firstLineChars="200"/>
        <w:jc w:val="both"/>
        <w:outlineLvl w:val="9"/>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一）“三个结合”做好家庭教育。一是家庭教育与精神文明建设相结合。取得区文明办支持，把家庭教育纳入文明村评选标准。“三八”妇女节表彰了4户“最美家庭”和6个“最美家庭成员”。二是家庭教育与法制教育相结合。利用“七五”普法，加强《未成年人保护法》《妇女权益保障法》《婚姻法》《反家庭暴力法》的普及力度，提高妇女的法制观念，促使家长依法教子，依法履行监护人职责。三是家庭教育与社会实践相结合。利用郭沫若故居四川省爱国主义教育基地+沫若戏剧文创园红色研学基地，开展“铜河家风教育课堂”和亲子研学活动。全年举办家庭教育讲座2期，受益父母达50人次；开展各类亲子活动10次，参与家庭上千个。</w:t>
      </w:r>
    </w:p>
    <w:p>
      <w:pPr>
        <w:widowControl w:val="0"/>
        <w:numPr>
          <w:ilvl w:val="0"/>
          <w:numId w:val="0"/>
        </w:numPr>
        <w:adjustRightInd w:val="0"/>
        <w:snapToGrid w:val="0"/>
        <w:spacing w:before="93" w:beforeLines="30" w:line="600" w:lineRule="exact"/>
        <w:ind w:firstLine="640" w:firstLineChars="200"/>
        <w:jc w:val="both"/>
        <w:outlineLvl w:val="9"/>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二）“三个作为”做好妇女儿童维权工作。一是大力开展“建设法治沙湾·巾帼在行动”法治宣传教育活动。利用“三八”维权周、“12·4”国家宪法日、国际反家庭暴力日、国际禁毒日等重要时段和节点进行宣传。全年各级妇联开展法律咨询宣传活动、法制讲座等30多场，印发宣传手册3万多份、宣传品2000多份。二是扎实做好信访及心连心热线服务工作。24小时畅通—12338妇女维权热线，及时为妇女群众提供普法维权服务。截止目前，共接待来电来访27件，办结27件，满意率均为100%。三是进一步健全区妇联矛盾纠纷隐患排查和化解机制，完善月报制度和重大事项及时报告制度。截止目前，共排查婚姻家庭矛盾纠纷17起，预警黄色14起，办结17件，服务态度满意率100%。推荐嘉农社区申报“四川省妇女儿童权益先进集体”。</w:t>
      </w:r>
    </w:p>
    <w:p>
      <w:pPr>
        <w:widowControl w:val="0"/>
        <w:numPr>
          <w:ilvl w:val="0"/>
          <w:numId w:val="0"/>
        </w:numPr>
        <w:adjustRightInd w:val="0"/>
        <w:snapToGrid w:val="0"/>
        <w:spacing w:before="93" w:beforeLines="30" w:line="600" w:lineRule="exact"/>
        <w:ind w:firstLine="640" w:firstLineChars="200"/>
        <w:jc w:val="both"/>
        <w:outlineLvl w:val="9"/>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（三）积极做好“乡村振兴巾帼行动”。一是积极向广大妇女干部明确深化乡村振兴巾帼行动是落实中央省市区决策部署的重要内容。二是举办“乡村振兴百万巾帼大宣讲”1次、开展 “好家风进万家”12次、 培育“巾帼致富带头人”50人、3名优秀妇女被评为市级“乡村女能人”、评选“美丽庭院”10户，创建申报2个市级居家灵活就业基地等。三是强化同频共振，坚持党群共建设共用共工作阵地，充分发挥基层妇联执委作用，调动各类乡村妇女兴趣活动组织，妇女专业合作社等组织积极性、主动性，汇聚起推动乡村振兴的强大巾帼力量。</w:t>
      </w:r>
      <w:bookmarkStart w:id="26" w:name="_Toc15396601"/>
      <w:bookmarkStart w:id="27" w:name="_Toc23857"/>
      <w:bookmarkStart w:id="28" w:name="_Toc15377200"/>
      <w:bookmarkStart w:id="29" w:name="_Toc15377204"/>
      <w:bookmarkStart w:id="30" w:name="_Toc15396602"/>
    </w:p>
    <w:p>
      <w:pPr>
        <w:widowControl w:val="0"/>
        <w:numPr>
          <w:ilvl w:val="0"/>
          <w:numId w:val="0"/>
        </w:numPr>
        <w:adjustRightInd w:val="0"/>
        <w:snapToGrid w:val="0"/>
        <w:spacing w:before="93" w:beforeLines="30" w:line="600" w:lineRule="exact"/>
        <w:ind w:firstLine="640" w:firstLineChars="200"/>
        <w:jc w:val="both"/>
        <w:outlineLvl w:val="9"/>
        <w:rPr>
          <w:rStyle w:val="38"/>
          <w:rFonts w:hint="eastAsia" w:ascii="黑体" w:hAnsi="黑体" w:eastAsia="黑体"/>
          <w:b w:val="0"/>
          <w:bCs w:val="0"/>
          <w:color w:val="auto"/>
          <w:highlight w:val="none"/>
        </w:rPr>
      </w:pPr>
      <w:r>
        <w:rPr>
          <w:rStyle w:val="38"/>
          <w:rFonts w:hint="eastAsia" w:ascii="黑体" w:hAnsi="黑体" w:eastAsia="黑体"/>
          <w:b w:val="0"/>
          <w:bCs w:val="0"/>
          <w:color w:val="auto"/>
          <w:highlight w:val="none"/>
        </w:rPr>
        <w:t>二、机构设置</w:t>
      </w:r>
      <w:bookmarkEnd w:id="26"/>
      <w:bookmarkEnd w:id="27"/>
      <w:bookmarkEnd w:id="28"/>
      <w:bookmarkStart w:id="31" w:name="_Toc11958"/>
    </w:p>
    <w:p>
      <w:pPr>
        <w:keepNext w:val="0"/>
        <w:keepLines w:val="0"/>
        <w:pageBreakBefore w:val="0"/>
        <w:widowControl w:val="0"/>
        <w:numPr>
          <w:ilvl w:val="0"/>
          <w:numId w:val="0"/>
        </w:numPr>
        <w:kinsoku/>
        <w:wordWrap/>
        <w:overflowPunct/>
        <w:topLinePunct w:val="0"/>
        <w:autoSpaceDE/>
        <w:autoSpaceDN/>
        <w:bidi w:val="0"/>
        <w:adjustRightInd w:val="0"/>
        <w:snapToGrid w:val="0"/>
        <w:spacing w:before="93" w:beforeLines="30" w:line="600" w:lineRule="exact"/>
        <w:ind w:firstLine="640" w:firstLineChars="200"/>
        <w:jc w:val="both"/>
        <w:textAlignment w:val="auto"/>
        <w:outlineLvl w:val="9"/>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乐山市沙湾区妇女联合会</w:t>
      </w:r>
      <w:r>
        <w:rPr>
          <w:rFonts w:hint="eastAsia" w:ascii="仿宋" w:hAnsi="仿宋" w:eastAsia="仿宋" w:cs="仿宋"/>
          <w:i w:val="0"/>
          <w:iCs w:val="0"/>
          <w:caps w:val="0"/>
          <w:spacing w:val="0"/>
          <w:sz w:val="32"/>
          <w:szCs w:val="32"/>
          <w:shd w:val="clear" w:fill="FFFFFF"/>
          <w:lang w:eastAsia="zh-CN"/>
        </w:rPr>
        <w:t>是一级预算单位</w:t>
      </w:r>
      <w:r>
        <w:rPr>
          <w:rFonts w:hint="eastAsia" w:ascii="sans-serif" w:hAnsi="sans-serif" w:eastAsia="宋体" w:cs="sans-serif"/>
          <w:i w:val="0"/>
          <w:iCs w:val="0"/>
          <w:caps w:val="0"/>
          <w:spacing w:val="0"/>
          <w:sz w:val="39"/>
          <w:szCs w:val="39"/>
          <w:shd w:val="clear" w:fill="FFFFFF"/>
          <w:lang w:eastAsia="zh-CN"/>
        </w:rPr>
        <w:t>，</w:t>
      </w:r>
      <w:r>
        <w:rPr>
          <w:rFonts w:hint="eastAsia" w:ascii="仿宋" w:hAnsi="仿宋" w:eastAsia="仿宋" w:cs="仿宋"/>
          <w:b w:val="0"/>
          <w:bCs/>
          <w:color w:val="auto"/>
          <w:sz w:val="32"/>
          <w:szCs w:val="32"/>
          <w:highlight w:val="none"/>
        </w:rPr>
        <w:t>下属二级单位</w:t>
      </w:r>
      <w:r>
        <w:rPr>
          <w:rFonts w:hint="eastAsia" w:ascii="仿宋" w:hAnsi="仿宋" w:eastAsia="仿宋" w:cs="仿宋"/>
          <w:b w:val="0"/>
          <w:bCs/>
          <w:color w:val="auto"/>
          <w:sz w:val="32"/>
          <w:szCs w:val="32"/>
          <w:highlight w:val="none"/>
          <w:lang w:val="en-US" w:eastAsia="zh-CN"/>
        </w:rPr>
        <w:t>1</w:t>
      </w:r>
      <w:r>
        <w:rPr>
          <w:rFonts w:hint="eastAsia" w:ascii="仿宋" w:hAnsi="仿宋" w:eastAsia="仿宋" w:cs="仿宋"/>
          <w:b w:val="0"/>
          <w:bCs/>
          <w:color w:val="auto"/>
          <w:sz w:val="32"/>
          <w:szCs w:val="32"/>
          <w:highlight w:val="none"/>
        </w:rPr>
        <w:t>个</w:t>
      </w:r>
      <w:r>
        <w:rPr>
          <w:rFonts w:hint="eastAsia" w:ascii="仿宋" w:hAnsi="仿宋" w:eastAsia="仿宋" w:cs="仿宋"/>
          <w:b w:val="0"/>
          <w:bCs/>
          <w:color w:val="auto"/>
          <w:sz w:val="32"/>
          <w:szCs w:val="32"/>
          <w:highlight w:val="none"/>
          <w:lang w:eastAsia="zh-CN"/>
        </w:rPr>
        <w:t>：妇女儿童活动中心（是</w:t>
      </w:r>
      <w:r>
        <w:rPr>
          <w:rFonts w:hint="eastAsia" w:ascii="仿宋" w:hAnsi="仿宋" w:eastAsia="仿宋" w:cs="仿宋"/>
          <w:b w:val="0"/>
          <w:bCs/>
          <w:color w:val="auto"/>
          <w:sz w:val="32"/>
          <w:szCs w:val="32"/>
          <w:highlight w:val="none"/>
        </w:rPr>
        <w:t>非独立核算的财政全额拨款事业单位</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rPr>
        <w:t>，其中行政单位</w:t>
      </w:r>
      <w:r>
        <w:rPr>
          <w:rFonts w:hint="eastAsia" w:ascii="仿宋" w:hAnsi="仿宋" w:eastAsia="仿宋" w:cs="仿宋"/>
          <w:b w:val="0"/>
          <w:bCs/>
          <w:color w:val="auto"/>
          <w:sz w:val="32"/>
          <w:szCs w:val="32"/>
          <w:highlight w:val="none"/>
          <w:lang w:val="en-US" w:eastAsia="zh-CN"/>
        </w:rPr>
        <w:t>0</w:t>
      </w:r>
      <w:r>
        <w:rPr>
          <w:rFonts w:hint="eastAsia" w:ascii="仿宋" w:hAnsi="仿宋" w:eastAsia="仿宋" w:cs="仿宋"/>
          <w:b w:val="0"/>
          <w:bCs/>
          <w:color w:val="auto"/>
          <w:sz w:val="32"/>
          <w:szCs w:val="32"/>
          <w:highlight w:val="none"/>
        </w:rPr>
        <w:t>个，参照公务员法管理的事业单位</w:t>
      </w:r>
      <w:r>
        <w:rPr>
          <w:rFonts w:hint="eastAsia" w:ascii="仿宋" w:hAnsi="仿宋" w:eastAsia="仿宋" w:cs="仿宋"/>
          <w:b w:val="0"/>
          <w:bCs/>
          <w:color w:val="auto"/>
          <w:sz w:val="32"/>
          <w:szCs w:val="32"/>
          <w:highlight w:val="none"/>
          <w:lang w:val="en-US" w:eastAsia="zh-CN"/>
        </w:rPr>
        <w:t>1</w:t>
      </w:r>
      <w:r>
        <w:rPr>
          <w:rFonts w:hint="eastAsia" w:ascii="仿宋" w:hAnsi="仿宋" w:eastAsia="仿宋" w:cs="仿宋"/>
          <w:b w:val="0"/>
          <w:bCs/>
          <w:color w:val="auto"/>
          <w:sz w:val="32"/>
          <w:szCs w:val="32"/>
          <w:highlight w:val="none"/>
        </w:rPr>
        <w:t>个，其他事业单位</w:t>
      </w:r>
      <w:r>
        <w:rPr>
          <w:rFonts w:hint="eastAsia" w:ascii="仿宋" w:hAnsi="仿宋" w:eastAsia="仿宋" w:cs="仿宋"/>
          <w:b w:val="0"/>
          <w:bCs/>
          <w:color w:val="auto"/>
          <w:sz w:val="32"/>
          <w:szCs w:val="32"/>
          <w:highlight w:val="none"/>
          <w:lang w:val="en-US" w:eastAsia="zh-CN"/>
        </w:rPr>
        <w:t>1</w:t>
      </w:r>
      <w:r>
        <w:rPr>
          <w:rFonts w:hint="eastAsia" w:ascii="仿宋" w:hAnsi="仿宋" w:eastAsia="仿宋" w:cs="仿宋"/>
          <w:b w:val="0"/>
          <w:bCs/>
          <w:color w:val="auto"/>
          <w:sz w:val="32"/>
          <w:szCs w:val="32"/>
          <w:highlight w:val="none"/>
        </w:rPr>
        <w:t>个。</w:t>
      </w:r>
    </w:p>
    <w:p>
      <w:pPr>
        <w:pStyle w:val="9"/>
        <w:adjustRightInd w:val="0"/>
        <w:snapToGrid w:val="0"/>
        <w:spacing w:before="93" w:line="600" w:lineRule="exact"/>
        <w:ind w:firstLine="672" w:firstLineChars="210"/>
        <w:rPr>
          <w:rFonts w:hint="default" w:ascii="仿宋" w:hAnsi="仿宋" w:eastAsia="仿宋" w:cs="Times New Roman"/>
          <w:color w:val="auto"/>
          <w:sz w:val="32"/>
          <w:szCs w:val="32"/>
          <w:highlight w:val="none"/>
          <w:lang w:val="en-US" w:eastAsia="zh-CN"/>
        </w:rPr>
      </w:pPr>
      <w:r>
        <w:rPr>
          <w:rFonts w:hint="eastAsia" w:ascii="仿宋" w:hAnsi="仿宋" w:eastAsia="仿宋"/>
          <w:color w:val="auto"/>
          <w:sz w:val="32"/>
          <w:szCs w:val="32"/>
          <w:highlight w:val="none"/>
          <w:lang w:val="en-US" w:eastAsia="zh-CN"/>
        </w:rPr>
        <w:t>无纳入乐山市沙湾区妇女联合会2021年度部门决算编制范围的二级预算单位。</w:t>
      </w:r>
    </w:p>
    <w:p>
      <w:pPr>
        <w:pStyle w:val="2"/>
        <w:rPr>
          <w:rFonts w:hint="eastAsia"/>
        </w:rPr>
      </w:pPr>
    </w:p>
    <w:p>
      <w:pPr>
        <w:pStyle w:val="4"/>
        <w:ind w:right="440"/>
        <w:jc w:val="center"/>
        <w:rPr>
          <w:rFonts w:hint="eastAsia" w:ascii="黑体" w:hAnsi="黑体" w:eastAsia="黑体"/>
          <w:b w:val="0"/>
          <w:bCs/>
          <w:color w:val="auto"/>
          <w:highlight w:val="none"/>
        </w:rPr>
      </w:pPr>
    </w:p>
    <w:p>
      <w:pPr>
        <w:pStyle w:val="4"/>
        <w:ind w:right="440"/>
        <w:jc w:val="center"/>
        <w:rPr>
          <w:rStyle w:val="37"/>
          <w:rFonts w:ascii="黑体" w:hAnsi="黑体" w:eastAsia="黑体"/>
          <w:b w:val="0"/>
          <w:bCs/>
          <w:color w:val="auto"/>
          <w:highlight w:val="none"/>
        </w:rPr>
      </w:pPr>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2021年度</w:t>
      </w:r>
      <w:r>
        <w:rPr>
          <w:rStyle w:val="37"/>
          <w:rFonts w:hint="eastAsia" w:ascii="黑体" w:hAnsi="黑体" w:eastAsia="黑体"/>
          <w:b w:val="0"/>
          <w:bCs/>
          <w:color w:val="auto"/>
          <w:highlight w:val="none"/>
          <w:lang w:eastAsia="zh-CN"/>
        </w:rPr>
        <w:t>单位</w:t>
      </w:r>
      <w:r>
        <w:rPr>
          <w:rStyle w:val="37"/>
          <w:rFonts w:hint="eastAsia" w:ascii="黑体" w:hAnsi="黑体" w:eastAsia="黑体"/>
          <w:b w:val="0"/>
          <w:bCs/>
          <w:color w:val="auto"/>
          <w:highlight w:val="none"/>
        </w:rPr>
        <w:t>决算情况说明</w:t>
      </w:r>
      <w:bookmarkEnd w:id="29"/>
      <w:bookmarkEnd w:id="30"/>
      <w:bookmarkEnd w:id="31"/>
    </w:p>
    <w:p>
      <w:pPr>
        <w:rPr>
          <w:color w:val="auto"/>
          <w:highlight w:val="none"/>
        </w:rPr>
      </w:pPr>
    </w:p>
    <w:p>
      <w:pPr>
        <w:pStyle w:val="36"/>
        <w:numPr>
          <w:ilvl w:val="0"/>
          <w:numId w:val="3"/>
        </w:numPr>
        <w:spacing w:line="600" w:lineRule="exact"/>
        <w:ind w:firstLineChars="0"/>
        <w:outlineLvl w:val="1"/>
        <w:rPr>
          <w:rStyle w:val="38"/>
          <w:rFonts w:ascii="黑体" w:hAnsi="黑体" w:eastAsia="黑体"/>
          <w:b w:val="0"/>
          <w:color w:val="auto"/>
          <w:highlight w:val="none"/>
        </w:rPr>
      </w:pPr>
      <w:bookmarkStart w:id="32" w:name="_Toc29866"/>
      <w:bookmarkStart w:id="33" w:name="_Toc15377205"/>
      <w:bookmarkStart w:id="34" w:name="_Toc15396603"/>
      <w:bookmarkStart w:id="35" w:name="_Toc951"/>
      <w:bookmarkStart w:id="36" w:name="_Toc15377226"/>
      <w:r>
        <w:rPr>
          <w:rFonts w:hint="eastAsia" w:ascii="黑体" w:hAnsi="黑体" w:eastAsia="黑体"/>
          <w:color w:val="auto"/>
          <w:sz w:val="32"/>
          <w:szCs w:val="32"/>
          <w:highlight w:val="none"/>
        </w:rPr>
        <w:t>收</w:t>
      </w:r>
      <w:r>
        <w:rPr>
          <w:rStyle w:val="38"/>
          <w:rFonts w:hint="eastAsia" w:ascii="黑体" w:hAnsi="黑体" w:eastAsia="黑体"/>
          <w:b w:val="0"/>
          <w:color w:val="auto"/>
          <w:highlight w:val="none"/>
        </w:rPr>
        <w:t>入支出决算总体情况说明</w:t>
      </w:r>
      <w:bookmarkEnd w:id="32"/>
      <w:bookmarkEnd w:id="33"/>
      <w:bookmarkEnd w:id="34"/>
      <w:bookmarkEnd w:id="35"/>
    </w:p>
    <w:p>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年度收入总计</w:t>
      </w:r>
      <w:r>
        <w:rPr>
          <w:rFonts w:hint="eastAsia" w:ascii="仿宋" w:hAnsi="仿宋" w:eastAsia="仿宋"/>
          <w:color w:val="auto"/>
          <w:sz w:val="32"/>
          <w:szCs w:val="32"/>
          <w:highlight w:val="none"/>
          <w:lang w:val="en-US" w:eastAsia="zh-CN"/>
        </w:rPr>
        <w:t>106.02</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106.02</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年相比，收入总计</w:t>
      </w:r>
      <w:r>
        <w:rPr>
          <w:rFonts w:hint="eastAsia" w:ascii="仿宋" w:hAnsi="仿宋" w:eastAsia="仿宋"/>
          <w:color w:val="auto"/>
          <w:sz w:val="32"/>
          <w:szCs w:val="32"/>
          <w:highlight w:val="none"/>
          <w:lang w:val="en-US" w:eastAsia="zh-CN"/>
        </w:rPr>
        <w:t>减少79.11</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下降42.73</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减少79.11</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下降42.73</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本年</w:t>
      </w:r>
      <w:r>
        <w:rPr>
          <w:rFonts w:hint="eastAsia" w:ascii="仿宋_GB2312" w:hAnsi="仿宋" w:eastAsia="仿宋_GB2312"/>
          <w:sz w:val="32"/>
          <w:szCs w:val="32"/>
          <w:lang w:val="en-US" w:eastAsia="zh-CN"/>
        </w:rPr>
        <w:t>项目支出减少</w:t>
      </w:r>
      <w:r>
        <w:rPr>
          <w:rFonts w:hint="eastAsia" w:ascii="仿宋" w:hAnsi="仿宋" w:eastAsia="仿宋"/>
          <w:color w:val="auto"/>
          <w:sz w:val="32"/>
          <w:szCs w:val="32"/>
          <w:highlight w:val="none"/>
        </w:rPr>
        <w:t>。</w:t>
      </w:r>
    </w:p>
    <w:p>
      <w:pPr>
        <w:pStyle w:val="8"/>
        <w:jc w:val="center"/>
        <w:rPr>
          <w:rFonts w:hint="eastAsia" w:eastAsia="宋体"/>
          <w:lang w:eastAsia="zh-CN"/>
        </w:rPr>
      </w:pPr>
      <w:r>
        <w:rPr>
          <w:rFonts w:hint="eastAsia" w:eastAsia="宋体"/>
          <w:lang w:eastAsia="zh-CN"/>
        </w:rPr>
        <w:drawing>
          <wp:inline distT="0" distB="0" distL="114300" distR="114300">
            <wp:extent cx="5080000" cy="3810000"/>
            <wp:effectExtent l="4445" t="4445" r="20955" b="14605"/>
            <wp:docPr id="2" name="图表 2" descr="7b0a202020202263686172745265734964223a202232303437313133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w:t>
      </w:r>
    </w:p>
    <w:p>
      <w:pPr>
        <w:pStyle w:val="8"/>
      </w:pPr>
    </w:p>
    <w:p>
      <w:pPr>
        <w:pStyle w:val="36"/>
        <w:numPr>
          <w:ilvl w:val="0"/>
          <w:numId w:val="3"/>
        </w:numPr>
        <w:spacing w:line="600" w:lineRule="exact"/>
        <w:ind w:firstLineChars="0"/>
        <w:outlineLvl w:val="1"/>
        <w:rPr>
          <w:rStyle w:val="38"/>
          <w:rFonts w:ascii="黑体" w:hAnsi="黑体" w:eastAsia="黑体"/>
          <w:b w:val="0"/>
          <w:color w:val="auto"/>
          <w:highlight w:val="none"/>
        </w:rPr>
      </w:pPr>
      <w:bookmarkStart w:id="37" w:name="_Toc2806"/>
      <w:bookmarkStart w:id="38" w:name="_Toc15377206"/>
      <w:bookmarkStart w:id="39" w:name="_Toc15396604"/>
      <w:bookmarkStart w:id="40" w:name="_Toc7480"/>
      <w:r>
        <w:rPr>
          <w:rFonts w:hint="eastAsia" w:ascii="黑体" w:hAnsi="黑体" w:eastAsia="黑体"/>
          <w:color w:val="auto"/>
          <w:sz w:val="32"/>
          <w:szCs w:val="32"/>
          <w:highlight w:val="none"/>
        </w:rPr>
        <w:t>收</w:t>
      </w:r>
      <w:r>
        <w:rPr>
          <w:rStyle w:val="38"/>
          <w:rFonts w:hint="eastAsia" w:ascii="黑体" w:hAnsi="黑体" w:eastAsia="黑体"/>
          <w:b w:val="0"/>
          <w:color w:val="auto"/>
          <w:highlight w:val="none"/>
        </w:rPr>
        <w:t>入决算情况说明</w:t>
      </w:r>
      <w:bookmarkEnd w:id="37"/>
      <w:bookmarkEnd w:id="38"/>
      <w:bookmarkEnd w:id="39"/>
      <w:bookmarkEnd w:id="40"/>
    </w:p>
    <w:p>
      <w:pPr>
        <w:spacing w:line="600" w:lineRule="exact"/>
        <w:ind w:firstLine="640" w:firstLineChars="200"/>
        <w:outlineLvl w:val="1"/>
        <w:rPr>
          <w:rFonts w:ascii="仿宋" w:hAnsi="仿宋" w:eastAsia="仿宋"/>
          <w:color w:val="auto"/>
          <w:sz w:val="32"/>
          <w:szCs w:val="32"/>
          <w:highlight w:val="none"/>
        </w:rPr>
      </w:pPr>
      <w:bookmarkStart w:id="41" w:name="_Toc23881"/>
      <w:bookmarkStart w:id="42" w:name="_Toc2183"/>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年本年收入合计</w:t>
      </w:r>
      <w:r>
        <w:rPr>
          <w:rFonts w:hint="eastAsia" w:ascii="仿宋" w:hAnsi="仿宋" w:eastAsia="仿宋"/>
          <w:color w:val="auto"/>
          <w:sz w:val="32"/>
          <w:szCs w:val="32"/>
          <w:highlight w:val="none"/>
          <w:lang w:val="en-US" w:eastAsia="zh-CN"/>
        </w:rPr>
        <w:t>106.02</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auto"/>
          <w:sz w:val="32"/>
          <w:szCs w:val="32"/>
          <w:highlight w:val="none"/>
          <w:lang w:val="en-US" w:eastAsia="zh-CN"/>
        </w:rPr>
        <w:t>106.02</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100.00</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国有资本经营预算财政拨款收入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；上级补助收入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；事业收入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；附属单位上缴收入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bookmarkEnd w:id="41"/>
      <w:bookmarkEnd w:id="42"/>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outlineLvl w:val="9"/>
        <w:rPr>
          <w:rFonts w:hint="eastAsia"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inline distT="0" distB="0" distL="114300" distR="114300">
            <wp:extent cx="5080000" cy="4195445"/>
            <wp:effectExtent l="4445" t="4445" r="20955" b="10160"/>
            <wp:docPr id="3" name="图表 3" descr="7b0a202020202263686172745265734964223a2022323034363938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图2：收入决算结构图</w:t>
      </w:r>
    </w:p>
    <w:p>
      <w:pPr>
        <w:pStyle w:val="8"/>
      </w:pPr>
    </w:p>
    <w:p>
      <w:pPr>
        <w:pStyle w:val="36"/>
        <w:numPr>
          <w:ilvl w:val="0"/>
          <w:numId w:val="3"/>
        </w:numPr>
        <w:spacing w:line="600" w:lineRule="exact"/>
        <w:ind w:firstLineChars="0"/>
        <w:outlineLvl w:val="1"/>
        <w:rPr>
          <w:rStyle w:val="38"/>
          <w:rFonts w:ascii="黑体" w:hAnsi="黑体" w:eastAsia="黑体"/>
          <w:b w:val="0"/>
          <w:color w:val="auto"/>
          <w:highlight w:val="none"/>
        </w:rPr>
      </w:pPr>
      <w:bookmarkStart w:id="43" w:name="_Toc15377207"/>
      <w:bookmarkStart w:id="44" w:name="_Toc9606"/>
      <w:bookmarkStart w:id="45" w:name="_Toc15396605"/>
      <w:bookmarkStart w:id="46" w:name="_Toc9130"/>
      <w:r>
        <w:rPr>
          <w:rFonts w:hint="eastAsia" w:ascii="黑体" w:hAnsi="黑体" w:eastAsia="黑体"/>
          <w:color w:val="auto"/>
          <w:sz w:val="32"/>
          <w:szCs w:val="32"/>
          <w:highlight w:val="none"/>
        </w:rPr>
        <w:t>支</w:t>
      </w:r>
      <w:r>
        <w:rPr>
          <w:rStyle w:val="38"/>
          <w:rFonts w:hint="eastAsia" w:ascii="黑体" w:hAnsi="黑体" w:eastAsia="黑体"/>
          <w:b w:val="0"/>
          <w:color w:val="auto"/>
          <w:highlight w:val="none"/>
        </w:rPr>
        <w:t>出决算情况说明</w:t>
      </w:r>
      <w:bookmarkEnd w:id="43"/>
      <w:bookmarkEnd w:id="44"/>
      <w:bookmarkEnd w:id="45"/>
      <w:bookmarkEnd w:id="46"/>
    </w:p>
    <w:p>
      <w:pPr>
        <w:spacing w:line="600" w:lineRule="exact"/>
        <w:ind w:firstLine="640" w:firstLineChars="200"/>
        <w:outlineLvl w:val="1"/>
        <w:rPr>
          <w:rFonts w:ascii="仿宋" w:hAnsi="仿宋" w:eastAsia="仿宋"/>
          <w:color w:val="auto"/>
          <w:sz w:val="32"/>
          <w:szCs w:val="32"/>
          <w:highlight w:val="none"/>
        </w:rPr>
      </w:pPr>
      <w:bookmarkStart w:id="47" w:name="_Toc26868"/>
      <w:bookmarkStart w:id="48" w:name="_Toc22321"/>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年本年支出合计</w:t>
      </w:r>
      <w:r>
        <w:rPr>
          <w:rFonts w:hint="eastAsia" w:ascii="仿宋" w:hAnsi="仿宋" w:eastAsia="仿宋"/>
          <w:color w:val="auto"/>
          <w:sz w:val="32"/>
          <w:szCs w:val="32"/>
          <w:highlight w:val="none"/>
          <w:lang w:val="en-US" w:eastAsia="zh-CN"/>
        </w:rPr>
        <w:t>99.72</w:t>
      </w:r>
      <w:r>
        <w:rPr>
          <w:rFonts w:hint="eastAsia" w:ascii="仿宋" w:hAnsi="仿宋" w:eastAsia="仿宋"/>
          <w:color w:val="auto"/>
          <w:sz w:val="32"/>
          <w:szCs w:val="32"/>
          <w:highlight w:val="none"/>
        </w:rPr>
        <w:t>万元，其中：基本支出</w:t>
      </w:r>
      <w:r>
        <w:rPr>
          <w:rFonts w:hint="eastAsia" w:ascii="仿宋" w:hAnsi="仿宋" w:eastAsia="仿宋"/>
          <w:color w:val="auto"/>
          <w:sz w:val="32"/>
          <w:szCs w:val="32"/>
          <w:highlight w:val="none"/>
          <w:lang w:val="en-US" w:eastAsia="zh-CN"/>
        </w:rPr>
        <w:t>82.32</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82.55</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w:t>
      </w:r>
      <w:r>
        <w:rPr>
          <w:rFonts w:hint="eastAsia" w:ascii="仿宋" w:hAnsi="仿宋" w:eastAsia="仿宋"/>
          <w:color w:val="auto"/>
          <w:sz w:val="32"/>
          <w:szCs w:val="32"/>
          <w:highlight w:val="none"/>
          <w:lang w:val="en-US" w:eastAsia="zh-CN"/>
        </w:rPr>
        <w:t>17.40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17.45</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；上缴上级支出</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；经营支出</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；对附属单位补助支出</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bookmarkEnd w:id="47"/>
      <w:bookmarkEnd w:id="48"/>
    </w:p>
    <w:p>
      <w:pPr>
        <w:keepNext w:val="0"/>
        <w:keepLines w:val="0"/>
        <w:pageBreakBefore w:val="0"/>
        <w:widowControl w:val="0"/>
        <w:kinsoku/>
        <w:wordWrap/>
        <w:overflowPunct/>
        <w:topLinePunct w:val="0"/>
        <w:autoSpaceDE/>
        <w:autoSpaceDN/>
        <w:bidi w:val="0"/>
        <w:adjustRightInd/>
        <w:snapToGrid/>
        <w:spacing w:line="240" w:lineRule="auto"/>
        <w:ind w:firstLine="641"/>
        <w:jc w:val="center"/>
        <w:textAlignment w:val="auto"/>
        <w:rPr>
          <w:rFonts w:ascii="仿宋" w:hAnsi="仿宋" w:eastAsia="仿宋"/>
          <w:color w:val="auto"/>
          <w:sz w:val="32"/>
          <w:szCs w:val="32"/>
          <w:highlight w:val="none"/>
          <w:shd w:val="pct10" w:color="auto" w:fill="FFFFFF"/>
        </w:rPr>
      </w:pPr>
      <w:r>
        <w:rPr>
          <w:rFonts w:hint="eastAsia" w:ascii="仿宋" w:hAnsi="仿宋" w:eastAsia="仿宋"/>
          <w:color w:val="auto"/>
          <w:sz w:val="32"/>
          <w:szCs w:val="32"/>
          <w:highlight w:val="none"/>
          <w:lang w:eastAsia="zh-CN"/>
        </w:rPr>
        <w:drawing>
          <wp:inline distT="0" distB="0" distL="114300" distR="114300">
            <wp:extent cx="4975225" cy="3799840"/>
            <wp:effectExtent l="4445" t="4445" r="11430" b="5715"/>
            <wp:docPr id="5" name="图表 5" descr="7b0a202020202263686172745265734964223a2022323034363938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图3：支出决算结构图</w:t>
      </w:r>
    </w:p>
    <w:p>
      <w:pPr>
        <w:pStyle w:val="8"/>
      </w:pPr>
    </w:p>
    <w:p>
      <w:pPr>
        <w:spacing w:line="600" w:lineRule="exact"/>
        <w:ind w:firstLine="640" w:firstLineChars="200"/>
        <w:outlineLvl w:val="1"/>
        <w:rPr>
          <w:rStyle w:val="38"/>
          <w:rFonts w:ascii="黑体" w:hAnsi="黑体" w:eastAsia="黑体"/>
          <w:b w:val="0"/>
          <w:color w:val="auto"/>
          <w:highlight w:val="none"/>
        </w:rPr>
      </w:pPr>
      <w:bookmarkStart w:id="49" w:name="_Toc15396606"/>
      <w:bookmarkStart w:id="50" w:name="_Toc15377208"/>
      <w:bookmarkStart w:id="51" w:name="_Toc27116"/>
      <w:bookmarkStart w:id="52" w:name="_Toc11386"/>
      <w:r>
        <w:rPr>
          <w:rFonts w:hint="eastAsia" w:ascii="黑体" w:hAnsi="黑体" w:eastAsia="黑体"/>
          <w:color w:val="auto"/>
          <w:sz w:val="32"/>
          <w:szCs w:val="32"/>
          <w:highlight w:val="none"/>
        </w:rPr>
        <w:t>四、财</w:t>
      </w:r>
      <w:r>
        <w:rPr>
          <w:rStyle w:val="38"/>
          <w:rFonts w:hint="eastAsia" w:ascii="黑体" w:hAnsi="黑体" w:eastAsia="黑体"/>
          <w:b w:val="0"/>
          <w:color w:val="auto"/>
          <w:highlight w:val="none"/>
        </w:rPr>
        <w:t>政拨款收入支出决算总体情况说明</w:t>
      </w:r>
      <w:bookmarkEnd w:id="49"/>
      <w:bookmarkEnd w:id="50"/>
      <w:bookmarkEnd w:id="51"/>
      <w:bookmarkEnd w:id="52"/>
    </w:p>
    <w:p>
      <w:pPr>
        <w:spacing w:line="600" w:lineRule="exact"/>
        <w:ind w:firstLine="640"/>
        <w:rPr>
          <w:rFonts w:ascii="仿宋" w:hAnsi="仿宋" w:eastAsia="仿宋"/>
          <w:b/>
          <w:color w:val="FF0000"/>
          <w:sz w:val="32"/>
          <w:szCs w:val="32"/>
          <w:highlight w:val="none"/>
        </w:rPr>
      </w:pPr>
      <w:r>
        <w:rPr>
          <w:rFonts w:hint="eastAsia" w:ascii="仿宋" w:hAnsi="仿宋" w:eastAsia="仿宋"/>
          <w:color w:val="auto"/>
          <w:sz w:val="32"/>
          <w:szCs w:val="32"/>
          <w:highlight w:val="none"/>
        </w:rPr>
        <w:t>202</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年财政拨款收入总计</w:t>
      </w:r>
      <w:r>
        <w:rPr>
          <w:rFonts w:hint="eastAsia" w:ascii="仿宋" w:hAnsi="仿宋" w:eastAsia="仿宋"/>
          <w:color w:val="auto"/>
          <w:sz w:val="32"/>
          <w:szCs w:val="32"/>
          <w:highlight w:val="none"/>
          <w:lang w:val="en-US" w:eastAsia="zh-CN"/>
        </w:rPr>
        <w:t>106.02</w:t>
      </w:r>
      <w:r>
        <w:rPr>
          <w:rFonts w:hint="eastAsia" w:ascii="仿宋" w:hAnsi="仿宋" w:eastAsia="仿宋"/>
          <w:color w:val="auto"/>
          <w:sz w:val="32"/>
          <w:szCs w:val="32"/>
          <w:highlight w:val="none"/>
        </w:rPr>
        <w:t>万元、支出总计</w:t>
      </w:r>
      <w:r>
        <w:rPr>
          <w:rFonts w:hint="eastAsia" w:ascii="仿宋" w:hAnsi="仿宋" w:eastAsia="仿宋"/>
          <w:color w:val="auto"/>
          <w:sz w:val="32"/>
          <w:szCs w:val="32"/>
          <w:highlight w:val="none"/>
          <w:lang w:val="en-US" w:eastAsia="zh-CN"/>
        </w:rPr>
        <w:t>106.02</w:t>
      </w:r>
      <w:r>
        <w:rPr>
          <w:rFonts w:hint="eastAsia" w:ascii="仿宋" w:hAnsi="仿宋" w:eastAsia="仿宋"/>
          <w:color w:val="auto"/>
          <w:sz w:val="32"/>
          <w:szCs w:val="32"/>
          <w:highlight w:val="none"/>
        </w:rPr>
        <w:t>万元。与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年相比，收入总计</w:t>
      </w:r>
      <w:r>
        <w:rPr>
          <w:rFonts w:hint="eastAsia" w:ascii="仿宋" w:hAnsi="仿宋" w:eastAsia="仿宋"/>
          <w:color w:val="auto"/>
          <w:sz w:val="32"/>
          <w:szCs w:val="32"/>
          <w:highlight w:val="none"/>
          <w:lang w:val="en-US" w:eastAsia="zh-CN"/>
        </w:rPr>
        <w:t>减少79.11</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下降42.73</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减少79.11</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下降42.73</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本年</w:t>
      </w:r>
      <w:r>
        <w:rPr>
          <w:rFonts w:hint="eastAsia" w:ascii="仿宋_GB2312" w:hAnsi="仿宋" w:eastAsia="仿宋_GB2312"/>
          <w:sz w:val="32"/>
          <w:szCs w:val="32"/>
          <w:lang w:val="en-US" w:eastAsia="zh-CN"/>
        </w:rPr>
        <w:t>项目支出减少</w:t>
      </w:r>
      <w:r>
        <w:rPr>
          <w:rFonts w:hint="eastAsia" w:ascii="仿宋" w:hAnsi="仿宋" w:eastAsia="仿宋"/>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color w:val="auto"/>
          <w:sz w:val="32"/>
          <w:szCs w:val="32"/>
          <w:highlight w:val="none"/>
        </w:rPr>
      </w:pPr>
      <w:r>
        <w:rPr>
          <w:rFonts w:hint="eastAsia" w:eastAsia="宋体"/>
          <w:lang w:eastAsia="zh-CN"/>
        </w:rPr>
        <w:drawing>
          <wp:inline distT="0" distB="0" distL="114300" distR="114300">
            <wp:extent cx="5080000" cy="3810000"/>
            <wp:effectExtent l="4445" t="4445" r="20955" b="14605"/>
            <wp:docPr id="6" name="图表 6" descr="7b0a202020202263686172745265734964223a202232303437313133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（图4：财政拨款收、支决算总计变动情况）（柱状图）</w:t>
      </w:r>
    </w:p>
    <w:p>
      <w:pPr>
        <w:spacing w:line="600" w:lineRule="exact"/>
        <w:ind w:firstLine="640"/>
        <w:rPr>
          <w:rFonts w:ascii="仿宋" w:hAnsi="仿宋" w:eastAsia="仿宋"/>
          <w:b/>
          <w:color w:val="auto"/>
          <w:sz w:val="32"/>
          <w:szCs w:val="32"/>
          <w:highlight w:val="none"/>
        </w:rPr>
      </w:pPr>
    </w:p>
    <w:p>
      <w:pPr>
        <w:spacing w:line="600" w:lineRule="exact"/>
        <w:ind w:firstLine="640" w:firstLineChars="200"/>
        <w:outlineLvl w:val="1"/>
        <w:rPr>
          <w:rStyle w:val="38"/>
          <w:rFonts w:ascii="黑体" w:hAnsi="黑体" w:eastAsia="黑体"/>
          <w:b w:val="0"/>
          <w:color w:val="auto"/>
          <w:highlight w:val="none"/>
        </w:rPr>
      </w:pPr>
      <w:bookmarkStart w:id="53" w:name="_Toc8430"/>
      <w:bookmarkStart w:id="54" w:name="_Toc15377209"/>
      <w:bookmarkStart w:id="55" w:name="_Toc26155"/>
      <w:bookmarkStart w:id="56" w:name="_Toc15396607"/>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38"/>
          <w:rFonts w:hint="eastAsia" w:ascii="黑体" w:hAnsi="黑体" w:eastAsia="黑体"/>
          <w:b w:val="0"/>
          <w:color w:val="auto"/>
          <w:highlight w:val="none"/>
        </w:rPr>
        <w:t>般公共预算财政拨款支出决算情况说明</w:t>
      </w:r>
      <w:bookmarkEnd w:id="53"/>
      <w:bookmarkEnd w:id="54"/>
      <w:bookmarkEnd w:id="55"/>
      <w:bookmarkEnd w:id="56"/>
    </w:p>
    <w:p>
      <w:pPr>
        <w:spacing w:line="600" w:lineRule="exact"/>
        <w:ind w:firstLine="643" w:firstLineChars="200"/>
        <w:outlineLvl w:val="2"/>
        <w:rPr>
          <w:rFonts w:ascii="仿宋" w:hAnsi="仿宋" w:eastAsia="仿宋"/>
          <w:b/>
          <w:color w:val="auto"/>
          <w:sz w:val="32"/>
          <w:szCs w:val="32"/>
          <w:highlight w:val="none"/>
        </w:rPr>
      </w:pPr>
      <w:bookmarkStart w:id="57" w:name="_Toc15377210"/>
      <w:r>
        <w:rPr>
          <w:rFonts w:hint="eastAsia" w:ascii="仿宋" w:hAnsi="仿宋" w:eastAsia="仿宋"/>
          <w:b/>
          <w:color w:val="auto"/>
          <w:sz w:val="32"/>
          <w:szCs w:val="32"/>
          <w:highlight w:val="none"/>
        </w:rPr>
        <w:t>（一）一般公共预算财政拨款支出决算总体情况</w:t>
      </w:r>
      <w:bookmarkEnd w:id="57"/>
    </w:p>
    <w:p>
      <w:pPr>
        <w:spacing w:line="600" w:lineRule="exact"/>
        <w:ind w:firstLine="640" w:firstLineChars="20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99.72</w:t>
      </w:r>
      <w:r>
        <w:rPr>
          <w:rFonts w:hint="eastAsia" w:ascii="仿宋" w:hAnsi="仿宋" w:eastAsia="仿宋"/>
          <w:color w:val="auto"/>
          <w:sz w:val="32"/>
          <w:szCs w:val="32"/>
          <w:highlight w:val="none"/>
        </w:rPr>
        <w:t>万元，占本年支出合计的</w:t>
      </w:r>
      <w:r>
        <w:rPr>
          <w:rFonts w:hint="eastAsia" w:ascii="仿宋" w:hAnsi="仿宋" w:eastAsia="仿宋"/>
          <w:color w:val="auto"/>
          <w:sz w:val="32"/>
          <w:szCs w:val="32"/>
          <w:highlight w:val="none"/>
          <w:lang w:val="en-US" w:eastAsia="zh-CN"/>
        </w:rPr>
        <w:t>100.00</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减少64.30</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下降39.20</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本年</w:t>
      </w:r>
      <w:r>
        <w:rPr>
          <w:rFonts w:hint="eastAsia" w:ascii="仿宋_GB2312" w:hAnsi="仿宋" w:eastAsia="仿宋_GB2312"/>
          <w:sz w:val="32"/>
          <w:szCs w:val="32"/>
          <w:lang w:val="en-US" w:eastAsia="zh-CN"/>
        </w:rPr>
        <w:t>项目支出减少</w:t>
      </w:r>
      <w:r>
        <w:rPr>
          <w:rFonts w:hint="eastAsia" w:ascii="仿宋" w:hAnsi="仿宋" w:eastAsia="仿宋"/>
          <w:color w:val="auto"/>
          <w:sz w:val="32"/>
          <w:szCs w:val="32"/>
          <w:highlight w:val="none"/>
        </w:rPr>
        <w:t>。</w:t>
      </w:r>
    </w:p>
    <w:p>
      <w:pPr>
        <w:pStyle w:val="8"/>
        <w:jc w:val="center"/>
      </w:pPr>
      <w:r>
        <w:rPr>
          <w:rFonts w:hint="eastAsia" w:eastAsia="宋体"/>
          <w:lang w:eastAsia="zh-CN"/>
        </w:rPr>
        <w:drawing>
          <wp:inline distT="0" distB="0" distL="114300" distR="114300">
            <wp:extent cx="5080000" cy="3810000"/>
            <wp:effectExtent l="4445" t="4445" r="20955" b="14605"/>
            <wp:docPr id="7" name="图表 7" descr="7b0a202020202263686172745265734964223a202232303437313133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w:t>
      </w:r>
    </w:p>
    <w:p>
      <w:pPr>
        <w:pStyle w:val="8"/>
      </w:pPr>
    </w:p>
    <w:p>
      <w:pPr>
        <w:spacing w:line="600" w:lineRule="exact"/>
        <w:ind w:firstLine="643" w:firstLineChars="200"/>
        <w:outlineLvl w:val="2"/>
        <w:rPr>
          <w:rFonts w:ascii="仿宋" w:hAnsi="仿宋" w:eastAsia="仿宋"/>
          <w:b/>
          <w:color w:val="auto"/>
          <w:sz w:val="32"/>
          <w:szCs w:val="32"/>
          <w:highlight w:val="none"/>
        </w:rPr>
      </w:pPr>
      <w:bookmarkStart w:id="58" w:name="_Toc15377211"/>
      <w:r>
        <w:rPr>
          <w:rFonts w:hint="eastAsia" w:ascii="仿宋" w:hAnsi="仿宋" w:eastAsia="仿宋"/>
          <w:b/>
          <w:color w:val="auto"/>
          <w:sz w:val="32"/>
          <w:szCs w:val="32"/>
          <w:highlight w:val="none"/>
        </w:rPr>
        <w:t>（二）一般公共预算财政拨款支出决算结构情况</w:t>
      </w:r>
      <w:bookmarkEnd w:id="58"/>
    </w:p>
    <w:p>
      <w:pPr>
        <w:spacing w:line="600" w:lineRule="exact"/>
        <w:ind w:firstLine="640"/>
        <w:rPr>
          <w:rFonts w:hint="default" w:ascii="仿宋" w:hAnsi="仿宋" w:eastAsia="仿宋"/>
          <w:b/>
          <w:color w:val="auto"/>
          <w:sz w:val="32"/>
          <w:szCs w:val="32"/>
          <w:highlight w:val="none"/>
          <w:lang w:val="en-US"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99.72</w:t>
      </w:r>
      <w:r>
        <w:rPr>
          <w:rFonts w:hint="eastAsia" w:ascii="仿宋" w:hAnsi="仿宋" w:eastAsia="仿宋"/>
          <w:color w:val="auto"/>
          <w:sz w:val="32"/>
          <w:szCs w:val="32"/>
          <w:highlight w:val="none"/>
        </w:rPr>
        <w:t>万元，主要用于以下方面</w:t>
      </w:r>
      <w:r>
        <w:rPr>
          <w:rFonts w:ascii="仿宋" w:hAnsi="仿宋" w:eastAsia="仿宋"/>
          <w:color w:val="auto"/>
          <w:sz w:val="32"/>
          <w:szCs w:val="32"/>
          <w:highlight w:val="none"/>
        </w:rPr>
        <w:t>:</w:t>
      </w:r>
      <w:r>
        <w:rPr>
          <w:rFonts w:hint="eastAsia" w:ascii="仿宋" w:hAnsi="仿宋" w:eastAsia="仿宋"/>
          <w:b/>
          <w:color w:val="auto"/>
          <w:sz w:val="32"/>
          <w:szCs w:val="32"/>
          <w:highlight w:val="none"/>
        </w:rPr>
        <w:t>一般公共服务支出（类）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85.88</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占86.13%；</w:t>
      </w:r>
      <w:r>
        <w:rPr>
          <w:rFonts w:hint="eastAsia" w:ascii="仿宋" w:hAnsi="仿宋" w:eastAsia="仿宋"/>
          <w:b/>
          <w:color w:val="auto"/>
          <w:sz w:val="32"/>
          <w:szCs w:val="32"/>
          <w:highlight w:val="none"/>
        </w:rPr>
        <w:t>社会保障和就业支出（类）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5.36</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占5.38%；</w:t>
      </w:r>
      <w:r>
        <w:rPr>
          <w:rFonts w:hint="eastAsia" w:ascii="仿宋" w:hAnsi="仿宋" w:eastAsia="仿宋"/>
          <w:b/>
          <w:color w:val="auto"/>
          <w:sz w:val="32"/>
          <w:szCs w:val="32"/>
          <w:highlight w:val="none"/>
        </w:rPr>
        <w:t>卫生健康支出（类）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2.07</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2.08</w:t>
      </w:r>
      <w:r>
        <w:rPr>
          <w:rFonts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w:t>
      </w:r>
      <w:r>
        <w:rPr>
          <w:rFonts w:hint="eastAsia" w:ascii="仿宋" w:hAnsi="仿宋" w:eastAsia="仿宋"/>
          <w:b/>
          <w:color w:val="auto"/>
          <w:sz w:val="32"/>
          <w:szCs w:val="32"/>
          <w:highlight w:val="none"/>
        </w:rPr>
        <w:t>住房保障支出（类）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6.40</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占6.42%。</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inline distT="0" distB="0" distL="114300" distR="114300">
            <wp:extent cx="5747385" cy="3982720"/>
            <wp:effectExtent l="4445" t="4445" r="20320" b="13335"/>
            <wp:docPr id="8" name="图表 8" descr="7b0a202020202263686172745265734964223a2022323034363938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（图6：一般公共预算财政拨款支出决算结构）（饼状图）</w:t>
      </w:r>
    </w:p>
    <w:p>
      <w:pPr>
        <w:spacing w:line="600" w:lineRule="exact"/>
        <w:ind w:firstLine="640" w:firstLineChars="200"/>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59" w:name="_Toc15377212"/>
      <w:r>
        <w:rPr>
          <w:rFonts w:hint="eastAsia" w:ascii="仿宋" w:hAnsi="仿宋" w:eastAsia="仿宋"/>
          <w:b/>
          <w:color w:val="auto"/>
          <w:sz w:val="32"/>
          <w:szCs w:val="32"/>
          <w:highlight w:val="none"/>
        </w:rPr>
        <w:t>（三）一般公共预算财政拨款支出决算具体情况</w:t>
      </w:r>
      <w:bookmarkEnd w:id="59"/>
    </w:p>
    <w:p>
      <w:pPr>
        <w:spacing w:line="600" w:lineRule="exact"/>
        <w:ind w:firstLine="643" w:firstLineChars="200"/>
        <w:outlineLvl w:val="2"/>
        <w:rPr>
          <w:rFonts w:ascii="仿宋" w:hAnsi="仿宋" w:eastAsia="仿宋"/>
          <w:color w:val="auto"/>
          <w:sz w:val="32"/>
          <w:szCs w:val="32"/>
          <w:highlight w:val="none"/>
        </w:rPr>
      </w:pPr>
      <w:bookmarkStart w:id="60" w:name="_Toc15377213"/>
      <w:bookmarkStart w:id="61" w:name="_Toc15378460"/>
      <w:bookmarkStart w:id="62" w:name="_Toc15377444"/>
      <w:r>
        <w:rPr>
          <w:rFonts w:hint="eastAsia"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21</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w:t>
      </w:r>
      <w:r>
        <w:rPr>
          <w:rFonts w:hint="eastAsia" w:ascii="仿宋" w:hAnsi="仿宋" w:eastAsia="仿宋"/>
          <w:color w:val="auto"/>
          <w:sz w:val="32"/>
          <w:szCs w:val="32"/>
          <w:highlight w:val="none"/>
          <w:lang w:val="en-US" w:eastAsia="zh-CN"/>
        </w:rPr>
        <w:t>99.72万元</w:t>
      </w:r>
      <w:r>
        <w:rPr>
          <w:rFonts w:hint="eastAsia" w:ascii="仿宋" w:hAnsi="仿宋" w:eastAsia="仿宋"/>
          <w:color w:val="auto"/>
          <w:sz w:val="32"/>
          <w:szCs w:val="32"/>
          <w:highlight w:val="none"/>
        </w:rPr>
        <w:t>，</w:t>
      </w:r>
      <w:r>
        <w:rPr>
          <w:rStyle w:val="25"/>
          <w:rFonts w:hint="eastAsia" w:ascii="仿宋" w:hAnsi="仿宋" w:eastAsia="仿宋"/>
          <w:bCs/>
          <w:color w:val="auto"/>
          <w:sz w:val="32"/>
          <w:szCs w:val="32"/>
          <w:highlight w:val="none"/>
        </w:rPr>
        <w:t>完成预算</w:t>
      </w:r>
      <w:r>
        <w:rPr>
          <w:rStyle w:val="25"/>
          <w:rFonts w:hint="eastAsia" w:ascii="仿宋" w:hAnsi="仿宋" w:eastAsia="仿宋"/>
          <w:bCs/>
          <w:color w:val="auto"/>
          <w:sz w:val="32"/>
          <w:szCs w:val="32"/>
          <w:highlight w:val="none"/>
          <w:lang w:val="en-US" w:eastAsia="zh-CN"/>
        </w:rPr>
        <w:t>100.00</w:t>
      </w:r>
      <w:r>
        <w:rPr>
          <w:rStyle w:val="25"/>
          <w:rFonts w:ascii="仿宋" w:hAnsi="仿宋" w:eastAsia="仿宋"/>
          <w:bCs/>
          <w:color w:val="auto"/>
          <w:sz w:val="32"/>
          <w:szCs w:val="32"/>
          <w:highlight w:val="none"/>
        </w:rPr>
        <w:t>%</w:t>
      </w:r>
      <w:r>
        <w:rPr>
          <w:rStyle w:val="25"/>
          <w:rFonts w:hint="eastAsia" w:ascii="仿宋" w:hAnsi="仿宋" w:eastAsia="仿宋"/>
          <w:bCs/>
          <w:color w:val="auto"/>
          <w:sz w:val="32"/>
          <w:szCs w:val="32"/>
          <w:highlight w:val="none"/>
        </w:rPr>
        <w:t>。其中：</w:t>
      </w:r>
      <w:bookmarkEnd w:id="60"/>
      <w:bookmarkEnd w:id="61"/>
      <w:bookmarkEnd w:id="62"/>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一般公共服务支出</w:t>
      </w:r>
      <w:r>
        <w:rPr>
          <w:rFonts w:hint="eastAsia" w:ascii="仿宋" w:hAnsi="仿宋" w:eastAsia="仿宋"/>
          <w:b/>
          <w:color w:val="auto"/>
          <w:sz w:val="32"/>
          <w:szCs w:val="32"/>
          <w:highlight w:val="none"/>
          <w:lang w:eastAsia="zh-CN"/>
        </w:rPr>
        <w:t>（</w:t>
      </w:r>
      <w:r>
        <w:rPr>
          <w:rFonts w:hint="eastAsia" w:ascii="仿宋" w:hAnsi="仿宋" w:eastAsia="仿宋"/>
          <w:b/>
          <w:color w:val="auto"/>
          <w:sz w:val="32"/>
          <w:szCs w:val="32"/>
          <w:highlight w:val="none"/>
          <w:lang w:val="en-US" w:eastAsia="zh-CN"/>
        </w:rPr>
        <w:t>201</w:t>
      </w:r>
      <w:r>
        <w:rPr>
          <w:rFonts w:hint="eastAsia" w:ascii="仿宋" w:hAnsi="仿宋" w:eastAsia="仿宋"/>
          <w:b/>
          <w:color w:val="auto"/>
          <w:sz w:val="32"/>
          <w:szCs w:val="32"/>
          <w:highlight w:val="none"/>
          <w:lang w:eastAsia="zh-CN"/>
        </w:rPr>
        <w:t>）人大事务（</w:t>
      </w:r>
      <w:r>
        <w:rPr>
          <w:rFonts w:hint="eastAsia" w:ascii="仿宋" w:hAnsi="仿宋" w:eastAsia="仿宋"/>
          <w:b/>
          <w:color w:val="auto"/>
          <w:sz w:val="32"/>
          <w:szCs w:val="32"/>
          <w:highlight w:val="none"/>
          <w:lang w:val="en-US" w:eastAsia="zh-CN"/>
        </w:rPr>
        <w:t>01</w:t>
      </w:r>
      <w:r>
        <w:rPr>
          <w:rFonts w:hint="eastAsia" w:ascii="仿宋" w:hAnsi="仿宋" w:eastAsia="仿宋"/>
          <w:b/>
          <w:color w:val="auto"/>
          <w:sz w:val="32"/>
          <w:szCs w:val="32"/>
          <w:highlight w:val="none"/>
          <w:lang w:eastAsia="zh-CN"/>
        </w:rPr>
        <w:t>）一般行政管理事务（</w:t>
      </w:r>
      <w:r>
        <w:rPr>
          <w:rFonts w:hint="eastAsia" w:ascii="仿宋" w:hAnsi="仿宋" w:eastAsia="仿宋"/>
          <w:b/>
          <w:color w:val="auto"/>
          <w:sz w:val="32"/>
          <w:szCs w:val="32"/>
          <w:highlight w:val="none"/>
          <w:lang w:val="en-US" w:eastAsia="zh-CN"/>
        </w:rPr>
        <w:t>02</w:t>
      </w:r>
      <w:r>
        <w:rPr>
          <w:rFonts w:hint="eastAsia" w:ascii="仿宋" w:hAnsi="仿宋" w:eastAsia="仿宋"/>
          <w:b/>
          <w:color w:val="auto"/>
          <w:sz w:val="32"/>
          <w:szCs w:val="32"/>
          <w:highlight w:val="none"/>
          <w:lang w:eastAsia="zh-CN"/>
        </w:rPr>
        <w:t>）</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Fonts w:hint="eastAsia" w:ascii="仿宋" w:hAnsi="仿宋" w:eastAsia="仿宋"/>
          <w:color w:val="auto"/>
          <w:sz w:val="32"/>
          <w:szCs w:val="32"/>
          <w:lang w:val="en-US" w:eastAsia="zh-CN"/>
        </w:rPr>
        <w:t>4.00</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一般公共服务支出</w:t>
      </w:r>
      <w:r>
        <w:rPr>
          <w:rFonts w:hint="eastAsia" w:ascii="仿宋" w:hAnsi="仿宋" w:eastAsia="仿宋"/>
          <w:b/>
          <w:color w:val="auto"/>
          <w:sz w:val="32"/>
          <w:szCs w:val="32"/>
          <w:highlight w:val="none"/>
          <w:lang w:eastAsia="zh-CN"/>
        </w:rPr>
        <w:t>（</w:t>
      </w:r>
      <w:r>
        <w:rPr>
          <w:rFonts w:hint="eastAsia" w:ascii="仿宋" w:hAnsi="仿宋" w:eastAsia="仿宋"/>
          <w:b/>
          <w:color w:val="auto"/>
          <w:sz w:val="32"/>
          <w:szCs w:val="32"/>
          <w:highlight w:val="none"/>
          <w:lang w:val="en-US" w:eastAsia="zh-CN"/>
        </w:rPr>
        <w:t>201</w:t>
      </w:r>
      <w:r>
        <w:rPr>
          <w:rFonts w:hint="eastAsia" w:ascii="仿宋" w:hAnsi="仿宋" w:eastAsia="仿宋"/>
          <w:b/>
          <w:color w:val="auto"/>
          <w:sz w:val="32"/>
          <w:szCs w:val="32"/>
          <w:highlight w:val="none"/>
          <w:lang w:eastAsia="zh-CN"/>
        </w:rPr>
        <w:t>）群众团体事务（</w:t>
      </w:r>
      <w:r>
        <w:rPr>
          <w:rFonts w:hint="eastAsia" w:ascii="仿宋" w:hAnsi="仿宋" w:eastAsia="仿宋"/>
          <w:b/>
          <w:color w:val="auto"/>
          <w:sz w:val="32"/>
          <w:szCs w:val="32"/>
          <w:highlight w:val="none"/>
          <w:lang w:val="en-US" w:eastAsia="zh-CN"/>
        </w:rPr>
        <w:t>29</w:t>
      </w:r>
      <w:r>
        <w:rPr>
          <w:rFonts w:hint="eastAsia" w:ascii="仿宋" w:hAnsi="仿宋" w:eastAsia="仿宋"/>
          <w:b/>
          <w:color w:val="auto"/>
          <w:sz w:val="32"/>
          <w:szCs w:val="32"/>
          <w:highlight w:val="none"/>
          <w:lang w:eastAsia="zh-CN"/>
        </w:rPr>
        <w:t>）行政运行（</w:t>
      </w:r>
      <w:r>
        <w:rPr>
          <w:rFonts w:hint="eastAsia" w:ascii="仿宋" w:hAnsi="仿宋" w:eastAsia="仿宋"/>
          <w:b/>
          <w:color w:val="auto"/>
          <w:sz w:val="32"/>
          <w:szCs w:val="32"/>
          <w:highlight w:val="none"/>
          <w:lang w:val="en-US" w:eastAsia="zh-CN"/>
        </w:rPr>
        <w:t>01</w:t>
      </w:r>
      <w:r>
        <w:rPr>
          <w:rFonts w:hint="eastAsia" w:ascii="仿宋" w:hAnsi="仿宋" w:eastAsia="仿宋"/>
          <w:b/>
          <w:color w:val="auto"/>
          <w:sz w:val="32"/>
          <w:szCs w:val="32"/>
          <w:highlight w:val="none"/>
          <w:lang w:eastAsia="zh-CN"/>
        </w:rPr>
        <w:t>）</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Fonts w:hint="eastAsia" w:ascii="仿宋" w:hAnsi="仿宋" w:eastAsia="仿宋"/>
          <w:color w:val="auto"/>
          <w:sz w:val="32"/>
          <w:szCs w:val="32"/>
          <w:lang w:val="en-US" w:eastAsia="zh-CN"/>
        </w:rPr>
        <w:t>62.65</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一般公共服务支出</w:t>
      </w:r>
      <w:r>
        <w:rPr>
          <w:rFonts w:hint="eastAsia" w:ascii="仿宋" w:hAnsi="仿宋" w:eastAsia="仿宋"/>
          <w:b/>
          <w:color w:val="auto"/>
          <w:sz w:val="32"/>
          <w:szCs w:val="32"/>
          <w:highlight w:val="none"/>
          <w:lang w:eastAsia="zh-CN"/>
        </w:rPr>
        <w:t>（</w:t>
      </w:r>
      <w:r>
        <w:rPr>
          <w:rFonts w:hint="eastAsia" w:ascii="仿宋" w:hAnsi="仿宋" w:eastAsia="仿宋"/>
          <w:b/>
          <w:color w:val="auto"/>
          <w:sz w:val="32"/>
          <w:szCs w:val="32"/>
          <w:highlight w:val="none"/>
          <w:lang w:val="en-US" w:eastAsia="zh-CN"/>
        </w:rPr>
        <w:t>201</w:t>
      </w:r>
      <w:r>
        <w:rPr>
          <w:rFonts w:hint="eastAsia" w:ascii="仿宋" w:hAnsi="仿宋" w:eastAsia="仿宋"/>
          <w:b/>
          <w:color w:val="auto"/>
          <w:sz w:val="32"/>
          <w:szCs w:val="32"/>
          <w:highlight w:val="none"/>
          <w:lang w:eastAsia="zh-CN"/>
        </w:rPr>
        <w:t>）群众团体事务（</w:t>
      </w:r>
      <w:r>
        <w:rPr>
          <w:rFonts w:hint="eastAsia" w:ascii="仿宋" w:hAnsi="仿宋" w:eastAsia="仿宋"/>
          <w:b/>
          <w:color w:val="auto"/>
          <w:sz w:val="32"/>
          <w:szCs w:val="32"/>
          <w:highlight w:val="none"/>
          <w:lang w:val="en-US" w:eastAsia="zh-CN"/>
        </w:rPr>
        <w:t>29</w:t>
      </w:r>
      <w:r>
        <w:rPr>
          <w:rFonts w:hint="eastAsia" w:ascii="仿宋" w:hAnsi="仿宋" w:eastAsia="仿宋"/>
          <w:b/>
          <w:color w:val="auto"/>
          <w:sz w:val="32"/>
          <w:szCs w:val="32"/>
          <w:highlight w:val="none"/>
          <w:lang w:eastAsia="zh-CN"/>
        </w:rPr>
        <w:t>）一般行政管理事务（</w:t>
      </w:r>
      <w:r>
        <w:rPr>
          <w:rFonts w:hint="eastAsia" w:ascii="仿宋" w:hAnsi="仿宋" w:eastAsia="仿宋"/>
          <w:b/>
          <w:color w:val="auto"/>
          <w:sz w:val="32"/>
          <w:szCs w:val="32"/>
          <w:highlight w:val="none"/>
          <w:lang w:val="en-US" w:eastAsia="zh-CN"/>
        </w:rPr>
        <w:t>02</w:t>
      </w:r>
      <w:r>
        <w:rPr>
          <w:rFonts w:hint="eastAsia" w:ascii="仿宋" w:hAnsi="仿宋" w:eastAsia="仿宋"/>
          <w:b/>
          <w:color w:val="auto"/>
          <w:sz w:val="32"/>
          <w:szCs w:val="32"/>
          <w:highlight w:val="none"/>
          <w:lang w:eastAsia="zh-CN"/>
        </w:rPr>
        <w:t>）</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Fonts w:hint="eastAsia" w:ascii="仿宋" w:hAnsi="仿宋" w:eastAsia="仿宋"/>
          <w:color w:val="auto"/>
          <w:sz w:val="32"/>
          <w:szCs w:val="32"/>
          <w:lang w:val="en-US" w:eastAsia="zh-CN"/>
        </w:rPr>
        <w:t>6.12</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一般公共服务支出</w:t>
      </w:r>
      <w:r>
        <w:rPr>
          <w:rFonts w:hint="eastAsia" w:ascii="仿宋" w:hAnsi="仿宋" w:eastAsia="仿宋"/>
          <w:b/>
          <w:color w:val="auto"/>
          <w:sz w:val="32"/>
          <w:szCs w:val="32"/>
          <w:highlight w:val="none"/>
          <w:lang w:eastAsia="zh-CN"/>
        </w:rPr>
        <w:t>（</w:t>
      </w:r>
      <w:r>
        <w:rPr>
          <w:rFonts w:hint="eastAsia" w:ascii="仿宋" w:hAnsi="仿宋" w:eastAsia="仿宋"/>
          <w:b/>
          <w:color w:val="auto"/>
          <w:sz w:val="32"/>
          <w:szCs w:val="32"/>
          <w:highlight w:val="none"/>
          <w:lang w:val="en-US" w:eastAsia="zh-CN"/>
        </w:rPr>
        <w:t>201</w:t>
      </w:r>
      <w:r>
        <w:rPr>
          <w:rFonts w:hint="eastAsia" w:ascii="仿宋" w:hAnsi="仿宋" w:eastAsia="仿宋"/>
          <w:b/>
          <w:color w:val="auto"/>
          <w:sz w:val="32"/>
          <w:szCs w:val="32"/>
          <w:highlight w:val="none"/>
          <w:lang w:eastAsia="zh-CN"/>
        </w:rPr>
        <w:t>）群众团体事务（</w:t>
      </w:r>
      <w:r>
        <w:rPr>
          <w:rFonts w:hint="eastAsia" w:ascii="仿宋" w:hAnsi="仿宋" w:eastAsia="仿宋"/>
          <w:b/>
          <w:color w:val="auto"/>
          <w:sz w:val="32"/>
          <w:szCs w:val="32"/>
          <w:highlight w:val="none"/>
          <w:lang w:val="en-US" w:eastAsia="zh-CN"/>
        </w:rPr>
        <w:t>29</w:t>
      </w:r>
      <w:r>
        <w:rPr>
          <w:rFonts w:hint="eastAsia" w:ascii="仿宋" w:hAnsi="仿宋" w:eastAsia="仿宋"/>
          <w:b/>
          <w:color w:val="auto"/>
          <w:sz w:val="32"/>
          <w:szCs w:val="32"/>
          <w:highlight w:val="none"/>
          <w:lang w:eastAsia="zh-CN"/>
        </w:rPr>
        <w:t>）事业运行（</w:t>
      </w:r>
      <w:r>
        <w:rPr>
          <w:rFonts w:hint="eastAsia" w:ascii="仿宋" w:hAnsi="仿宋" w:eastAsia="仿宋"/>
          <w:b/>
          <w:color w:val="auto"/>
          <w:sz w:val="32"/>
          <w:szCs w:val="32"/>
          <w:highlight w:val="none"/>
          <w:lang w:val="en-US" w:eastAsia="zh-CN"/>
        </w:rPr>
        <w:t>50</w:t>
      </w:r>
      <w:r>
        <w:rPr>
          <w:rFonts w:hint="eastAsia" w:ascii="仿宋" w:hAnsi="仿宋" w:eastAsia="仿宋"/>
          <w:b/>
          <w:color w:val="auto"/>
          <w:sz w:val="32"/>
          <w:szCs w:val="32"/>
          <w:highlight w:val="none"/>
          <w:lang w:eastAsia="zh-CN"/>
        </w:rPr>
        <w:t>）</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Fonts w:hint="eastAsia" w:ascii="仿宋" w:hAnsi="仿宋" w:eastAsia="仿宋"/>
          <w:color w:val="auto"/>
          <w:sz w:val="32"/>
          <w:szCs w:val="32"/>
          <w:lang w:val="en-US" w:eastAsia="zh-CN"/>
        </w:rPr>
        <w:t>5.84</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一般公共服务支出</w:t>
      </w:r>
      <w:r>
        <w:rPr>
          <w:rFonts w:hint="eastAsia" w:ascii="仿宋" w:hAnsi="仿宋" w:eastAsia="仿宋"/>
          <w:b/>
          <w:color w:val="auto"/>
          <w:sz w:val="32"/>
          <w:szCs w:val="32"/>
          <w:highlight w:val="none"/>
          <w:lang w:eastAsia="zh-CN"/>
        </w:rPr>
        <w:t>（</w:t>
      </w:r>
      <w:r>
        <w:rPr>
          <w:rFonts w:hint="eastAsia" w:ascii="仿宋" w:hAnsi="仿宋" w:eastAsia="仿宋"/>
          <w:b/>
          <w:color w:val="auto"/>
          <w:sz w:val="32"/>
          <w:szCs w:val="32"/>
          <w:highlight w:val="none"/>
          <w:lang w:val="en-US" w:eastAsia="zh-CN"/>
        </w:rPr>
        <w:t>201</w:t>
      </w:r>
      <w:r>
        <w:rPr>
          <w:rFonts w:hint="eastAsia" w:ascii="仿宋" w:hAnsi="仿宋" w:eastAsia="仿宋"/>
          <w:b/>
          <w:color w:val="auto"/>
          <w:sz w:val="32"/>
          <w:szCs w:val="32"/>
          <w:highlight w:val="none"/>
          <w:lang w:eastAsia="zh-CN"/>
        </w:rPr>
        <w:t>）群众团体事务（</w:t>
      </w:r>
      <w:r>
        <w:rPr>
          <w:rFonts w:hint="eastAsia" w:ascii="仿宋" w:hAnsi="仿宋" w:eastAsia="仿宋"/>
          <w:b/>
          <w:color w:val="auto"/>
          <w:sz w:val="32"/>
          <w:szCs w:val="32"/>
          <w:highlight w:val="none"/>
          <w:lang w:val="en-US" w:eastAsia="zh-CN"/>
        </w:rPr>
        <w:t>29</w:t>
      </w:r>
      <w:r>
        <w:rPr>
          <w:rFonts w:hint="eastAsia" w:ascii="仿宋" w:hAnsi="仿宋" w:eastAsia="仿宋"/>
          <w:b/>
          <w:color w:val="auto"/>
          <w:sz w:val="32"/>
          <w:szCs w:val="32"/>
          <w:highlight w:val="none"/>
          <w:lang w:eastAsia="zh-CN"/>
        </w:rPr>
        <w:t>）其他群众团体事务支出（</w:t>
      </w:r>
      <w:r>
        <w:rPr>
          <w:rFonts w:hint="eastAsia" w:ascii="仿宋" w:hAnsi="仿宋" w:eastAsia="仿宋"/>
          <w:b/>
          <w:color w:val="auto"/>
          <w:sz w:val="32"/>
          <w:szCs w:val="32"/>
          <w:highlight w:val="none"/>
          <w:lang w:val="en-US" w:eastAsia="zh-CN"/>
        </w:rPr>
        <w:t>99</w:t>
      </w:r>
      <w:r>
        <w:rPr>
          <w:rFonts w:hint="eastAsia" w:ascii="仿宋" w:hAnsi="仿宋" w:eastAsia="仿宋"/>
          <w:b/>
          <w:color w:val="auto"/>
          <w:sz w:val="32"/>
          <w:szCs w:val="32"/>
          <w:highlight w:val="none"/>
          <w:lang w:eastAsia="zh-CN"/>
        </w:rPr>
        <w:t>）</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Fonts w:hint="eastAsia" w:ascii="仿宋" w:hAnsi="仿宋" w:eastAsia="仿宋"/>
          <w:color w:val="auto"/>
          <w:sz w:val="32"/>
          <w:szCs w:val="32"/>
          <w:lang w:val="en-US" w:eastAsia="zh-CN"/>
        </w:rPr>
        <w:t>7.28</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社会保障和就业支出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208</w:t>
      </w:r>
      <w:r>
        <w:rPr>
          <w:rFonts w:hint="eastAsia" w:ascii="仿宋" w:hAnsi="仿宋" w:eastAsia="仿宋"/>
          <w:b/>
          <w:bCs w:val="0"/>
          <w:color w:val="auto"/>
          <w:sz w:val="32"/>
          <w:szCs w:val="32"/>
          <w:lang w:eastAsia="zh-CN"/>
        </w:rPr>
        <w:t>）行政事业单位养老支出（</w:t>
      </w:r>
      <w:r>
        <w:rPr>
          <w:rFonts w:hint="eastAsia" w:ascii="仿宋" w:hAnsi="仿宋" w:eastAsia="仿宋"/>
          <w:b/>
          <w:bCs w:val="0"/>
          <w:color w:val="auto"/>
          <w:sz w:val="32"/>
          <w:szCs w:val="32"/>
          <w:lang w:val="en-US" w:eastAsia="zh-CN"/>
        </w:rPr>
        <w:t>05</w:t>
      </w:r>
      <w:r>
        <w:rPr>
          <w:rFonts w:hint="eastAsia" w:ascii="仿宋" w:hAnsi="仿宋" w:eastAsia="仿宋"/>
          <w:b/>
          <w:bCs w:val="0"/>
          <w:color w:val="auto"/>
          <w:sz w:val="32"/>
          <w:szCs w:val="32"/>
          <w:lang w:eastAsia="zh-CN"/>
        </w:rPr>
        <w:t>）机关事业单位基本养老保险缴费支出（</w:t>
      </w:r>
      <w:r>
        <w:rPr>
          <w:rFonts w:hint="eastAsia" w:ascii="仿宋" w:hAnsi="仿宋" w:eastAsia="仿宋"/>
          <w:b/>
          <w:bCs w:val="0"/>
          <w:color w:val="auto"/>
          <w:sz w:val="32"/>
          <w:szCs w:val="32"/>
          <w:lang w:val="en-US" w:eastAsia="zh-CN"/>
        </w:rPr>
        <w:t>05</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Fonts w:hint="eastAsia" w:ascii="仿宋" w:hAnsi="仿宋" w:eastAsia="仿宋"/>
          <w:color w:val="auto"/>
          <w:sz w:val="32"/>
          <w:szCs w:val="32"/>
          <w:lang w:val="en-US" w:eastAsia="zh-CN"/>
        </w:rPr>
        <w:t>5.10</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社会保障和就业支出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208</w:t>
      </w:r>
      <w:r>
        <w:rPr>
          <w:rFonts w:hint="eastAsia" w:ascii="仿宋" w:hAnsi="仿宋" w:eastAsia="仿宋"/>
          <w:b/>
          <w:bCs w:val="0"/>
          <w:color w:val="auto"/>
          <w:sz w:val="32"/>
          <w:szCs w:val="32"/>
          <w:lang w:eastAsia="zh-CN"/>
        </w:rPr>
        <w:t>）其他社会保障和就业支出（</w:t>
      </w:r>
      <w:r>
        <w:rPr>
          <w:rFonts w:hint="eastAsia" w:ascii="仿宋" w:hAnsi="仿宋" w:eastAsia="仿宋"/>
          <w:b/>
          <w:bCs w:val="0"/>
          <w:color w:val="auto"/>
          <w:sz w:val="32"/>
          <w:szCs w:val="32"/>
          <w:lang w:val="en-US" w:eastAsia="zh-CN"/>
        </w:rPr>
        <w:t>99</w:t>
      </w:r>
      <w:r>
        <w:rPr>
          <w:rFonts w:hint="eastAsia" w:ascii="仿宋" w:hAnsi="仿宋" w:eastAsia="仿宋"/>
          <w:b/>
          <w:bCs w:val="0"/>
          <w:color w:val="auto"/>
          <w:sz w:val="32"/>
          <w:szCs w:val="32"/>
          <w:lang w:eastAsia="zh-CN"/>
        </w:rPr>
        <w:t>）其他社会保障和就业支出（</w:t>
      </w:r>
      <w:r>
        <w:rPr>
          <w:rFonts w:hint="eastAsia" w:ascii="仿宋" w:hAnsi="仿宋" w:eastAsia="仿宋"/>
          <w:b/>
          <w:bCs w:val="0"/>
          <w:color w:val="auto"/>
          <w:sz w:val="32"/>
          <w:szCs w:val="32"/>
          <w:lang w:val="en-US" w:eastAsia="zh-CN"/>
        </w:rPr>
        <w:t>99</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Style w:val="25"/>
          <w:rFonts w:hint="eastAsia" w:ascii="仿宋" w:hAnsi="仿宋" w:eastAsia="仿宋"/>
          <w:b w:val="0"/>
          <w:bCs/>
          <w:color w:val="auto"/>
          <w:sz w:val="32"/>
          <w:szCs w:val="32"/>
          <w:lang w:val="en-US" w:eastAsia="zh-CN"/>
        </w:rPr>
        <w:t>0.27</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hint="eastAsia" w:ascii="仿宋" w:hAnsi="仿宋" w:eastAsia="仿宋" w:cs="Times New Roman"/>
          <w:b/>
          <w:color w:val="auto"/>
          <w:sz w:val="32"/>
          <w:szCs w:val="32"/>
          <w:highlight w:val="none"/>
        </w:rPr>
      </w:pPr>
      <w:r>
        <w:rPr>
          <w:rFonts w:hint="eastAsia" w:ascii="仿宋" w:hAnsi="仿宋" w:eastAsia="仿宋"/>
          <w:b/>
          <w:color w:val="auto"/>
          <w:sz w:val="32"/>
          <w:szCs w:val="32"/>
          <w:highlight w:val="none"/>
        </w:rPr>
        <w:t>卫生健康支出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210</w:t>
      </w:r>
      <w:r>
        <w:rPr>
          <w:rFonts w:hint="eastAsia" w:ascii="仿宋" w:hAnsi="仿宋" w:eastAsia="仿宋"/>
          <w:b/>
          <w:bCs w:val="0"/>
          <w:color w:val="auto"/>
          <w:sz w:val="32"/>
          <w:szCs w:val="32"/>
          <w:lang w:eastAsia="zh-CN"/>
        </w:rPr>
        <w:t>）行政事业单位医疗（</w:t>
      </w:r>
      <w:r>
        <w:rPr>
          <w:rFonts w:hint="eastAsia" w:ascii="仿宋" w:hAnsi="仿宋" w:eastAsia="仿宋"/>
          <w:b/>
          <w:bCs w:val="0"/>
          <w:color w:val="auto"/>
          <w:sz w:val="32"/>
          <w:szCs w:val="32"/>
          <w:lang w:val="en-US" w:eastAsia="zh-CN"/>
        </w:rPr>
        <w:t>11</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行政单位医疗</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01</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Fonts w:hint="eastAsia" w:ascii="仿宋" w:hAnsi="仿宋" w:eastAsia="仿宋"/>
          <w:color w:val="auto"/>
          <w:sz w:val="32"/>
          <w:szCs w:val="32"/>
          <w:lang w:val="en-US" w:eastAsia="zh-CN"/>
        </w:rPr>
        <w:t>2.07</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hint="eastAsia" w:ascii="仿宋" w:hAnsi="仿宋" w:eastAsia="仿宋" w:cs="Times New Roman"/>
          <w:b/>
          <w:color w:val="auto"/>
          <w:sz w:val="32"/>
          <w:szCs w:val="32"/>
          <w:highlight w:val="none"/>
        </w:rPr>
      </w:pPr>
      <w:r>
        <w:rPr>
          <w:rFonts w:hint="eastAsia" w:ascii="仿宋" w:hAnsi="仿宋" w:eastAsia="仿宋" w:cs="Times New Roman"/>
          <w:b/>
          <w:color w:val="auto"/>
          <w:sz w:val="32"/>
          <w:szCs w:val="32"/>
          <w:highlight w:val="none"/>
        </w:rPr>
        <w:t>住房保障支出（</w:t>
      </w:r>
      <w:r>
        <w:rPr>
          <w:rFonts w:hint="eastAsia" w:ascii="仿宋" w:hAnsi="仿宋" w:eastAsia="仿宋" w:cs="Times New Roman"/>
          <w:b/>
          <w:color w:val="auto"/>
          <w:sz w:val="32"/>
          <w:szCs w:val="32"/>
          <w:highlight w:val="none"/>
          <w:lang w:val="en-US" w:eastAsia="zh-CN"/>
        </w:rPr>
        <w:t>221</w:t>
      </w:r>
      <w:r>
        <w:rPr>
          <w:rFonts w:hint="eastAsia" w:ascii="仿宋" w:hAnsi="仿宋" w:eastAsia="仿宋" w:cs="Times New Roman"/>
          <w:b/>
          <w:color w:val="auto"/>
          <w:sz w:val="32"/>
          <w:szCs w:val="32"/>
          <w:highlight w:val="none"/>
          <w:lang w:eastAsia="zh-CN"/>
        </w:rPr>
        <w:t>）住房改革支出（</w:t>
      </w:r>
      <w:r>
        <w:rPr>
          <w:rFonts w:hint="eastAsia" w:ascii="仿宋" w:hAnsi="仿宋" w:eastAsia="仿宋" w:cs="Times New Roman"/>
          <w:b/>
          <w:color w:val="auto"/>
          <w:sz w:val="32"/>
          <w:szCs w:val="32"/>
          <w:highlight w:val="none"/>
          <w:lang w:val="en-US" w:eastAsia="zh-CN"/>
        </w:rPr>
        <w:t>02</w:t>
      </w:r>
      <w:r>
        <w:rPr>
          <w:rFonts w:hint="eastAsia" w:ascii="仿宋" w:hAnsi="仿宋" w:eastAsia="仿宋" w:cs="Times New Roman"/>
          <w:b/>
          <w:color w:val="auto"/>
          <w:sz w:val="32"/>
          <w:szCs w:val="32"/>
          <w:highlight w:val="none"/>
          <w:lang w:eastAsia="zh-CN"/>
        </w:rPr>
        <w:t>） 住房公积金（</w:t>
      </w:r>
      <w:r>
        <w:rPr>
          <w:rFonts w:hint="eastAsia" w:ascii="仿宋" w:hAnsi="仿宋" w:eastAsia="仿宋" w:cs="Times New Roman"/>
          <w:b/>
          <w:color w:val="auto"/>
          <w:sz w:val="32"/>
          <w:szCs w:val="32"/>
          <w:highlight w:val="none"/>
          <w:lang w:val="en-US" w:eastAsia="zh-CN"/>
        </w:rPr>
        <w:t>01</w:t>
      </w:r>
      <w:r>
        <w:rPr>
          <w:rFonts w:hint="eastAsia" w:ascii="仿宋" w:hAnsi="仿宋" w:eastAsia="仿宋" w:cs="Times New Roman"/>
          <w:b/>
          <w:color w:val="auto"/>
          <w:sz w:val="32"/>
          <w:szCs w:val="32"/>
          <w:highlight w:val="none"/>
          <w:lang w:eastAsia="zh-CN"/>
        </w:rPr>
        <w:t>）：</w:t>
      </w:r>
      <w:r>
        <w:rPr>
          <w:rStyle w:val="25"/>
          <w:rFonts w:hint="eastAsia" w:ascii="仿宋" w:hAnsi="仿宋" w:eastAsia="仿宋" w:cs="Times New Roman"/>
          <w:b w:val="0"/>
          <w:bCs/>
          <w:color w:val="000000"/>
          <w:sz w:val="32"/>
          <w:szCs w:val="32"/>
        </w:rPr>
        <w:t>支出决算为</w:t>
      </w:r>
      <w:r>
        <w:rPr>
          <w:rStyle w:val="25"/>
          <w:rFonts w:hint="eastAsia" w:ascii="仿宋" w:hAnsi="仿宋" w:eastAsia="仿宋" w:cs="Times New Roman"/>
          <w:b w:val="0"/>
          <w:bCs/>
          <w:color w:val="000000"/>
          <w:sz w:val="32"/>
          <w:szCs w:val="32"/>
          <w:lang w:val="en-US" w:eastAsia="zh-CN"/>
        </w:rPr>
        <w:t>6.40</w:t>
      </w:r>
      <w:r>
        <w:rPr>
          <w:rStyle w:val="25"/>
          <w:rFonts w:hint="eastAsia" w:ascii="仿宋" w:hAnsi="仿宋" w:eastAsia="仿宋" w:cs="Times New Roman"/>
          <w:b w:val="0"/>
          <w:bCs/>
          <w:color w:val="000000"/>
          <w:sz w:val="32"/>
          <w:szCs w:val="32"/>
        </w:rPr>
        <w:t>万元，完成预算</w:t>
      </w:r>
      <w:r>
        <w:rPr>
          <w:rStyle w:val="25"/>
          <w:rFonts w:hint="eastAsia" w:ascii="仿宋" w:hAnsi="仿宋" w:eastAsia="仿宋" w:cs="Times New Roman"/>
          <w:b w:val="0"/>
          <w:bCs/>
          <w:color w:val="000000"/>
          <w:sz w:val="32"/>
          <w:szCs w:val="32"/>
          <w:lang w:val="en-US" w:eastAsia="zh-CN"/>
        </w:rPr>
        <w:t>100.00</w:t>
      </w:r>
      <w:r>
        <w:rPr>
          <w:rStyle w:val="25"/>
          <w:rFonts w:hint="eastAsia" w:ascii="仿宋" w:hAnsi="仿宋" w:eastAsia="仿宋" w:cs="Times New Roman"/>
          <w:b w:val="0"/>
          <w:bCs/>
          <w:color w:val="000000"/>
          <w:sz w:val="32"/>
          <w:szCs w:val="32"/>
        </w:rPr>
        <w:t>%</w:t>
      </w:r>
      <w:r>
        <w:rPr>
          <w:rStyle w:val="25"/>
          <w:rFonts w:hint="eastAsia" w:ascii="仿宋" w:hAnsi="仿宋" w:eastAsia="仿宋" w:cs="Times New Roman"/>
          <w:b w:val="0"/>
          <w:bCs/>
          <w:color w:val="000000"/>
          <w:sz w:val="32"/>
          <w:szCs w:val="32"/>
          <w:lang w:eastAsia="zh-CN"/>
        </w:rPr>
        <w:t>。</w:t>
      </w:r>
    </w:p>
    <w:p>
      <w:pPr>
        <w:tabs>
          <w:tab w:val="right" w:pos="8306"/>
        </w:tabs>
        <w:spacing w:line="600" w:lineRule="exact"/>
        <w:ind w:firstLine="640"/>
        <w:outlineLvl w:val="1"/>
        <w:rPr>
          <w:rStyle w:val="38"/>
          <w:color w:val="auto"/>
          <w:highlight w:val="none"/>
        </w:rPr>
      </w:pPr>
      <w:bookmarkStart w:id="63" w:name="_Toc15396608"/>
      <w:bookmarkStart w:id="64" w:name="_Toc15377214"/>
      <w:bookmarkStart w:id="65" w:name="_Toc4398"/>
      <w:bookmarkStart w:id="66" w:name="_Toc23254"/>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38"/>
          <w:rFonts w:hint="eastAsia" w:ascii="黑体" w:hAnsi="黑体" w:eastAsia="黑体"/>
          <w:b w:val="0"/>
          <w:color w:val="auto"/>
          <w:highlight w:val="none"/>
        </w:rPr>
        <w:t>般公共预算财政拨款基本支出决算情况说明</w:t>
      </w:r>
      <w:bookmarkEnd w:id="63"/>
      <w:bookmarkEnd w:id="64"/>
      <w:bookmarkEnd w:id="65"/>
      <w:bookmarkEnd w:id="66"/>
      <w:r>
        <w:rPr>
          <w:rStyle w:val="38"/>
          <w:rFonts w:ascii="黑体" w:hAnsi="黑体" w:eastAsia="黑体"/>
          <w:b w:val="0"/>
          <w:color w:val="auto"/>
          <w:highlight w:val="none"/>
        </w:rPr>
        <w:tab/>
      </w:r>
    </w:p>
    <w:p>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年一般公共预算财政拨款基本支出</w:t>
      </w:r>
      <w:r>
        <w:rPr>
          <w:rFonts w:hint="eastAsia" w:ascii="仿宋" w:hAnsi="仿宋" w:eastAsia="仿宋"/>
          <w:color w:val="auto"/>
          <w:sz w:val="32"/>
          <w:szCs w:val="32"/>
          <w:highlight w:val="none"/>
          <w:lang w:val="en-US" w:eastAsia="zh-CN"/>
        </w:rPr>
        <w:t>82.32</w:t>
      </w:r>
      <w:r>
        <w:rPr>
          <w:rFonts w:hint="eastAsia" w:ascii="仿宋" w:hAnsi="仿宋" w:eastAsia="仿宋"/>
          <w:color w:val="auto"/>
          <w:sz w:val="32"/>
          <w:szCs w:val="32"/>
          <w:highlight w:val="none"/>
        </w:rPr>
        <w:t>万元，其中：</w:t>
      </w:r>
    </w:p>
    <w:p>
      <w:pPr>
        <w:spacing w:line="600" w:lineRule="exact"/>
        <w:ind w:firstLine="645"/>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人员经费</w:t>
      </w:r>
      <w:r>
        <w:rPr>
          <w:rFonts w:hint="eastAsia" w:ascii="仿宋" w:hAnsi="仿宋" w:eastAsia="仿宋"/>
          <w:color w:val="auto"/>
          <w:sz w:val="32"/>
          <w:szCs w:val="32"/>
          <w:highlight w:val="none"/>
          <w:lang w:val="en-US" w:eastAsia="zh-CN"/>
        </w:rPr>
        <w:t>74.15</w:t>
      </w:r>
      <w:r>
        <w:rPr>
          <w:rFonts w:hint="eastAsia" w:ascii="仿宋" w:hAnsi="仿宋" w:eastAsia="仿宋"/>
          <w:color w:val="auto"/>
          <w:sz w:val="32"/>
          <w:szCs w:val="32"/>
          <w:highlight w:val="none"/>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b/>
          <w:color w:val="auto"/>
          <w:sz w:val="32"/>
          <w:szCs w:val="32"/>
          <w:highlight w:val="none"/>
        </w:rPr>
      </w:pPr>
      <w:r>
        <w:rPr>
          <w:rFonts w:hint="eastAsia" w:ascii="仿宋" w:hAnsi="仿宋" w:eastAsia="仿宋"/>
          <w:color w:val="auto"/>
          <w:sz w:val="32"/>
          <w:szCs w:val="32"/>
          <w:highlight w:val="none"/>
        </w:rPr>
        <w:t>公用经费</w:t>
      </w:r>
      <w:r>
        <w:rPr>
          <w:rFonts w:hint="eastAsia" w:ascii="仿宋" w:hAnsi="仿宋" w:eastAsia="仿宋"/>
          <w:color w:val="auto"/>
          <w:sz w:val="32"/>
          <w:szCs w:val="32"/>
          <w:highlight w:val="none"/>
          <w:lang w:val="en-US" w:eastAsia="zh-CN"/>
        </w:rPr>
        <w:t>8.17</w:t>
      </w:r>
      <w:r>
        <w:rPr>
          <w:rFonts w:hint="eastAsia" w:ascii="仿宋" w:hAnsi="仿宋" w:eastAsia="仿宋"/>
          <w:color w:val="auto"/>
          <w:sz w:val="32"/>
          <w:szCs w:val="32"/>
          <w:highlight w:val="none"/>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38"/>
          <w:rFonts w:ascii="黑体" w:hAnsi="黑体" w:eastAsia="黑体"/>
          <w:b w:val="0"/>
          <w:color w:val="auto"/>
          <w:highlight w:val="none"/>
        </w:rPr>
      </w:pPr>
      <w:bookmarkStart w:id="67" w:name="_Toc6487"/>
      <w:bookmarkStart w:id="68" w:name="_Toc15377215"/>
      <w:bookmarkStart w:id="69" w:name="_Toc15396609"/>
      <w:bookmarkStart w:id="70" w:name="_Toc19143"/>
      <w:r>
        <w:rPr>
          <w:rFonts w:hint="eastAsia" w:ascii="黑体" w:eastAsia="黑体"/>
          <w:color w:val="auto"/>
          <w:sz w:val="32"/>
          <w:szCs w:val="32"/>
          <w:highlight w:val="none"/>
        </w:rPr>
        <w:t>七、</w:t>
      </w:r>
      <w:r>
        <w:rPr>
          <w:rStyle w:val="38"/>
          <w:rFonts w:hint="eastAsia" w:ascii="黑体" w:hAnsi="黑体" w:eastAsia="黑体"/>
          <w:color w:val="auto"/>
          <w:highlight w:val="none"/>
        </w:rPr>
        <w:t>“</w:t>
      </w:r>
      <w:r>
        <w:rPr>
          <w:rStyle w:val="38"/>
          <w:rFonts w:hint="eastAsia" w:ascii="黑体" w:hAnsi="黑体" w:eastAsia="黑体"/>
          <w:b w:val="0"/>
          <w:color w:val="auto"/>
          <w:highlight w:val="none"/>
        </w:rPr>
        <w:t>三公”经费财政拨款支出决算情况说明</w:t>
      </w:r>
      <w:bookmarkEnd w:id="67"/>
      <w:bookmarkEnd w:id="68"/>
      <w:bookmarkEnd w:id="69"/>
      <w:bookmarkEnd w:id="70"/>
    </w:p>
    <w:p>
      <w:pPr>
        <w:spacing w:line="600" w:lineRule="exact"/>
        <w:ind w:firstLine="640"/>
        <w:outlineLvl w:val="2"/>
        <w:rPr>
          <w:rFonts w:ascii="仿宋" w:hAnsi="仿宋" w:eastAsia="仿宋"/>
          <w:b/>
          <w:color w:val="auto"/>
          <w:sz w:val="32"/>
          <w:szCs w:val="32"/>
          <w:highlight w:val="none"/>
        </w:rPr>
      </w:pPr>
      <w:bookmarkStart w:id="71" w:name="_Toc15377216"/>
      <w:r>
        <w:rPr>
          <w:rFonts w:hint="eastAsia" w:ascii="仿宋" w:hAnsi="仿宋" w:eastAsia="仿宋"/>
          <w:b/>
          <w:color w:val="auto"/>
          <w:sz w:val="32"/>
          <w:szCs w:val="32"/>
          <w:highlight w:val="none"/>
        </w:rPr>
        <w:t>（一）“三公”经费财政拨款支出决算总体情况说明</w:t>
      </w:r>
      <w:bookmarkEnd w:id="71"/>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年“三公”经费财政拨款支出决算为</w:t>
      </w:r>
      <w:r>
        <w:rPr>
          <w:rFonts w:hint="eastAsia" w:ascii="仿宋" w:hAnsi="仿宋" w:eastAsia="仿宋"/>
          <w:color w:val="auto"/>
          <w:sz w:val="32"/>
          <w:szCs w:val="32"/>
          <w:highlight w:val="none"/>
          <w:lang w:val="en-US" w:eastAsia="zh-CN"/>
        </w:rPr>
        <w:t>0.68</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spacing w:line="600" w:lineRule="exact"/>
        <w:ind w:firstLine="640"/>
        <w:outlineLvl w:val="2"/>
        <w:rPr>
          <w:rFonts w:ascii="仿宋" w:hAnsi="仿宋" w:eastAsia="仿宋"/>
          <w:b/>
          <w:color w:val="auto"/>
          <w:sz w:val="32"/>
          <w:szCs w:val="32"/>
          <w:highlight w:val="none"/>
        </w:rPr>
      </w:pPr>
      <w:bookmarkStart w:id="72" w:name="_Toc15377217"/>
      <w:r>
        <w:rPr>
          <w:rFonts w:hint="eastAsia" w:ascii="仿宋" w:hAnsi="仿宋" w:eastAsia="仿宋"/>
          <w:b/>
          <w:color w:val="auto"/>
          <w:sz w:val="32"/>
          <w:szCs w:val="32"/>
          <w:highlight w:val="none"/>
        </w:rPr>
        <w:t>（二）“三公”经费财政拨款支出决算具体情况说明</w:t>
      </w:r>
      <w:bookmarkEnd w:id="72"/>
    </w:p>
    <w:p>
      <w:pPr>
        <w:spacing w:line="600" w:lineRule="exact"/>
        <w:ind w:firstLine="64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年“三公”经费财政拨款支出决算中，因公出国（境）费支出决算</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0.52</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76.47</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0.16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23.53</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sz w:val="32"/>
          <w:szCs w:val="32"/>
        </w:rPr>
      </w:pPr>
      <w:r>
        <w:rPr>
          <w:rFonts w:hint="eastAsia" w:ascii="仿宋" w:hAnsi="仿宋" w:eastAsia="仿宋"/>
          <w:color w:val="auto"/>
          <w:sz w:val="32"/>
          <w:szCs w:val="32"/>
          <w:highlight w:val="none"/>
          <w:lang w:eastAsia="zh-CN"/>
        </w:rPr>
        <w:drawing>
          <wp:inline distT="0" distB="0" distL="114300" distR="114300">
            <wp:extent cx="5747385" cy="3982720"/>
            <wp:effectExtent l="4445" t="4445" r="20320" b="13335"/>
            <wp:docPr id="1" name="图表 1" descr="7b0a202020202263686172745265734964223a2022323034363938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ind w:firstLine="640"/>
      </w:pPr>
      <w:r>
        <w:rPr>
          <w:rFonts w:hint="eastAsia" w:ascii="仿宋" w:hAnsi="仿宋" w:eastAsia="仿宋"/>
          <w:sz w:val="32"/>
          <w:szCs w:val="32"/>
        </w:rPr>
        <w:t>（图7：“三公”经费财政拨款支出结构）（饼状图）</w:t>
      </w:r>
    </w:p>
    <w:p>
      <w:pPr>
        <w:spacing w:line="600" w:lineRule="exact"/>
        <w:ind w:firstLine="643" w:firstLineChars="200"/>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 w:hAnsi="仿宋" w:eastAsia="仿宋"/>
          <w:color w:val="auto"/>
          <w:sz w:val="32"/>
          <w:szCs w:val="32"/>
          <w:highlight w:val="none"/>
          <w:lang w:val="en-US" w:eastAsia="zh-CN"/>
        </w:rPr>
        <w:t>0.00</w:t>
      </w:r>
      <w:r>
        <w:rPr>
          <w:rFonts w:hint="eastAsia" w:ascii="仿宋_GB2312" w:eastAsia="仿宋_GB2312"/>
          <w:color w:val="auto"/>
          <w:sz w:val="32"/>
          <w:szCs w:val="32"/>
          <w:highlight w:val="none"/>
        </w:rPr>
        <w:t>万元，</w:t>
      </w:r>
      <w:r>
        <w:rPr>
          <w:rStyle w:val="25"/>
          <w:rFonts w:hint="eastAsia" w:ascii="仿宋" w:hAnsi="仿宋" w:eastAsia="仿宋"/>
          <w:b w:val="0"/>
          <w:bCs/>
          <w:color w:val="auto"/>
          <w:sz w:val="32"/>
          <w:szCs w:val="32"/>
          <w:highlight w:val="none"/>
        </w:rPr>
        <w:t>完成预算</w:t>
      </w:r>
      <w:r>
        <w:rPr>
          <w:rFonts w:hint="eastAsia" w:ascii="仿宋" w:hAnsi="仿宋" w:eastAsia="仿宋"/>
          <w:color w:val="auto"/>
          <w:sz w:val="32"/>
          <w:szCs w:val="32"/>
          <w:highlight w:val="none"/>
          <w:lang w:val="en-US" w:eastAsia="zh-CN"/>
        </w:rPr>
        <w:t>100.00</w:t>
      </w:r>
      <w:r>
        <w:rPr>
          <w:rStyle w:val="25"/>
          <w:rFonts w:ascii="仿宋" w:hAnsi="仿宋" w:eastAsia="仿宋"/>
          <w:b w:val="0"/>
          <w:bCs/>
          <w:color w:val="auto"/>
          <w:sz w:val="32"/>
          <w:szCs w:val="32"/>
          <w:highlight w:val="none"/>
        </w:rPr>
        <w:t>%</w:t>
      </w:r>
      <w:r>
        <w:rPr>
          <w:rStyle w:val="25"/>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w:t>
      </w:r>
      <w:r>
        <w:rPr>
          <w:rFonts w:hint="eastAsia" w:ascii="仿宋_GB2312" w:eastAsia="仿宋_GB2312"/>
          <w:color w:val="auto"/>
          <w:sz w:val="32"/>
          <w:szCs w:val="32"/>
          <w:highlight w:val="none"/>
          <w:lang w:val="en-US" w:eastAsia="zh-CN"/>
        </w:rPr>
        <w:t>与</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持平</w:t>
      </w:r>
      <w:r>
        <w:rPr>
          <w:rFonts w:hint="eastAsia" w:ascii="仿宋_GB2312" w:eastAsia="仿宋_GB2312"/>
          <w:color w:val="auto"/>
          <w:sz w:val="32"/>
          <w:szCs w:val="32"/>
          <w:highlight w:val="none"/>
        </w:rPr>
        <w:t>。</w:t>
      </w: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 w:hAnsi="仿宋" w:eastAsia="仿宋"/>
          <w:color w:val="auto"/>
          <w:sz w:val="32"/>
          <w:szCs w:val="32"/>
          <w:highlight w:val="none"/>
          <w:lang w:val="en-US" w:eastAsia="zh-CN"/>
        </w:rPr>
        <w:t>0.52</w:t>
      </w:r>
      <w:r>
        <w:rPr>
          <w:rFonts w:hint="eastAsia" w:ascii="仿宋_GB2312" w:eastAsia="仿宋_GB2312"/>
          <w:color w:val="auto"/>
          <w:sz w:val="32"/>
          <w:szCs w:val="32"/>
          <w:highlight w:val="none"/>
        </w:rPr>
        <w:t>万元,</w:t>
      </w:r>
      <w:r>
        <w:rPr>
          <w:rStyle w:val="25"/>
          <w:rFonts w:hint="eastAsia" w:ascii="仿宋" w:hAnsi="仿宋" w:eastAsia="仿宋"/>
          <w:b w:val="0"/>
          <w:bCs/>
          <w:color w:val="auto"/>
          <w:sz w:val="32"/>
          <w:szCs w:val="32"/>
          <w:highlight w:val="none"/>
        </w:rPr>
        <w:t>完成预算</w:t>
      </w:r>
      <w:r>
        <w:rPr>
          <w:rStyle w:val="25"/>
          <w:rFonts w:hint="eastAsia" w:ascii="仿宋" w:hAnsi="仿宋" w:eastAsia="仿宋"/>
          <w:b w:val="0"/>
          <w:bCs/>
          <w:color w:val="auto"/>
          <w:sz w:val="32"/>
          <w:szCs w:val="32"/>
          <w:highlight w:val="none"/>
          <w:lang w:val="en-US" w:eastAsia="zh-CN"/>
        </w:rPr>
        <w:t>100.00</w:t>
      </w:r>
      <w:r>
        <w:rPr>
          <w:rStyle w:val="25"/>
          <w:rFonts w:ascii="仿宋" w:hAnsi="仿宋" w:eastAsia="仿宋"/>
          <w:b w:val="0"/>
          <w:bCs/>
          <w:color w:val="auto"/>
          <w:sz w:val="32"/>
          <w:szCs w:val="32"/>
          <w:highlight w:val="none"/>
        </w:rPr>
        <w:t>%</w:t>
      </w:r>
      <w:r>
        <w:rPr>
          <w:rStyle w:val="25"/>
          <w:rFonts w:hint="eastAsia" w:ascii="仿宋" w:hAnsi="仿宋" w:eastAsia="仿宋"/>
          <w:b w:val="0"/>
          <w:bCs/>
          <w:color w:val="auto"/>
          <w:sz w:val="32"/>
          <w:szCs w:val="32"/>
          <w:highlight w:val="none"/>
          <w:lang w:val="en-US" w:eastAsia="zh-CN"/>
        </w:rPr>
        <w:t>,与2</w:t>
      </w:r>
      <w:r>
        <w:rPr>
          <w:rFonts w:ascii="仿宋" w:hAnsi="仿宋" w:eastAsia="仿宋"/>
          <w:color w:val="auto"/>
          <w:sz w:val="32"/>
          <w:szCs w:val="32"/>
          <w:highlight w:val="none"/>
        </w:rPr>
        <w:t>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年相比，公务用车购置及运行维护费</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增加0.52</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增长52.00</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2021年单位公务车辆发生维护费</w:t>
      </w:r>
      <w:r>
        <w:rPr>
          <w:rStyle w:val="25"/>
          <w:rFonts w:hint="eastAsia" w:ascii="仿宋" w:hAnsi="仿宋" w:eastAsia="仿宋"/>
          <w:b w:val="0"/>
          <w:bCs/>
          <w:color w:val="auto"/>
          <w:sz w:val="32"/>
          <w:szCs w:val="32"/>
          <w:highlight w:val="none"/>
        </w:rPr>
        <w:t>。</w:t>
      </w:r>
    </w:p>
    <w:p>
      <w:pPr>
        <w:spacing w:line="600" w:lineRule="exact"/>
        <w:ind w:firstLine="640" w:firstLineChars="200"/>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月底，单位共有公务用车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、其他车型</w:t>
      </w:r>
      <w:r>
        <w:rPr>
          <w:rFonts w:hint="eastAsia" w:ascii="仿宋_GB2312" w:eastAsia="仿宋_GB2312"/>
          <w:color w:val="auto"/>
          <w:sz w:val="32"/>
          <w:szCs w:val="32"/>
          <w:highlight w:val="none"/>
          <w:lang w:val="en-US" w:eastAsia="zh-CN"/>
        </w:rPr>
        <w:t>0辆</w:t>
      </w:r>
      <w:r>
        <w:rPr>
          <w:rFonts w:hint="eastAsia" w:ascii="仿宋_GB2312" w:eastAsia="仿宋_GB2312"/>
          <w:color w:val="auto"/>
          <w:sz w:val="32"/>
          <w:szCs w:val="32"/>
          <w:highlight w:val="none"/>
        </w:rPr>
        <w:t>。</w:t>
      </w:r>
    </w:p>
    <w:p>
      <w:pPr>
        <w:spacing w:line="600" w:lineRule="exact"/>
        <w:ind w:firstLine="640"/>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0.52</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主要用于</w:t>
      </w:r>
      <w:r>
        <w:rPr>
          <w:rFonts w:hint="eastAsia" w:ascii="仿宋_GB2312" w:eastAsia="仿宋_GB2312"/>
          <w:color w:val="auto"/>
          <w:sz w:val="32"/>
          <w:szCs w:val="32"/>
          <w:highlight w:val="none"/>
          <w:lang w:val="en-US" w:eastAsia="zh-CN"/>
        </w:rPr>
        <w:t>办公出行</w:t>
      </w:r>
      <w:r>
        <w:rPr>
          <w:rFonts w:hint="eastAsia" w:ascii="仿宋_GB2312" w:eastAsia="仿宋_GB2312"/>
          <w:color w:val="auto"/>
          <w:sz w:val="32"/>
          <w:szCs w:val="32"/>
          <w:highlight w:val="none"/>
        </w:rPr>
        <w:t>等所需的公务用车燃料费、维修费、过路过桥费、保险费等支出。</w:t>
      </w:r>
    </w:p>
    <w:p>
      <w:pPr>
        <w:spacing w:line="600" w:lineRule="exact"/>
        <w:ind w:firstLine="640"/>
        <w:rPr>
          <w:rFonts w:hint="eastAsia"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0.16</w:t>
      </w:r>
      <w:r>
        <w:rPr>
          <w:rFonts w:hint="eastAsia" w:ascii="仿宋_GB2312" w:eastAsia="仿宋_GB2312"/>
          <w:color w:val="auto"/>
          <w:sz w:val="32"/>
          <w:szCs w:val="32"/>
          <w:highlight w:val="none"/>
        </w:rPr>
        <w:t>万元，</w:t>
      </w:r>
      <w:r>
        <w:rPr>
          <w:rStyle w:val="25"/>
          <w:rFonts w:hint="eastAsia" w:ascii="仿宋" w:hAnsi="仿宋" w:eastAsia="仿宋"/>
          <w:b w:val="0"/>
          <w:bCs/>
          <w:color w:val="auto"/>
          <w:sz w:val="32"/>
          <w:szCs w:val="32"/>
          <w:highlight w:val="none"/>
        </w:rPr>
        <w:t>完成预算</w:t>
      </w:r>
      <w:r>
        <w:rPr>
          <w:rStyle w:val="25"/>
          <w:rFonts w:hint="eastAsia" w:ascii="仿宋" w:hAnsi="仿宋" w:eastAsia="仿宋"/>
          <w:b w:val="0"/>
          <w:bCs/>
          <w:color w:val="auto"/>
          <w:sz w:val="32"/>
          <w:szCs w:val="32"/>
          <w:highlight w:val="none"/>
          <w:lang w:val="en-US" w:eastAsia="zh-CN"/>
        </w:rPr>
        <w:t>100.00</w:t>
      </w:r>
      <w:r>
        <w:rPr>
          <w:rStyle w:val="25"/>
          <w:rFonts w:ascii="仿宋" w:hAnsi="仿宋" w:eastAsia="仿宋"/>
          <w:b w:val="0"/>
          <w:bCs/>
          <w:color w:val="auto"/>
          <w:sz w:val="32"/>
          <w:szCs w:val="32"/>
          <w:highlight w:val="none"/>
        </w:rPr>
        <w:t>%</w:t>
      </w:r>
      <w:r>
        <w:rPr>
          <w:rStyle w:val="25"/>
          <w:rFonts w:hint="eastAsia" w:ascii="仿宋" w:hAnsi="仿宋" w:eastAsia="仿宋"/>
          <w:b w:val="0"/>
          <w:bCs/>
          <w:color w:val="auto"/>
          <w:sz w:val="32"/>
          <w:szCs w:val="32"/>
          <w:highlight w:val="none"/>
          <w:lang w:val="en-US" w:eastAsia="zh-CN"/>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年相比，公务接待费</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增加0.16</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增长16.00</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单位本年发生正常公务接待</w:t>
      </w:r>
      <w:r>
        <w:rPr>
          <w:rFonts w:hint="eastAsia" w:ascii="仿宋_GB2312" w:eastAsia="仿宋_GB2312"/>
          <w:color w:val="auto"/>
          <w:sz w:val="32"/>
          <w:szCs w:val="32"/>
          <w:highlight w:val="none"/>
        </w:rPr>
        <w:t>。</w:t>
      </w:r>
    </w:p>
    <w:p>
      <w:pPr>
        <w:spacing w:line="600" w:lineRule="exact"/>
        <w:ind w:firstLine="640"/>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_GB2312" w:eastAsia="仿宋_GB2312"/>
          <w:color w:val="auto"/>
          <w:sz w:val="32"/>
          <w:szCs w:val="32"/>
          <w:highlight w:val="none"/>
          <w:lang w:val="en-US" w:eastAsia="zh-CN"/>
        </w:rPr>
        <w:t>0.16</w:t>
      </w:r>
      <w:r>
        <w:rPr>
          <w:rFonts w:hint="eastAsia" w:ascii="仿宋_GB2312" w:eastAsia="仿宋_GB2312"/>
          <w:color w:val="auto"/>
          <w:sz w:val="32"/>
          <w:szCs w:val="32"/>
          <w:highlight w:val="none"/>
        </w:rPr>
        <w:t>万元。国内公务接待</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23</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0.16</w:t>
      </w:r>
      <w:r>
        <w:rPr>
          <w:rFonts w:hint="eastAsia" w:ascii="仿宋_GB2312" w:eastAsia="仿宋_GB2312"/>
          <w:color w:val="auto"/>
          <w:sz w:val="32"/>
          <w:szCs w:val="32"/>
          <w:highlight w:val="none"/>
        </w:rPr>
        <w:t>万元。</w:t>
      </w:r>
    </w:p>
    <w:p>
      <w:pPr>
        <w:spacing w:line="600" w:lineRule="exact"/>
        <w:ind w:firstLine="643" w:firstLineChars="200"/>
        <w:rPr>
          <w:rFonts w:ascii="黑体" w:eastAsia="黑体"/>
          <w:color w:val="auto"/>
          <w:sz w:val="32"/>
          <w:szCs w:val="32"/>
          <w:highlight w:val="none"/>
        </w:rPr>
      </w:pPr>
      <w:r>
        <w:rPr>
          <w:rFonts w:hint="eastAsia" w:ascii="仿宋" w:hAnsi="仿宋" w:eastAsia="仿宋"/>
          <w:b/>
          <w:color w:val="auto"/>
          <w:sz w:val="32"/>
          <w:szCs w:val="32"/>
          <w:highlight w:val="none"/>
        </w:rPr>
        <w:t>外事接待支出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人，共计支出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w:t>
      </w:r>
      <w:bookmarkStart w:id="73" w:name="_Toc15377218"/>
      <w:bookmarkStart w:id="74" w:name="_Toc15396610"/>
    </w:p>
    <w:p>
      <w:pPr>
        <w:spacing w:line="600" w:lineRule="exact"/>
        <w:ind w:firstLine="640"/>
        <w:outlineLvl w:val="1"/>
        <w:rPr>
          <w:rStyle w:val="38"/>
          <w:rFonts w:ascii="黑体" w:hAnsi="黑体" w:eastAsia="黑体"/>
          <w:color w:val="auto"/>
          <w:highlight w:val="none"/>
        </w:rPr>
      </w:pPr>
      <w:bookmarkStart w:id="75" w:name="_Toc27637"/>
      <w:bookmarkStart w:id="76" w:name="_Toc14247"/>
      <w:r>
        <w:rPr>
          <w:rFonts w:hint="eastAsia" w:ascii="黑体" w:eastAsia="黑体"/>
          <w:color w:val="auto"/>
          <w:sz w:val="32"/>
          <w:szCs w:val="32"/>
          <w:highlight w:val="none"/>
        </w:rPr>
        <w:t>八、</w:t>
      </w:r>
      <w:r>
        <w:rPr>
          <w:rStyle w:val="38"/>
          <w:rFonts w:hint="eastAsia" w:ascii="黑体" w:hAnsi="黑体" w:eastAsia="黑体"/>
          <w:b w:val="0"/>
          <w:color w:val="auto"/>
          <w:highlight w:val="none"/>
        </w:rPr>
        <w:t>政府性基金预算支出决算情况说明</w:t>
      </w:r>
      <w:bookmarkEnd w:id="73"/>
      <w:bookmarkEnd w:id="74"/>
      <w:bookmarkEnd w:id="75"/>
      <w:bookmarkEnd w:id="76"/>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w:t>
      </w:r>
    </w:p>
    <w:p>
      <w:pPr>
        <w:numPr>
          <w:ilvl w:val="0"/>
          <w:numId w:val="5"/>
        </w:numPr>
        <w:spacing w:line="600" w:lineRule="exact"/>
        <w:ind w:firstLine="640"/>
        <w:outlineLvl w:val="1"/>
        <w:rPr>
          <w:rStyle w:val="38"/>
          <w:rFonts w:ascii="黑体" w:hAnsi="黑体" w:eastAsia="黑体"/>
          <w:b w:val="0"/>
          <w:color w:val="auto"/>
          <w:highlight w:val="none"/>
        </w:rPr>
      </w:pPr>
      <w:bookmarkStart w:id="77" w:name="_Toc15396611"/>
      <w:bookmarkStart w:id="78" w:name="_Toc24250"/>
      <w:bookmarkStart w:id="79" w:name="_Toc15377219"/>
      <w:bookmarkStart w:id="80" w:name="_Toc14816"/>
      <w:r>
        <w:rPr>
          <w:rStyle w:val="38"/>
          <w:rFonts w:hint="eastAsia" w:ascii="黑体" w:hAnsi="黑体" w:eastAsia="黑体"/>
          <w:b w:val="0"/>
          <w:color w:val="auto"/>
          <w:highlight w:val="none"/>
        </w:rPr>
        <w:t>国有资本经营预算支出决算情况说明</w:t>
      </w:r>
      <w:bookmarkEnd w:id="77"/>
      <w:bookmarkEnd w:id="78"/>
      <w:bookmarkEnd w:id="79"/>
      <w:bookmarkEnd w:id="80"/>
    </w:p>
    <w:p>
      <w:pPr>
        <w:spacing w:line="600" w:lineRule="exact"/>
        <w:ind w:firstLine="640"/>
        <w:rPr>
          <w:rFonts w:ascii="方正小标宋简体" w:hAnsi="方正小标宋简体" w:eastAsia="方正小标宋简体" w:cs="方正小标宋简体"/>
          <w:color w:val="auto"/>
          <w:sz w:val="44"/>
          <w:szCs w:val="44"/>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w:t>
      </w:r>
    </w:p>
    <w:p>
      <w:pPr>
        <w:numPr>
          <w:ilvl w:val="0"/>
          <w:numId w:val="5"/>
        </w:numPr>
        <w:spacing w:line="600" w:lineRule="exact"/>
        <w:ind w:firstLine="640"/>
        <w:outlineLvl w:val="1"/>
        <w:rPr>
          <w:rStyle w:val="38"/>
          <w:rFonts w:hint="eastAsia" w:ascii="黑体" w:hAnsi="黑体" w:eastAsia="黑体"/>
          <w:b w:val="0"/>
          <w:color w:val="auto"/>
          <w:highlight w:val="none"/>
        </w:rPr>
      </w:pPr>
      <w:bookmarkStart w:id="81" w:name="_Toc7135"/>
      <w:bookmarkStart w:id="82" w:name="_Toc695"/>
      <w:bookmarkStart w:id="83" w:name="_Toc15396612"/>
      <w:bookmarkStart w:id="84" w:name="_Toc15377221"/>
      <w:r>
        <w:rPr>
          <w:rStyle w:val="38"/>
          <w:rFonts w:hint="eastAsia" w:ascii="黑体" w:hAnsi="黑体" w:eastAsia="黑体"/>
          <w:b w:val="0"/>
          <w:color w:val="auto"/>
          <w:highlight w:val="none"/>
        </w:rPr>
        <w:t>其他重要事项的情况说明</w:t>
      </w:r>
      <w:bookmarkEnd w:id="81"/>
      <w:bookmarkEnd w:id="82"/>
      <w:bookmarkEnd w:id="83"/>
      <w:bookmarkEnd w:id="84"/>
    </w:p>
    <w:p>
      <w:pPr>
        <w:spacing w:line="600" w:lineRule="exact"/>
        <w:ind w:firstLine="643" w:firstLineChars="200"/>
        <w:outlineLvl w:val="2"/>
        <w:rPr>
          <w:rFonts w:ascii="仿宋" w:hAnsi="仿宋" w:eastAsia="仿宋"/>
          <w:color w:val="auto"/>
          <w:sz w:val="32"/>
          <w:szCs w:val="32"/>
          <w:highlight w:val="none"/>
        </w:rPr>
      </w:pPr>
      <w:bookmarkStart w:id="85" w:name="_Toc15377222"/>
      <w:r>
        <w:rPr>
          <w:rFonts w:hint="eastAsia" w:ascii="仿宋" w:hAnsi="仿宋" w:eastAsia="仿宋"/>
          <w:b/>
          <w:color w:val="auto"/>
          <w:sz w:val="32"/>
          <w:szCs w:val="32"/>
          <w:highlight w:val="none"/>
        </w:rPr>
        <w:t>（一）机关运行经费支出情况</w:t>
      </w:r>
      <w:bookmarkEnd w:id="85"/>
    </w:p>
    <w:p>
      <w:pPr>
        <w:spacing w:line="600" w:lineRule="exact"/>
        <w:ind w:firstLine="640" w:firstLineChars="200"/>
        <w:rPr>
          <w:rFonts w:hint="eastAsia" w:ascii="仿宋_GB2312" w:eastAsia="仿宋_GB2312"/>
          <w:color w:val="FF0000"/>
          <w:sz w:val="32"/>
          <w:szCs w:val="32"/>
          <w:highlight w:val="none"/>
          <w:lang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乐山市沙湾区妇女联合会</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8.17</w:t>
      </w:r>
      <w:r>
        <w:rPr>
          <w:rFonts w:hint="eastAsia" w:ascii="仿宋_GB2312" w:eastAsia="仿宋_GB2312"/>
          <w:color w:val="auto"/>
          <w:sz w:val="32"/>
          <w:szCs w:val="32"/>
          <w:highlight w:val="none"/>
        </w:rPr>
        <w:t>万元，</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w:t>
      </w:r>
      <w:r>
        <w:rPr>
          <w:rFonts w:hint="eastAsia" w:ascii="仿宋_GB2312" w:eastAsia="仿宋_GB2312"/>
          <w:color w:val="auto"/>
          <w:sz w:val="32"/>
          <w:szCs w:val="32"/>
          <w:highlight w:val="none"/>
        </w:rPr>
        <w:t>机关运行经费</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增加1.93</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增长30.89</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2021年单位本年机关运行经费增加都为正常支出</w:t>
      </w:r>
      <w:r>
        <w:rPr>
          <w:rFonts w:hint="eastAsia" w:ascii="仿宋_GB2312" w:eastAsia="仿宋_GB2312"/>
          <w:color w:val="auto"/>
          <w:sz w:val="32"/>
          <w:szCs w:val="32"/>
          <w:highlight w:val="none"/>
          <w:lang w:val="en-US" w:eastAsia="zh-CN"/>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86" w:name="_Toc15377223"/>
      <w:r>
        <w:rPr>
          <w:rFonts w:hint="eastAsia" w:ascii="仿宋" w:hAnsi="仿宋" w:eastAsia="仿宋"/>
          <w:b/>
          <w:color w:val="auto"/>
          <w:sz w:val="32"/>
          <w:szCs w:val="32"/>
          <w:highlight w:val="none"/>
        </w:rPr>
        <w:t>（二）政府采购支出情况</w:t>
      </w:r>
      <w:bookmarkEnd w:id="86"/>
    </w:p>
    <w:p>
      <w:pPr>
        <w:spacing w:line="600" w:lineRule="exact"/>
        <w:ind w:firstLine="640" w:firstLineChars="200"/>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乐山市沙湾区妇女联合会</w:t>
      </w:r>
      <w:r>
        <w:rPr>
          <w:rFonts w:hint="eastAsia" w:ascii="仿宋_GB2312" w:eastAsia="仿宋_GB2312"/>
          <w:color w:val="auto"/>
          <w:sz w:val="32"/>
          <w:szCs w:val="32"/>
          <w:highlight w:val="none"/>
        </w:rPr>
        <w:t>采购支出总额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万元，其中：政府采购货物支</w:t>
      </w:r>
      <w:r>
        <w:rPr>
          <w:rFonts w:hint="eastAsia" w:ascii="仿宋_GB2312" w:eastAsia="仿宋_GB2312"/>
          <w:color w:val="auto"/>
          <w:sz w:val="32"/>
          <w:szCs w:val="32"/>
          <w:highlight w:val="none"/>
          <w:lang w:val="en-US" w:eastAsia="zh-CN"/>
        </w:rPr>
        <w:t>出0.00</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万元。授予中小企业合同金额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0.00</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87" w:name="_Toc15377224"/>
      <w:r>
        <w:rPr>
          <w:rFonts w:hint="eastAsia" w:ascii="仿宋" w:hAnsi="仿宋" w:eastAsia="仿宋"/>
          <w:b/>
          <w:color w:val="auto"/>
          <w:sz w:val="32"/>
          <w:szCs w:val="32"/>
          <w:highlight w:val="none"/>
        </w:rPr>
        <w:t>（三）国有资产占有使用情况</w:t>
      </w:r>
      <w:bookmarkEnd w:id="87"/>
    </w:p>
    <w:p>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乐山市沙湾区妇女联合会</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辆、执法执勤用车</w:t>
      </w:r>
      <w:r>
        <w:rPr>
          <w:rFonts w:hint="eastAsia" w:ascii="仿宋_GB2312" w:eastAsia="仿宋_GB2312"/>
          <w:color w:val="auto"/>
          <w:sz w:val="32"/>
          <w:szCs w:val="32"/>
          <w:highlight w:val="none"/>
          <w:lang w:val="en-US" w:eastAsia="zh-CN"/>
        </w:rPr>
        <w:t>0辆，特种专业技术用车0辆，离退休干部用车0辆，</w:t>
      </w:r>
      <w:r>
        <w:rPr>
          <w:rFonts w:hint="eastAsia" w:ascii="仿宋_GB2312" w:eastAsia="仿宋_GB2312"/>
          <w:color w:val="auto"/>
          <w:sz w:val="32"/>
          <w:szCs w:val="32"/>
          <w:highlight w:val="none"/>
        </w:rPr>
        <w:t>其他用车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其他用车主要是用于</w:t>
      </w:r>
      <w:r>
        <w:rPr>
          <w:rFonts w:hint="eastAsia" w:ascii="仿宋_GB2312" w:eastAsia="仿宋_GB2312"/>
          <w:color w:val="auto"/>
          <w:sz w:val="32"/>
          <w:szCs w:val="32"/>
          <w:highlight w:val="none"/>
          <w:lang w:val="en-US" w:eastAsia="zh-CN"/>
        </w:rPr>
        <w:t>办公使用，</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50</w:t>
      </w:r>
      <w:r>
        <w:rPr>
          <w:rFonts w:hint="eastAsia" w:ascii="仿宋_GB2312" w:eastAsia="仿宋_GB2312"/>
          <w:color w:val="auto"/>
          <w:sz w:val="32"/>
          <w:szCs w:val="32"/>
          <w:highlight w:val="none"/>
        </w:rPr>
        <w:t>万元以上通用设备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pPr>
        <w:autoSpaceDE w:val="0"/>
        <w:autoSpaceDN w:val="0"/>
        <w:adjustRightInd w:val="0"/>
        <w:spacing w:line="600" w:lineRule="exact"/>
        <w:ind w:firstLine="643" w:firstLineChars="200"/>
        <w:jc w:val="left"/>
        <w:outlineLvl w:val="2"/>
        <w:rPr>
          <w:rFonts w:hint="eastAsia" w:ascii="仿宋" w:hAnsi="仿宋" w:eastAsia="仿宋"/>
          <w:b/>
          <w:color w:val="auto"/>
          <w:sz w:val="32"/>
          <w:szCs w:val="32"/>
          <w:highlight w:val="none"/>
          <w:lang w:eastAsia="zh-CN"/>
        </w:rPr>
      </w:pPr>
      <w:r>
        <w:rPr>
          <w:rFonts w:hint="eastAsia" w:ascii="仿宋" w:hAnsi="仿宋" w:eastAsia="仿宋"/>
          <w:b/>
          <w:color w:val="auto"/>
          <w:sz w:val="32"/>
          <w:szCs w:val="32"/>
          <w:highlight w:val="none"/>
        </w:rPr>
        <w:t>（四）预算绩效管理情况</w:t>
      </w:r>
    </w:p>
    <w:p>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根据预算绩效管理要求，本单位在</w:t>
      </w:r>
      <w:r>
        <w:rPr>
          <w:rFonts w:hint="eastAsia" w:ascii="仿宋_GB2312" w:hAnsi="仿宋_GB2312" w:eastAsia="仿宋_GB2312" w:cs="仿宋_GB2312"/>
          <w:color w:val="auto"/>
          <w:sz w:val="32"/>
          <w:szCs w:val="32"/>
          <w:highlight w:val="none"/>
          <w:lang w:val="en-US" w:eastAsia="zh-CN"/>
        </w:rPr>
        <w:t>2021年度</w:t>
      </w:r>
      <w:r>
        <w:rPr>
          <w:rFonts w:hint="eastAsia" w:ascii="仿宋_GB2312" w:hAnsi="仿宋_GB2312" w:eastAsia="仿宋_GB2312" w:cs="仿宋_GB2312"/>
          <w:color w:val="auto"/>
          <w:sz w:val="32"/>
          <w:szCs w:val="32"/>
          <w:highlight w:val="none"/>
        </w:rPr>
        <w:t>预算编制阶段，组织</w:t>
      </w:r>
      <w:r>
        <w:rPr>
          <w:rFonts w:hint="eastAsia" w:ascii="仿宋_GB2312" w:hAnsi="仿宋_GB2312" w:eastAsia="仿宋_GB2312" w:cs="仿宋_GB2312"/>
          <w:color w:val="auto"/>
          <w:sz w:val="32"/>
          <w:szCs w:val="32"/>
          <w:highlight w:val="none"/>
          <w:lang w:val="en-US" w:eastAsia="zh-CN"/>
        </w:rPr>
        <w:t>对建档立卡女性安康保险等13个项目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eastAsia="仿宋_GB2312" w:cs="仿宋_GB2312"/>
          <w:color w:val="auto"/>
          <w:sz w:val="32"/>
          <w:szCs w:val="32"/>
          <w:highlight w:val="none"/>
          <w:lang w:val="en-US" w:eastAsia="zh-CN"/>
        </w:rPr>
        <w:t>13</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个项目开展绩效监控，年终执行完毕后，对</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个项目开展了绩效自评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2021年特定目标类部门预算项目绩效目标自评表见附件（第四部分）</w:t>
      </w:r>
      <w:r>
        <w:rPr>
          <w:rFonts w:hint="eastAsia" w:ascii="仿宋_GB2312" w:hAnsi="仿宋_GB2312" w:eastAsia="仿宋_GB2312" w:cs="仿宋_GB2312"/>
          <w:color w:val="auto"/>
          <w:sz w:val="32"/>
          <w:szCs w:val="32"/>
          <w:highlight w:val="none"/>
        </w:rPr>
        <w:t>。</w:t>
      </w:r>
    </w:p>
    <w:p>
      <w:pPr>
        <w:pStyle w:val="9"/>
        <w:rPr>
          <w:highlight w:val="yellow"/>
        </w:rPr>
      </w:pPr>
    </w:p>
    <w:p>
      <w:pPr>
        <w:widowControl/>
        <w:jc w:val="left"/>
        <w:rPr>
          <w:rFonts w:ascii="仿宋_GB2312" w:eastAsia="仿宋_GB2312"/>
          <w:b/>
          <w:color w:val="auto"/>
          <w:sz w:val="32"/>
          <w:szCs w:val="32"/>
          <w:highlight w:val="none"/>
        </w:rPr>
      </w:pPr>
      <w:r>
        <w:rPr>
          <w:rFonts w:ascii="仿宋_GB2312" w:eastAsia="仿宋_GB2312"/>
          <w:b/>
          <w:color w:val="auto"/>
          <w:sz w:val="32"/>
          <w:szCs w:val="32"/>
          <w:highlight w:val="none"/>
        </w:rPr>
        <w:br w:type="page"/>
      </w:r>
    </w:p>
    <w:p>
      <w:pPr>
        <w:numPr>
          <w:ilvl w:val="0"/>
          <w:numId w:val="6"/>
        </w:numPr>
        <w:spacing w:line="600" w:lineRule="exact"/>
        <w:ind w:firstLine="660" w:firstLineChars="150"/>
        <w:jc w:val="center"/>
        <w:outlineLvl w:val="0"/>
        <w:rPr>
          <w:rStyle w:val="37"/>
          <w:rFonts w:ascii="黑体" w:hAnsi="黑体" w:eastAsia="黑体"/>
          <w:b w:val="0"/>
          <w:color w:val="auto"/>
          <w:highlight w:val="none"/>
        </w:rPr>
      </w:pPr>
      <w:bookmarkStart w:id="88" w:name="_Toc15396613"/>
      <w:bookmarkStart w:id="89" w:name="_Toc15377225"/>
      <w:bookmarkStart w:id="90" w:name="_Toc11596"/>
      <w:bookmarkStart w:id="91" w:name="_Toc12880"/>
      <w:r>
        <w:rPr>
          <w:rFonts w:hint="eastAsia" w:ascii="黑体" w:hAnsi="黑体" w:eastAsia="黑体"/>
          <w:color w:val="auto"/>
          <w:sz w:val="44"/>
          <w:szCs w:val="44"/>
          <w:highlight w:val="none"/>
        </w:rPr>
        <w:t>名</w:t>
      </w:r>
      <w:r>
        <w:rPr>
          <w:rStyle w:val="37"/>
          <w:rFonts w:hint="eastAsia" w:ascii="黑体" w:hAnsi="黑体" w:eastAsia="黑体"/>
          <w:b w:val="0"/>
          <w:color w:val="auto"/>
          <w:highlight w:val="none"/>
        </w:rPr>
        <w:t>词解释</w:t>
      </w:r>
      <w:bookmarkEnd w:id="88"/>
      <w:bookmarkEnd w:id="89"/>
      <w:bookmarkEnd w:id="90"/>
      <w:bookmarkEnd w:id="91"/>
    </w:p>
    <w:p>
      <w:pPr>
        <w:spacing w:line="600" w:lineRule="exact"/>
        <w:jc w:val="left"/>
        <w:rPr>
          <w:rFonts w:ascii="宋体"/>
          <w:b/>
          <w:color w:val="auto"/>
          <w:sz w:val="44"/>
          <w:szCs w:val="44"/>
          <w:highlight w:val="none"/>
        </w:rPr>
      </w:pPr>
    </w:p>
    <w:p>
      <w:pPr>
        <w:pStyle w:val="35"/>
        <w:numPr>
          <w:ilvl w:val="0"/>
          <w:numId w:val="7"/>
        </w:num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财政拨款收入：指单位从同级财政部门取得的财政预算资金。</w:t>
      </w:r>
    </w:p>
    <w:p>
      <w:pPr>
        <w:pStyle w:val="35"/>
        <w:numPr>
          <w:ilvl w:val="0"/>
          <w:numId w:val="0"/>
        </w:numPr>
        <w:spacing w:line="560" w:lineRule="exact"/>
        <w:ind w:firstLine="640" w:firstLineChars="200"/>
        <w:rPr>
          <w:rFonts w:ascii="仿宋_GB2312" w:eastAsia="仿宋_GB2312"/>
          <w:color w:val="FF0000"/>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w:t>
      </w:r>
    </w:p>
    <w:p>
      <w:pPr>
        <w:pStyle w:val="35"/>
        <w:spacing w:line="560" w:lineRule="exact"/>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w:t>
      </w:r>
    </w:p>
    <w:p>
      <w:pPr>
        <w:pStyle w:val="35"/>
        <w:spacing w:line="560" w:lineRule="exact"/>
        <w:ind w:firstLine="640" w:firstLineChars="200"/>
        <w:rPr>
          <w:rFonts w:hint="eastAsia"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4.上级补助收入：指事业单位从主管部门和上级单位取得的非财政补助收入。</w:t>
      </w:r>
    </w:p>
    <w:p>
      <w:pPr>
        <w:pStyle w:val="35"/>
        <w:spacing w:line="560" w:lineRule="exact"/>
        <w:ind w:firstLine="640" w:firstLineChars="200"/>
        <w:rPr>
          <w:rFonts w:hint="default"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5.附属单位上缴收入：指事业单位附属独立核算单位按照有关规定上缴的收入。</w:t>
      </w:r>
    </w:p>
    <w:p>
      <w:pPr>
        <w:pStyle w:val="35"/>
        <w:spacing w:line="560" w:lineRule="exact"/>
        <w:ind w:firstLine="640" w:firstLineChars="200"/>
        <w:rPr>
          <w:rFonts w:hint="eastAsia" w:ascii="仿宋_GB2312" w:eastAsia="仿宋_GB2312"/>
          <w:color w:val="FF0000"/>
          <w:sz w:val="32"/>
          <w:szCs w:val="32"/>
          <w:highlight w:val="none"/>
        </w:rPr>
      </w:pPr>
      <w:r>
        <w:rPr>
          <w:rFonts w:hint="eastAsia" w:ascii="仿宋_GB2312" w:eastAsia="仿宋_GB2312"/>
          <w:color w:val="auto"/>
          <w:sz w:val="32"/>
          <w:szCs w:val="32"/>
          <w:highlight w:val="none"/>
          <w:lang w:val="en-US" w:eastAsia="zh-CN"/>
        </w:rPr>
        <w:t>6</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其他收入：指单位取得的除上述收入以外的各项收入。</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基本支出：指为保障机构正常运转、完成日常工作任务而发生的人员支出和公用支出。</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9.</w:t>
      </w:r>
      <w:r>
        <w:rPr>
          <w:rFonts w:hint="eastAsia" w:ascii="仿宋_GB2312" w:eastAsia="仿宋_GB2312"/>
          <w:color w:val="auto"/>
          <w:sz w:val="32"/>
          <w:szCs w:val="32"/>
          <w:highlight w:val="none"/>
        </w:rPr>
        <w:t>经营支出：指事业单位在专业业务活动及其辅助活动之外开展非独立核算经营活动发生的支出。</w:t>
      </w:r>
    </w:p>
    <w:p>
      <w:pPr>
        <w:pStyle w:val="35"/>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w:t>
      </w:r>
      <w:r>
        <w:rPr>
          <w:rFonts w:ascii="仿宋_GB2312" w:eastAsia="仿宋_GB2312"/>
          <w:color w:val="auto"/>
          <w:sz w:val="32"/>
          <w:szCs w:val="32"/>
          <w:highlight w:val="none"/>
        </w:rPr>
        <w:t>0.</w:t>
      </w:r>
      <w:r>
        <w:rPr>
          <w:rFonts w:hint="eastAsia" w:ascii="仿宋_GB2312" w:eastAsia="仿宋_GB2312"/>
          <w:color w:val="auto"/>
          <w:sz w:val="32"/>
          <w:szCs w:val="32"/>
          <w:highlight w:val="none"/>
        </w:rPr>
        <w:t>“三公”经费：指</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w:t>
      </w:r>
      <w:r>
        <w:rPr>
          <w:rFonts w:ascii="仿宋_GB2312" w:eastAsia="仿宋_GB2312"/>
          <w:color w:val="auto"/>
          <w:sz w:val="32"/>
          <w:szCs w:val="32"/>
          <w:highlight w:val="none"/>
        </w:rPr>
        <w:t>1.</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5"/>
        <w:rPr>
          <w:rFonts w:hint="eastAsia"/>
          <w:highlight w:val="yellow"/>
        </w:rPr>
      </w:pPr>
      <w:r>
        <w:rPr>
          <w:rFonts w:hint="eastAsia" w:ascii="仿宋_GB2312" w:eastAsia="仿宋_GB2312"/>
          <w:color w:val="000000" w:themeColor="text1"/>
          <w:sz w:val="32"/>
          <w:szCs w:val="32"/>
          <w:highlight w:val="none"/>
          <w:lang w:val="en-US" w:eastAsia="zh-CN"/>
          <w14:textFill>
            <w14:solidFill>
              <w14:schemeClr w14:val="tx1"/>
            </w14:solidFill>
          </w14:textFill>
        </w:rPr>
        <w:t>12.</w:t>
      </w:r>
      <w:r>
        <w:rPr>
          <w:rFonts w:hint="eastAsia"/>
        </w:rPr>
        <w:t>一般公共服务（类）人大事务（款）行政运行（项）:</w:t>
      </w:r>
      <w:r>
        <w:rPr>
          <w:rFonts w:hint="eastAsia"/>
          <w:lang w:eastAsia="zh-CN"/>
        </w:rPr>
        <w:t>指用于</w:t>
      </w:r>
      <w:r>
        <w:rPr>
          <w:rFonts w:hint="eastAsia"/>
          <w:highlight w:val="none"/>
        </w:rPr>
        <w:t>机关及参公管理事业单位正常运转的基本支出，包括基本工资、津贴补贴等人员经费以及办公费、印刷费、水电费等日常公用经费。</w:t>
      </w:r>
    </w:p>
    <w:p>
      <w:pPr>
        <w:pStyle w:val="45"/>
        <w:rPr>
          <w:rFonts w:hint="eastAsia" w:eastAsia="仿宋_GB2312"/>
          <w:lang w:eastAsia="zh-CN"/>
        </w:rPr>
      </w:pPr>
      <w:r>
        <w:rPr>
          <w:rFonts w:hint="eastAsia"/>
          <w:lang w:val="en-US" w:eastAsia="zh-CN"/>
        </w:rPr>
        <w:t>13</w:t>
      </w:r>
      <w:r>
        <w:rPr>
          <w:rFonts w:hint="eastAsia"/>
        </w:rPr>
        <w:t>.</w:t>
      </w:r>
      <w:r>
        <w:rPr>
          <w:rFonts w:hint="eastAsia"/>
          <w:highlight w:val="none"/>
        </w:rPr>
        <w:t>一般公共服务支出（类）</w:t>
      </w:r>
      <w:r>
        <w:rPr>
          <w:rFonts w:hint="eastAsia"/>
          <w:highlight w:val="none"/>
          <w:lang w:eastAsia="zh-CN"/>
        </w:rPr>
        <w:t>政府办公厅（室）及相关机构事务</w:t>
      </w:r>
      <w:r>
        <w:rPr>
          <w:rFonts w:hint="eastAsia"/>
          <w:highlight w:val="none"/>
        </w:rPr>
        <w:t>（款）</w:t>
      </w:r>
      <w:r>
        <w:rPr>
          <w:rFonts w:hint="eastAsia"/>
          <w:highlight w:val="none"/>
          <w:lang w:eastAsia="zh-CN"/>
        </w:rPr>
        <w:t>信访事务</w:t>
      </w:r>
      <w:r>
        <w:rPr>
          <w:rFonts w:hint="eastAsia"/>
          <w:highlight w:val="none"/>
        </w:rPr>
        <w:t>（项）:机关及参公管理事业单位开展</w:t>
      </w:r>
      <w:r>
        <w:rPr>
          <w:rFonts w:hint="eastAsia"/>
          <w:highlight w:val="none"/>
          <w:lang w:val="en-US" w:eastAsia="zh-CN"/>
        </w:rPr>
        <w:t>信访</w:t>
      </w:r>
      <w:r>
        <w:rPr>
          <w:rFonts w:hint="eastAsia"/>
          <w:highlight w:val="none"/>
        </w:rPr>
        <w:t>工作的支出</w:t>
      </w:r>
      <w:r>
        <w:rPr>
          <w:rFonts w:hint="eastAsia"/>
          <w:highlight w:val="none"/>
          <w:lang w:eastAsia="zh-CN"/>
        </w:rPr>
        <w:t>。</w:t>
      </w:r>
    </w:p>
    <w:p>
      <w:pPr>
        <w:pStyle w:val="45"/>
        <w:rPr>
          <w:rFonts w:hint="eastAsia"/>
          <w:highlight w:val="yellow"/>
        </w:rPr>
      </w:pPr>
      <w:r>
        <w:rPr>
          <w:rFonts w:hint="eastAsia"/>
          <w:lang w:val="en-US" w:eastAsia="zh-CN"/>
        </w:rPr>
        <w:t>14.</w:t>
      </w:r>
      <w:r>
        <w:rPr>
          <w:rFonts w:hint="eastAsia"/>
        </w:rPr>
        <w:t>一般公共服务（类）政府办公厅（室）及相关机构事务（款）一般行政管理事务（项）:</w:t>
      </w:r>
      <w:r>
        <w:rPr>
          <w:rFonts w:hint="eastAsia"/>
          <w:highlight w:val="none"/>
        </w:rPr>
        <w:t>机关及参公管理事业单位开展财政综合业务、预决算编审等未单独设置项级科目的专门性财政管理工作的项目支出。</w:t>
      </w:r>
    </w:p>
    <w:p>
      <w:pPr>
        <w:pStyle w:val="45"/>
        <w:rPr>
          <w:rFonts w:hint="eastAsia"/>
          <w:highlight w:val="none"/>
        </w:rPr>
      </w:pPr>
      <w:r>
        <w:rPr>
          <w:rFonts w:hint="eastAsia"/>
          <w:lang w:val="en-US" w:eastAsia="zh-CN"/>
        </w:rPr>
        <w:t>15</w:t>
      </w:r>
      <w:r>
        <w:rPr>
          <w:rFonts w:hint="eastAsia"/>
        </w:rPr>
        <w:t>.一般公共服务（类）政府办公厅（室）及相关机构事务（款）事业运行（项）:</w:t>
      </w:r>
      <w:r>
        <w:rPr>
          <w:rFonts w:hint="eastAsia"/>
          <w:highlight w:val="none"/>
        </w:rPr>
        <w:t>开展其他财政事务方面专门性工作任务的项目支出。</w:t>
      </w:r>
    </w:p>
    <w:p>
      <w:pPr>
        <w:pStyle w:val="45"/>
        <w:rPr>
          <w:rFonts w:hint="eastAsia"/>
          <w:highlight w:val="none"/>
        </w:rPr>
      </w:pPr>
      <w:r>
        <w:rPr>
          <w:rFonts w:hint="eastAsia"/>
          <w:highlight w:val="none"/>
        </w:rPr>
        <w:t>1</w:t>
      </w:r>
      <w:r>
        <w:rPr>
          <w:rFonts w:hint="eastAsia"/>
          <w:highlight w:val="none"/>
          <w:lang w:val="en-US" w:eastAsia="zh-CN"/>
        </w:rPr>
        <w:t>6</w:t>
      </w:r>
      <w:r>
        <w:rPr>
          <w:rFonts w:hint="eastAsia"/>
          <w:highlight w:val="none"/>
        </w:rPr>
        <w:t>.一般公共服务支出</w:t>
      </w:r>
      <w:r>
        <w:rPr>
          <w:rFonts w:hint="eastAsia"/>
        </w:rPr>
        <w:t>（类）</w:t>
      </w:r>
      <w:r>
        <w:rPr>
          <w:rFonts w:hint="eastAsia"/>
          <w:highlight w:val="none"/>
        </w:rPr>
        <w:t>其他共产党事务支出</w:t>
      </w:r>
      <w:r>
        <w:rPr>
          <w:rFonts w:hint="eastAsia"/>
        </w:rPr>
        <w:t>（款）</w:t>
      </w:r>
      <w:r>
        <w:rPr>
          <w:rFonts w:hint="eastAsia"/>
          <w:highlight w:val="none"/>
        </w:rPr>
        <w:t>行政运行</w:t>
      </w:r>
      <w:r>
        <w:rPr>
          <w:rFonts w:hint="eastAsia"/>
        </w:rPr>
        <w:t>（项）</w:t>
      </w:r>
      <w:r>
        <w:rPr>
          <w:rFonts w:hint="eastAsia"/>
          <w:highlight w:val="none"/>
        </w:rPr>
        <w:t>：</w:t>
      </w:r>
      <w:r>
        <w:rPr>
          <w:rFonts w:hint="eastAsia"/>
          <w:highlight w:val="none"/>
          <w:lang w:val="en-US" w:eastAsia="zh-CN"/>
        </w:rPr>
        <w:t>指</w:t>
      </w:r>
      <w:r>
        <w:rPr>
          <w:rFonts w:hint="eastAsia"/>
          <w:lang w:eastAsia="zh-CN"/>
        </w:rPr>
        <w:t>用于</w:t>
      </w:r>
      <w:r>
        <w:rPr>
          <w:rFonts w:hint="eastAsia"/>
          <w:highlight w:val="none"/>
        </w:rPr>
        <w:t>机关及参公管理事业单位</w:t>
      </w:r>
      <w:r>
        <w:rPr>
          <w:rFonts w:hint="eastAsia"/>
          <w:highlight w:val="none"/>
          <w:lang w:val="en-US" w:eastAsia="zh-CN"/>
        </w:rPr>
        <w:t>的</w:t>
      </w:r>
      <w:r>
        <w:rPr>
          <w:rFonts w:hint="eastAsia"/>
          <w:highlight w:val="none"/>
        </w:rPr>
        <w:t>其他共产党事务支出</w:t>
      </w:r>
      <w:r>
        <w:rPr>
          <w:rFonts w:hint="eastAsia"/>
          <w:highlight w:val="none"/>
          <w:lang w:val="en-US" w:eastAsia="zh-CN"/>
        </w:rPr>
        <w:t>的基本支出</w:t>
      </w:r>
      <w:r>
        <w:rPr>
          <w:rFonts w:hint="eastAsia"/>
          <w:highlight w:val="none"/>
        </w:rPr>
        <w:t>。</w:t>
      </w:r>
    </w:p>
    <w:p>
      <w:pPr>
        <w:pStyle w:val="45"/>
        <w:rPr>
          <w:rFonts w:hint="eastAsia"/>
          <w:highlight w:val="none"/>
        </w:rPr>
      </w:pPr>
      <w:r>
        <w:rPr>
          <w:rFonts w:hint="eastAsia"/>
          <w:highlight w:val="none"/>
          <w:lang w:val="en-US" w:eastAsia="zh-CN"/>
        </w:rPr>
        <w:t>17</w:t>
      </w:r>
      <w:r>
        <w:rPr>
          <w:rFonts w:hint="eastAsia"/>
          <w:highlight w:val="none"/>
        </w:rPr>
        <w:t>.一般公共服务支出</w:t>
      </w:r>
      <w:r>
        <w:rPr>
          <w:rFonts w:hint="eastAsia"/>
        </w:rPr>
        <w:t>（类）</w:t>
      </w:r>
      <w:r>
        <w:rPr>
          <w:rFonts w:hint="eastAsia"/>
          <w:highlight w:val="none"/>
        </w:rPr>
        <w:t>其他共产党事务支出</w:t>
      </w:r>
      <w:r>
        <w:rPr>
          <w:rFonts w:hint="eastAsia"/>
        </w:rPr>
        <w:t>（款）</w:t>
      </w:r>
      <w:r>
        <w:rPr>
          <w:rFonts w:hint="eastAsia"/>
          <w:highlight w:val="none"/>
        </w:rPr>
        <w:t xml:space="preserve"> 事业运行</w:t>
      </w:r>
      <w:r>
        <w:rPr>
          <w:rFonts w:hint="eastAsia"/>
        </w:rPr>
        <w:t>（项）</w:t>
      </w:r>
      <w:r>
        <w:rPr>
          <w:rFonts w:hint="eastAsia"/>
          <w:highlight w:val="none"/>
        </w:rPr>
        <w:t>：</w:t>
      </w:r>
      <w:r>
        <w:rPr>
          <w:rFonts w:hint="eastAsia"/>
          <w:highlight w:val="none"/>
          <w:lang w:val="en-US" w:eastAsia="zh-CN"/>
        </w:rPr>
        <w:t>指</w:t>
      </w:r>
      <w:r>
        <w:rPr>
          <w:rFonts w:hint="eastAsia"/>
          <w:lang w:eastAsia="zh-CN"/>
        </w:rPr>
        <w:t>用于</w:t>
      </w:r>
      <w:r>
        <w:rPr>
          <w:rFonts w:hint="eastAsia"/>
          <w:highlight w:val="none"/>
        </w:rPr>
        <w:t>机关及参公管理事业单位</w:t>
      </w:r>
      <w:r>
        <w:rPr>
          <w:rFonts w:hint="eastAsia"/>
          <w:highlight w:val="none"/>
          <w:lang w:val="en-US" w:eastAsia="zh-CN"/>
        </w:rPr>
        <w:t>的</w:t>
      </w:r>
      <w:r>
        <w:rPr>
          <w:rFonts w:hint="eastAsia"/>
          <w:highlight w:val="none"/>
        </w:rPr>
        <w:t>其他共产党事务支出</w:t>
      </w:r>
      <w:r>
        <w:rPr>
          <w:rFonts w:hint="eastAsia"/>
          <w:highlight w:val="none"/>
          <w:lang w:val="en-US" w:eastAsia="zh-CN"/>
        </w:rPr>
        <w:t>的项目支出</w:t>
      </w:r>
      <w:r>
        <w:rPr>
          <w:rFonts w:hint="eastAsia"/>
          <w:highlight w:val="none"/>
        </w:rPr>
        <w:t>。</w:t>
      </w:r>
    </w:p>
    <w:p>
      <w:pPr>
        <w:pStyle w:val="45"/>
        <w:rPr>
          <w:rFonts w:hint="eastAsia"/>
          <w:highlight w:val="none"/>
        </w:rPr>
      </w:pPr>
      <w:r>
        <w:rPr>
          <w:rFonts w:hint="eastAsia"/>
          <w:highlight w:val="none"/>
          <w:lang w:val="en-US" w:eastAsia="zh-CN"/>
        </w:rPr>
        <w:t>18</w:t>
      </w:r>
      <w:r>
        <w:rPr>
          <w:rFonts w:hint="eastAsia"/>
          <w:highlight w:val="none"/>
        </w:rPr>
        <w:t>.教育支出</w:t>
      </w:r>
      <w:r>
        <w:rPr>
          <w:rFonts w:hint="eastAsia"/>
        </w:rPr>
        <w:t>（类）</w:t>
      </w:r>
      <w:r>
        <w:rPr>
          <w:rFonts w:hint="eastAsia"/>
          <w:highlight w:val="none"/>
        </w:rPr>
        <w:t>进修及培训</w:t>
      </w:r>
      <w:r>
        <w:rPr>
          <w:rFonts w:hint="eastAsia"/>
        </w:rPr>
        <w:t>（款）</w:t>
      </w:r>
      <w:r>
        <w:rPr>
          <w:rFonts w:hint="eastAsia"/>
          <w:highlight w:val="none"/>
        </w:rPr>
        <w:t>干部教育</w:t>
      </w:r>
      <w:r>
        <w:rPr>
          <w:rFonts w:hint="eastAsia"/>
        </w:rPr>
        <w:t>（项）</w:t>
      </w:r>
      <w:r>
        <w:rPr>
          <w:rFonts w:hint="eastAsia"/>
          <w:highlight w:val="none"/>
        </w:rPr>
        <w:t>：</w:t>
      </w:r>
      <w:r>
        <w:rPr>
          <w:rFonts w:hint="eastAsia"/>
          <w:highlight w:val="none"/>
          <w:lang w:val="en-US" w:eastAsia="zh-CN"/>
        </w:rPr>
        <w:t>指</w:t>
      </w:r>
      <w:r>
        <w:rPr>
          <w:rFonts w:hint="eastAsia"/>
          <w:highlight w:val="none"/>
        </w:rPr>
        <w:t>机关及参公管理事业单位</w:t>
      </w:r>
      <w:r>
        <w:rPr>
          <w:rFonts w:hint="eastAsia"/>
          <w:highlight w:val="none"/>
          <w:lang w:val="en-US" w:eastAsia="zh-CN"/>
        </w:rPr>
        <w:t>干部的进修及培训支出</w:t>
      </w:r>
      <w:r>
        <w:rPr>
          <w:rFonts w:hint="eastAsia"/>
          <w:highlight w:val="none"/>
        </w:rPr>
        <w:t>。</w:t>
      </w:r>
    </w:p>
    <w:p>
      <w:pPr>
        <w:pStyle w:val="45"/>
        <w:rPr>
          <w:rFonts w:hint="eastAsia" w:eastAsia="仿宋_GB2312"/>
          <w:highlight w:val="none"/>
          <w:lang w:eastAsia="zh-CN"/>
        </w:rPr>
      </w:pPr>
      <w:r>
        <w:rPr>
          <w:rFonts w:hint="eastAsia"/>
          <w:highlight w:val="none"/>
          <w:lang w:val="en-US" w:eastAsia="zh-CN"/>
        </w:rPr>
        <w:t>19.</w:t>
      </w:r>
      <w:r>
        <w:rPr>
          <w:rFonts w:hint="eastAsia"/>
          <w:highlight w:val="none"/>
        </w:rPr>
        <w:t>科学技术支出</w:t>
      </w:r>
      <w:r>
        <w:rPr>
          <w:rFonts w:hint="eastAsia"/>
        </w:rPr>
        <w:t>（类）</w:t>
      </w:r>
      <w:r>
        <w:rPr>
          <w:rFonts w:hint="eastAsia"/>
          <w:highlight w:val="none"/>
        </w:rPr>
        <w:t>）社会科学</w:t>
      </w:r>
      <w:r>
        <w:rPr>
          <w:rFonts w:hint="eastAsia"/>
        </w:rPr>
        <w:t>（款）</w:t>
      </w:r>
      <w:r>
        <w:rPr>
          <w:rFonts w:hint="eastAsia"/>
          <w:highlight w:val="none"/>
        </w:rPr>
        <w:t>其他社会科学支出</w:t>
      </w:r>
      <w:r>
        <w:rPr>
          <w:rFonts w:hint="eastAsia"/>
        </w:rPr>
        <w:t>（项）</w:t>
      </w:r>
      <w:r>
        <w:rPr>
          <w:rFonts w:hint="eastAsia"/>
          <w:lang w:eastAsia="zh-CN"/>
        </w:rPr>
        <w:t>：</w:t>
      </w:r>
      <w:r>
        <w:rPr>
          <w:rFonts w:hint="eastAsia"/>
          <w:lang w:val="en-US" w:eastAsia="zh-CN"/>
        </w:rPr>
        <w:t>指</w:t>
      </w:r>
      <w:r>
        <w:rPr>
          <w:rFonts w:hint="eastAsia"/>
          <w:highlight w:val="none"/>
        </w:rPr>
        <w:t>机关及参公管理事业单位其他社会科学支出</w:t>
      </w:r>
      <w:r>
        <w:rPr>
          <w:rFonts w:hint="eastAsia"/>
          <w:highlight w:val="none"/>
          <w:lang w:eastAsia="zh-CN"/>
        </w:rPr>
        <w:t>。</w:t>
      </w:r>
    </w:p>
    <w:p>
      <w:pPr>
        <w:pStyle w:val="45"/>
        <w:rPr>
          <w:rFonts w:hint="eastAsia"/>
        </w:rPr>
      </w:pPr>
      <w:r>
        <w:rPr>
          <w:rFonts w:hint="eastAsia"/>
          <w:lang w:val="en-US" w:eastAsia="zh-CN"/>
        </w:rPr>
        <w:t>20</w:t>
      </w:r>
      <w:r>
        <w:rPr>
          <w:rFonts w:hint="eastAsia"/>
        </w:rPr>
        <w:t>.文化旅游体育与传媒支出（类）文化旅游（款）群众文化（项）：反映群众文化方面的支出，包括基层文化馆（站）、群众文化艺术馆支出等</w:t>
      </w:r>
      <w:r>
        <w:rPr>
          <w:rFonts w:hint="eastAsia"/>
          <w:lang w:eastAsia="zh-CN"/>
        </w:rPr>
        <w:t>。</w:t>
      </w:r>
    </w:p>
    <w:p>
      <w:pPr>
        <w:pStyle w:val="45"/>
        <w:rPr>
          <w:rFonts w:hint="eastAsia"/>
        </w:rPr>
      </w:pPr>
      <w:r>
        <w:rPr>
          <w:rFonts w:hint="eastAsia"/>
          <w:lang w:val="en-US" w:eastAsia="zh-CN"/>
        </w:rPr>
        <w:t>21</w:t>
      </w:r>
      <w:r>
        <w:rPr>
          <w:rFonts w:hint="eastAsia"/>
        </w:rPr>
        <w:t>．社会保障和就业支出（类）人力资源和社会保障管理事务（款）其他人力资源和社会保障管理事务支出（项）：反映其他用于人力资源和社会保障管理事务方面的支出。</w:t>
      </w:r>
    </w:p>
    <w:p>
      <w:pPr>
        <w:pStyle w:val="45"/>
        <w:rPr>
          <w:rFonts w:hint="eastAsia"/>
        </w:rPr>
      </w:pPr>
      <w:r>
        <w:rPr>
          <w:rFonts w:hint="eastAsia"/>
          <w:lang w:val="en-US" w:eastAsia="zh-CN"/>
        </w:rPr>
        <w:t>22</w:t>
      </w:r>
      <w:r>
        <w:rPr>
          <w:rFonts w:hint="eastAsia"/>
        </w:rPr>
        <w:t>．社会保障和就业支出（类）民政管理事务（款）基层政权建设和社区治理（项）：反映开展城乡社区治理、城乡社区服务（乡村便民服务）、村（居）务公开、乡镇（街道）服务能力建设等基层政权建设和社区治理工作的支出。</w:t>
      </w:r>
    </w:p>
    <w:p>
      <w:pPr>
        <w:pStyle w:val="45"/>
        <w:rPr>
          <w:rFonts w:hint="eastAsia"/>
        </w:rPr>
      </w:pPr>
      <w:r>
        <w:rPr>
          <w:rFonts w:hint="eastAsia"/>
          <w:lang w:val="en-US" w:eastAsia="zh-CN"/>
        </w:rPr>
        <w:t>23</w:t>
      </w:r>
      <w:r>
        <w:rPr>
          <w:rFonts w:hint="eastAsia"/>
        </w:rPr>
        <w:t>．社会保障和就业支出（类）民政管理事务（款）其他民政管理事务支出（项）：反映民政部门接待来访、法制建设、政策宣传方面的支出，以及开展社会救助、社会福利、养老服务、社会事务、信息化建设等方面的支出。</w:t>
      </w:r>
    </w:p>
    <w:p>
      <w:pPr>
        <w:pStyle w:val="45"/>
        <w:rPr>
          <w:rFonts w:hint="eastAsia"/>
        </w:rPr>
      </w:pPr>
      <w:r>
        <w:rPr>
          <w:rFonts w:hint="eastAsia"/>
          <w:lang w:val="en-US" w:eastAsia="zh-CN"/>
        </w:rPr>
        <w:t>24</w:t>
      </w:r>
      <w:r>
        <w:rPr>
          <w:rFonts w:hint="eastAsia"/>
        </w:rPr>
        <w:t>．社会保障和就业支出（类）行政事业单位养老支出（款）机关事业单位基本养老保险缴费支出（项）：反映机关事业单位实施养老保险制度由单位缴纳的基本养老保险费的支出。</w:t>
      </w:r>
    </w:p>
    <w:p>
      <w:pPr>
        <w:pStyle w:val="45"/>
        <w:rPr>
          <w:rFonts w:hint="eastAsia"/>
        </w:rPr>
      </w:pPr>
      <w:r>
        <w:rPr>
          <w:rFonts w:hint="eastAsia"/>
          <w:lang w:val="en-US" w:eastAsia="zh-CN"/>
        </w:rPr>
        <w:t>25</w:t>
      </w:r>
      <w:r>
        <w:rPr>
          <w:rFonts w:hint="eastAsia"/>
        </w:rPr>
        <w:t>．社会保障和就业支出（类）行政事业单位养老支出（款）机关事业单位职业年金缴费支出（项）：反映机关事业单位实施养老保险制度由单位世纪缴纳的职业年金支出。</w:t>
      </w:r>
    </w:p>
    <w:p>
      <w:pPr>
        <w:pStyle w:val="45"/>
        <w:rPr>
          <w:rFonts w:hint="eastAsia"/>
        </w:rPr>
      </w:pPr>
      <w:r>
        <w:rPr>
          <w:rFonts w:hint="eastAsia"/>
          <w:lang w:val="en-US" w:eastAsia="zh-CN"/>
        </w:rPr>
        <w:t>26</w:t>
      </w:r>
      <w:r>
        <w:rPr>
          <w:rFonts w:hint="eastAsia"/>
        </w:rPr>
        <w:t>．社会保障和就业支出（类）行政事业单位养老支出（款）其他行政事业单位基本养老支出（项）：反映除上述项目以外其他用于行政事业单位养老方面的支出。</w:t>
      </w:r>
    </w:p>
    <w:p>
      <w:pPr>
        <w:pStyle w:val="45"/>
        <w:rPr>
          <w:rFonts w:hint="eastAsia"/>
        </w:rPr>
      </w:pPr>
      <w:r>
        <w:rPr>
          <w:rFonts w:hint="eastAsia"/>
          <w:lang w:val="en-US" w:eastAsia="zh-CN"/>
        </w:rPr>
        <w:t>27</w:t>
      </w:r>
      <w:r>
        <w:rPr>
          <w:rFonts w:hint="eastAsia"/>
        </w:rPr>
        <w:t>．社会保障和就业支出（类）抚恤（款）其他优抚支出（项）：反映用于义务兵优待、死亡伤残抚恤等以外的其他优抚支出。</w:t>
      </w:r>
    </w:p>
    <w:p>
      <w:pPr>
        <w:pStyle w:val="45"/>
        <w:rPr>
          <w:rFonts w:hint="eastAsia"/>
        </w:rPr>
      </w:pPr>
      <w:r>
        <w:rPr>
          <w:rFonts w:hint="eastAsia"/>
          <w:lang w:val="en-US" w:eastAsia="zh-CN"/>
        </w:rPr>
        <w:t>28</w:t>
      </w:r>
      <w:r>
        <w:rPr>
          <w:rFonts w:hint="eastAsia"/>
        </w:rPr>
        <w:t>．社会保障和就业支出（类）其他社会保障和就业支出（款）其他社会保障和就业支出（项）：反映除上述项目以外其他用于社会保障和就业方面的支出。</w:t>
      </w:r>
    </w:p>
    <w:p>
      <w:pPr>
        <w:pStyle w:val="45"/>
        <w:rPr>
          <w:rFonts w:hint="eastAsia"/>
        </w:rPr>
      </w:pPr>
      <w:r>
        <w:rPr>
          <w:rFonts w:hint="eastAsia"/>
        </w:rPr>
        <w:t>2</w:t>
      </w:r>
      <w:r>
        <w:rPr>
          <w:rFonts w:hint="eastAsia"/>
          <w:lang w:val="en-US" w:eastAsia="zh-CN"/>
        </w:rPr>
        <w:t>9</w:t>
      </w:r>
      <w:r>
        <w:rPr>
          <w:rFonts w:hint="eastAsia"/>
        </w:rPr>
        <w:t>．卫生健康支出（类）公共卫生（款）采供血机构（项）：反映卫生健康部门所属采供血机构的支出。</w:t>
      </w:r>
    </w:p>
    <w:p>
      <w:pPr>
        <w:pStyle w:val="45"/>
        <w:rPr>
          <w:rFonts w:hint="eastAsia"/>
        </w:rPr>
      </w:pPr>
      <w:r>
        <w:rPr>
          <w:rFonts w:hint="eastAsia"/>
          <w:lang w:val="en-US" w:eastAsia="zh-CN"/>
        </w:rPr>
        <w:t>30</w:t>
      </w:r>
      <w:r>
        <w:rPr>
          <w:rFonts w:hint="eastAsia"/>
        </w:rPr>
        <w:t>．卫生健康支出（类）行政事业单位医疗（款）行政单位医疗（项）：指行政单位及参公管理事业单位用于缴纳单位基本医疗保险支出。</w:t>
      </w:r>
    </w:p>
    <w:p>
      <w:pPr>
        <w:pStyle w:val="45"/>
        <w:rPr>
          <w:rFonts w:hint="eastAsia"/>
        </w:rPr>
      </w:pPr>
      <w:r>
        <w:rPr>
          <w:rFonts w:hint="eastAsia"/>
          <w:lang w:val="en-US" w:eastAsia="zh-CN"/>
        </w:rPr>
        <w:t>31</w:t>
      </w:r>
      <w:r>
        <w:rPr>
          <w:rFonts w:hint="eastAsia"/>
        </w:rPr>
        <w:t>．卫生健康支出（类）行政事业单位医疗（款）事业单位医疗（项）：指事业单位用于缴纳单位基本医疗保险支出。</w:t>
      </w:r>
    </w:p>
    <w:p>
      <w:pPr>
        <w:pStyle w:val="45"/>
        <w:rPr>
          <w:rFonts w:hint="eastAsia"/>
        </w:rPr>
      </w:pPr>
      <w:r>
        <w:rPr>
          <w:rFonts w:hint="eastAsia"/>
          <w:lang w:val="en-US" w:eastAsia="zh-CN"/>
        </w:rPr>
        <w:t>32</w:t>
      </w:r>
      <w:r>
        <w:rPr>
          <w:rFonts w:hint="eastAsia"/>
        </w:rPr>
        <w:t>．城乡社区支出（类）城乡社区公共设施（款）其他城乡社区公共设施支出（项）：反映其他用于城乡社区公共设施方面的支出。</w:t>
      </w:r>
    </w:p>
    <w:p>
      <w:pPr>
        <w:pStyle w:val="45"/>
        <w:rPr>
          <w:rFonts w:hint="eastAsia"/>
        </w:rPr>
      </w:pPr>
      <w:r>
        <w:rPr>
          <w:rFonts w:hint="eastAsia"/>
          <w:lang w:val="en-US" w:eastAsia="zh-CN"/>
        </w:rPr>
        <w:t>33</w:t>
      </w:r>
      <w:r>
        <w:rPr>
          <w:rFonts w:hint="eastAsia"/>
        </w:rPr>
        <w:t>．城乡社区支出（类）城乡社区环境卫生（款）城乡社区环境卫生（项）：反映城乡社区道路清扫、垃圾清运与处理、公厕建设与维护、园林绿化等方面的支出。</w:t>
      </w:r>
    </w:p>
    <w:p>
      <w:pPr>
        <w:pStyle w:val="45"/>
        <w:rPr>
          <w:rFonts w:hint="eastAsia"/>
        </w:rPr>
      </w:pPr>
      <w:r>
        <w:rPr>
          <w:rFonts w:hint="eastAsia"/>
          <w:lang w:val="en-US" w:eastAsia="zh-CN"/>
        </w:rPr>
        <w:t>34</w:t>
      </w:r>
      <w:r>
        <w:rPr>
          <w:rFonts w:hint="eastAsia"/>
        </w:rPr>
        <w:t>．农林水支出（类）农业农村（款）事业运行（项）：反映用于农业事业单位方面的基本支出。</w:t>
      </w:r>
    </w:p>
    <w:p>
      <w:pPr>
        <w:pStyle w:val="45"/>
        <w:rPr>
          <w:rFonts w:hint="eastAsia"/>
        </w:rPr>
      </w:pPr>
      <w:r>
        <w:rPr>
          <w:rFonts w:hint="eastAsia"/>
          <w:lang w:val="en-US" w:eastAsia="zh-CN"/>
        </w:rPr>
        <w:t>35</w:t>
      </w:r>
      <w:r>
        <w:rPr>
          <w:rFonts w:hint="eastAsia"/>
        </w:rPr>
        <w:t>．农林水支出（类）农业农村（款）其他农业农村支出（项）：反映除上述项目以外其他用于农业农村方面的支出。</w:t>
      </w:r>
    </w:p>
    <w:p>
      <w:pPr>
        <w:pStyle w:val="45"/>
        <w:rPr>
          <w:rFonts w:hint="eastAsia"/>
        </w:rPr>
      </w:pPr>
      <w:r>
        <w:rPr>
          <w:rFonts w:hint="eastAsia"/>
          <w:lang w:val="en-US" w:eastAsia="zh-CN"/>
        </w:rPr>
        <w:t>36</w:t>
      </w:r>
      <w:r>
        <w:rPr>
          <w:rFonts w:hint="eastAsia"/>
        </w:rPr>
        <w:t>．农林水支出（类）农村综合改革（款）对村民委员会和村党支部的补助（项）：反映各级财政对村民委员会和村党支部的补助支出，以及支持建立县级基本财力保障机制安排的村级组织运转奖补资金。</w:t>
      </w:r>
    </w:p>
    <w:p>
      <w:pPr>
        <w:pStyle w:val="45"/>
        <w:rPr>
          <w:rFonts w:hint="eastAsia"/>
        </w:rPr>
      </w:pPr>
      <w:r>
        <w:rPr>
          <w:rFonts w:hint="eastAsia"/>
          <w:lang w:val="en-US" w:eastAsia="zh-CN"/>
        </w:rPr>
        <w:t>37</w:t>
      </w:r>
      <w:r>
        <w:rPr>
          <w:rFonts w:hint="eastAsia"/>
        </w:rPr>
        <w:t>．农林水支出（类）农村综合改革（款）农村综合改革示范试点补助（项）：反映各级财政对农村综合改革示范试点、新型农业社会化服务体系建设等补助支出。</w:t>
      </w:r>
    </w:p>
    <w:p>
      <w:pPr>
        <w:pStyle w:val="45"/>
        <w:rPr>
          <w:rFonts w:hint="eastAsia"/>
        </w:rPr>
      </w:pPr>
      <w:r>
        <w:rPr>
          <w:rFonts w:hint="eastAsia"/>
          <w:lang w:val="en-US" w:eastAsia="zh-CN"/>
        </w:rPr>
        <w:t>38</w:t>
      </w:r>
      <w:r>
        <w:rPr>
          <w:rFonts w:hint="eastAsia"/>
        </w:rPr>
        <w:t>．社会保障和就业支出（类）人力资源和社会保障管理事务（款）其他人力资源和社会保障管理事务支出（项）:指离退休人员的支出。</w:t>
      </w:r>
    </w:p>
    <w:p>
      <w:pPr>
        <w:pStyle w:val="45"/>
        <w:rPr>
          <w:rFonts w:hint="eastAsia"/>
        </w:rPr>
      </w:pPr>
      <w:r>
        <w:rPr>
          <w:rFonts w:hint="eastAsia"/>
          <w:lang w:val="en-US" w:eastAsia="zh-CN"/>
        </w:rPr>
        <w:t>39</w:t>
      </w:r>
      <w:r>
        <w:rPr>
          <w:rFonts w:hint="eastAsia"/>
        </w:rPr>
        <w:t>.社会保障和就业支出（类）民政管理事务（款）基层政权建设和社区治理（项）:基层政权和社区治理的工作经费支出。</w:t>
      </w:r>
    </w:p>
    <w:p>
      <w:pPr>
        <w:pStyle w:val="45"/>
        <w:rPr>
          <w:rFonts w:hint="eastAsia"/>
        </w:rPr>
      </w:pPr>
      <w:r>
        <w:rPr>
          <w:rFonts w:hint="eastAsia"/>
          <w:lang w:val="en-US" w:eastAsia="zh-CN"/>
        </w:rPr>
        <w:t>40</w:t>
      </w:r>
      <w:r>
        <w:rPr>
          <w:rFonts w:hint="eastAsia"/>
        </w:rPr>
        <w:t>.社会保障和就业支出（类）行政事业单位养老支出（款）行政单位离退休（项）:</w:t>
      </w:r>
      <w:r>
        <w:rPr>
          <w:rFonts w:hint="eastAsia"/>
          <w:lang w:eastAsia="zh-CN"/>
        </w:rPr>
        <w:t>指</w:t>
      </w:r>
      <w:r>
        <w:rPr>
          <w:rFonts w:hint="eastAsia"/>
        </w:rPr>
        <w:t>部门行政单位（本级）和下属单位离、退休人</w:t>
      </w:r>
      <w:r>
        <w:rPr>
          <w:rFonts w:hint="eastAsia"/>
          <w:color w:val="auto"/>
        </w:rPr>
        <w:t>员</w:t>
      </w:r>
      <w:r>
        <w:rPr>
          <w:rFonts w:hint="eastAsia"/>
          <w:color w:val="auto"/>
          <w:lang w:eastAsia="zh-CN"/>
        </w:rPr>
        <w:t>的</w:t>
      </w:r>
      <w:r>
        <w:rPr>
          <w:rFonts w:hint="eastAsia"/>
          <w:color w:val="auto"/>
        </w:rPr>
        <w:t>支出。</w:t>
      </w:r>
      <w:r>
        <w:rPr>
          <w:rFonts w:hint="eastAsia"/>
        </w:rPr>
        <w:t xml:space="preserve"> </w:t>
      </w:r>
    </w:p>
    <w:p>
      <w:pPr>
        <w:pStyle w:val="45"/>
        <w:rPr>
          <w:rFonts w:hint="eastAsia" w:eastAsia="仿宋_GB2312"/>
          <w:lang w:eastAsia="zh-CN"/>
        </w:rPr>
      </w:pPr>
      <w:r>
        <w:rPr>
          <w:rFonts w:hint="eastAsia"/>
          <w:lang w:val="en-US" w:eastAsia="zh-CN"/>
        </w:rPr>
        <w:t>41</w:t>
      </w:r>
      <w:r>
        <w:rPr>
          <w:rFonts w:hint="eastAsia"/>
        </w:rPr>
        <w:t>.社会保障和就业支出（类）行政事业单位养老支出（款）机关事业单位基本养老保险缴费支出（项）:部门实施养老保险制度由单位缴纳的养老保险费的支出</w:t>
      </w:r>
      <w:r>
        <w:rPr>
          <w:rFonts w:hint="eastAsia"/>
          <w:lang w:eastAsia="zh-CN"/>
        </w:rPr>
        <w:t>。</w:t>
      </w:r>
    </w:p>
    <w:p>
      <w:pPr>
        <w:pStyle w:val="45"/>
        <w:rPr>
          <w:rFonts w:hint="eastAsia"/>
        </w:rPr>
      </w:pPr>
      <w:r>
        <w:rPr>
          <w:rFonts w:hint="eastAsia"/>
          <w:lang w:val="en-US" w:eastAsia="zh-CN"/>
        </w:rPr>
        <w:t>42</w:t>
      </w:r>
      <w:r>
        <w:rPr>
          <w:rFonts w:hint="eastAsia"/>
          <w:color w:val="auto"/>
        </w:rPr>
        <w:t>.社会保障和就业支出（类）抚恤（款）其他优抚支出（项）:反映其他用于优抚方面的支出。</w:t>
      </w:r>
      <w:r>
        <w:rPr>
          <w:rFonts w:hint="eastAsia"/>
          <w:color w:val="1F497D"/>
        </w:rPr>
        <w:t xml:space="preserve"> </w:t>
      </w:r>
    </w:p>
    <w:p>
      <w:pPr>
        <w:pStyle w:val="45"/>
        <w:rPr>
          <w:rFonts w:hint="eastAsia"/>
        </w:rPr>
      </w:pPr>
      <w:r>
        <w:rPr>
          <w:rFonts w:hint="eastAsia"/>
          <w:lang w:val="en-US" w:eastAsia="zh-CN"/>
        </w:rPr>
        <w:t>43</w:t>
      </w:r>
      <w:r>
        <w:rPr>
          <w:rFonts w:hint="eastAsia"/>
        </w:rPr>
        <w:t>.社会保障和就业支出（类）残疾人事业（款）其他残疾人事业支出（项）:指残疾人保证金的支出。</w:t>
      </w:r>
    </w:p>
    <w:p>
      <w:pPr>
        <w:pStyle w:val="45"/>
        <w:ind w:left="0" w:leftChars="0" w:firstLine="640" w:firstLineChars="200"/>
        <w:rPr>
          <w:rFonts w:hint="eastAsia"/>
          <w:highlight w:val="yellow"/>
        </w:rPr>
      </w:pPr>
      <w:r>
        <w:rPr>
          <w:rFonts w:hint="eastAsia"/>
          <w:lang w:val="en-US" w:eastAsia="zh-CN"/>
        </w:rPr>
        <w:t>44</w:t>
      </w:r>
      <w:r>
        <w:rPr>
          <w:rFonts w:hint="eastAsia"/>
        </w:rPr>
        <w:t>.社会保障和就业支出（类）其他社会保障和就业支出（款）其他社会保障和就业支出（项）:指除上述项目外，其他用于行政事业单位社会保障和就业方面的支出。</w:t>
      </w:r>
    </w:p>
    <w:p>
      <w:pPr>
        <w:pStyle w:val="45"/>
        <w:rPr>
          <w:rFonts w:hint="eastAsia"/>
          <w:lang w:val="en-US" w:eastAsia="zh-CN"/>
        </w:rPr>
      </w:pPr>
      <w:r>
        <w:rPr>
          <w:rFonts w:hint="eastAsia"/>
          <w:lang w:val="en-US" w:eastAsia="zh-CN"/>
        </w:rPr>
        <w:t>45.</w:t>
      </w:r>
      <w:r>
        <w:rPr>
          <w:rFonts w:hint="eastAsia"/>
        </w:rPr>
        <w:t>农林水支出（类）</w:t>
      </w:r>
      <w:r>
        <w:rPr>
          <w:rFonts w:hint="eastAsia"/>
          <w:lang w:eastAsia="zh-CN"/>
        </w:rPr>
        <w:t>扶贫</w:t>
      </w:r>
      <w:r>
        <w:rPr>
          <w:rFonts w:hint="eastAsia"/>
        </w:rPr>
        <w:t>（款）</w:t>
      </w:r>
      <w:r>
        <w:rPr>
          <w:rFonts w:hint="eastAsia"/>
          <w:lang w:eastAsia="zh-CN"/>
        </w:rPr>
        <w:t>其他扶贫支出</w:t>
      </w:r>
      <w:r>
        <w:rPr>
          <w:rFonts w:hint="eastAsia"/>
        </w:rPr>
        <w:t>（项）</w:t>
      </w:r>
      <w:r>
        <w:rPr>
          <w:rFonts w:hint="eastAsia"/>
          <w:lang w:eastAsia="zh-CN"/>
        </w:rPr>
        <w:t>：</w:t>
      </w:r>
      <w:r>
        <w:rPr>
          <w:rFonts w:hint="eastAsia"/>
        </w:rPr>
        <w:t>指对</w:t>
      </w:r>
      <w:r>
        <w:rPr>
          <w:rFonts w:hint="eastAsia"/>
          <w:lang w:eastAsia="zh-CN"/>
        </w:rPr>
        <w:t>其他扶贫</w:t>
      </w:r>
      <w:r>
        <w:rPr>
          <w:rFonts w:hint="eastAsia"/>
          <w:lang w:val="en-US" w:eastAsia="zh-CN"/>
        </w:rPr>
        <w:t>的支出。</w:t>
      </w:r>
    </w:p>
    <w:p>
      <w:pPr>
        <w:pStyle w:val="45"/>
        <w:rPr>
          <w:rFonts w:hint="default"/>
          <w:lang w:val="en-US" w:eastAsia="zh-CN"/>
        </w:rPr>
      </w:pPr>
      <w:r>
        <w:rPr>
          <w:rFonts w:hint="eastAsia"/>
          <w:lang w:val="en-US" w:eastAsia="zh-CN"/>
        </w:rPr>
        <w:t>46</w:t>
      </w:r>
      <w:r>
        <w:rPr>
          <w:rFonts w:hint="default"/>
          <w:lang w:val="en-US" w:eastAsia="zh-CN"/>
        </w:rPr>
        <w:t>.住房保障支出</w:t>
      </w:r>
      <w:r>
        <w:rPr>
          <w:rFonts w:hint="eastAsia"/>
          <w:lang w:val="en-US" w:eastAsia="zh-CN"/>
        </w:rPr>
        <w:t>（类）</w:t>
      </w:r>
      <w:r>
        <w:rPr>
          <w:rFonts w:hint="default"/>
          <w:lang w:val="en-US" w:eastAsia="zh-CN"/>
        </w:rPr>
        <w:t>保障性安居工程支出</w:t>
      </w:r>
      <w:r>
        <w:rPr>
          <w:rFonts w:hint="eastAsia"/>
        </w:rPr>
        <w:t>（款）</w:t>
      </w:r>
      <w:r>
        <w:rPr>
          <w:rFonts w:hint="default"/>
          <w:lang w:val="en-US" w:eastAsia="zh-CN"/>
        </w:rPr>
        <w:t>农村危房改造</w:t>
      </w:r>
      <w:r>
        <w:rPr>
          <w:rFonts w:hint="eastAsia"/>
        </w:rPr>
        <w:t>（项）</w:t>
      </w:r>
      <w:r>
        <w:rPr>
          <w:rFonts w:hint="default"/>
          <w:lang w:val="en-US" w:eastAsia="zh-CN"/>
        </w:rPr>
        <w:t>：</w:t>
      </w:r>
      <w:r>
        <w:rPr>
          <w:rFonts w:hint="eastAsia"/>
        </w:rPr>
        <w:t>指对</w:t>
      </w:r>
      <w:r>
        <w:rPr>
          <w:rFonts w:hint="default"/>
          <w:lang w:val="en-US" w:eastAsia="zh-CN"/>
        </w:rPr>
        <w:t>保障性安居工程</w:t>
      </w:r>
      <w:r>
        <w:rPr>
          <w:rFonts w:hint="eastAsia"/>
          <w:lang w:val="en-US" w:eastAsia="zh-CN"/>
        </w:rPr>
        <w:t>的</w:t>
      </w:r>
      <w:r>
        <w:rPr>
          <w:rFonts w:hint="default"/>
          <w:lang w:val="en-US" w:eastAsia="zh-CN"/>
        </w:rPr>
        <w:t>农村危房改造</w:t>
      </w:r>
      <w:r>
        <w:rPr>
          <w:rFonts w:hint="eastAsia"/>
          <w:lang w:val="en-US" w:eastAsia="zh-CN"/>
        </w:rPr>
        <w:t>的支出。</w:t>
      </w:r>
    </w:p>
    <w:p>
      <w:pPr>
        <w:pStyle w:val="45"/>
        <w:rPr>
          <w:rFonts w:hint="default"/>
          <w:lang w:val="en-US" w:eastAsia="zh-CN"/>
        </w:rPr>
      </w:pPr>
      <w:r>
        <w:rPr>
          <w:rFonts w:hint="eastAsia"/>
          <w:lang w:val="en-US" w:eastAsia="zh-CN"/>
        </w:rPr>
        <w:t>47</w:t>
      </w:r>
      <w:r>
        <w:rPr>
          <w:rFonts w:hint="default"/>
          <w:lang w:val="en-US" w:eastAsia="zh-CN"/>
        </w:rPr>
        <w:t>.住房保障支出</w:t>
      </w:r>
      <w:r>
        <w:rPr>
          <w:rFonts w:hint="eastAsia"/>
          <w:lang w:val="en-US" w:eastAsia="zh-CN"/>
        </w:rPr>
        <w:t>（类）</w:t>
      </w:r>
      <w:r>
        <w:rPr>
          <w:rFonts w:hint="default"/>
          <w:lang w:val="en-US" w:eastAsia="zh-CN"/>
        </w:rPr>
        <w:t>保障性安居工程支出</w:t>
      </w:r>
      <w:r>
        <w:rPr>
          <w:rFonts w:hint="eastAsia"/>
        </w:rPr>
        <w:t>（款）</w:t>
      </w:r>
      <w:r>
        <w:rPr>
          <w:rFonts w:hint="default"/>
          <w:lang w:val="en-US" w:eastAsia="zh-CN"/>
        </w:rPr>
        <w:t>老旧小区改造</w:t>
      </w:r>
      <w:r>
        <w:rPr>
          <w:rFonts w:hint="eastAsia"/>
        </w:rPr>
        <w:t>（项）</w:t>
      </w:r>
      <w:r>
        <w:rPr>
          <w:rFonts w:hint="default"/>
          <w:lang w:val="en-US" w:eastAsia="zh-CN"/>
        </w:rPr>
        <w:t>：</w:t>
      </w:r>
      <w:r>
        <w:rPr>
          <w:rFonts w:hint="eastAsia"/>
        </w:rPr>
        <w:t>指对</w:t>
      </w:r>
      <w:r>
        <w:rPr>
          <w:rFonts w:hint="default"/>
          <w:lang w:val="en-US" w:eastAsia="zh-CN"/>
        </w:rPr>
        <w:t>保障性安居工程</w:t>
      </w:r>
      <w:r>
        <w:rPr>
          <w:rFonts w:hint="eastAsia"/>
          <w:lang w:val="en-US" w:eastAsia="zh-CN"/>
        </w:rPr>
        <w:t>的</w:t>
      </w:r>
      <w:r>
        <w:rPr>
          <w:rFonts w:hint="default"/>
          <w:lang w:val="en-US" w:eastAsia="zh-CN"/>
        </w:rPr>
        <w:t>老旧小区改造</w:t>
      </w:r>
      <w:r>
        <w:rPr>
          <w:rFonts w:hint="eastAsia"/>
          <w:lang w:val="en-US" w:eastAsia="zh-CN"/>
        </w:rPr>
        <w:t>的支出。</w:t>
      </w:r>
    </w:p>
    <w:p>
      <w:pPr>
        <w:pStyle w:val="45"/>
        <w:rPr>
          <w:rFonts w:hint="default"/>
          <w:lang w:val="en-US" w:eastAsia="zh-CN"/>
        </w:rPr>
      </w:pPr>
      <w:r>
        <w:rPr>
          <w:rFonts w:hint="eastAsia"/>
          <w:lang w:val="en-US" w:eastAsia="zh-CN"/>
        </w:rPr>
        <w:t>48</w:t>
      </w:r>
      <w:r>
        <w:rPr>
          <w:rFonts w:hint="default"/>
          <w:lang w:val="en-US" w:eastAsia="zh-CN"/>
        </w:rPr>
        <w:t>.住房保障支出</w:t>
      </w:r>
      <w:r>
        <w:rPr>
          <w:rFonts w:hint="eastAsia"/>
          <w:lang w:val="en-US" w:eastAsia="zh-CN"/>
        </w:rPr>
        <w:t>（类）</w:t>
      </w:r>
      <w:r>
        <w:rPr>
          <w:rFonts w:hint="default"/>
          <w:lang w:val="en-US" w:eastAsia="zh-CN"/>
        </w:rPr>
        <w:t>保障性安居工程支出</w:t>
      </w:r>
      <w:r>
        <w:rPr>
          <w:rFonts w:hint="eastAsia"/>
        </w:rPr>
        <w:t>（款）</w:t>
      </w:r>
      <w:r>
        <w:rPr>
          <w:rFonts w:hint="default"/>
          <w:lang w:val="en-US" w:eastAsia="zh-CN"/>
        </w:rPr>
        <w:t>其他保障性安居工程支出</w:t>
      </w:r>
      <w:r>
        <w:rPr>
          <w:rFonts w:hint="eastAsia"/>
        </w:rPr>
        <w:t>（项）</w:t>
      </w:r>
      <w:r>
        <w:rPr>
          <w:rFonts w:hint="default"/>
          <w:lang w:val="en-US" w:eastAsia="zh-CN"/>
        </w:rPr>
        <w:t>：</w:t>
      </w:r>
      <w:r>
        <w:rPr>
          <w:rFonts w:hint="eastAsia"/>
        </w:rPr>
        <w:t>指对</w:t>
      </w:r>
      <w:r>
        <w:rPr>
          <w:rFonts w:hint="default"/>
          <w:lang w:val="en-US" w:eastAsia="zh-CN"/>
        </w:rPr>
        <w:t>保障性安居工程</w:t>
      </w:r>
      <w:r>
        <w:rPr>
          <w:rFonts w:hint="eastAsia"/>
          <w:lang w:val="en-US" w:eastAsia="zh-CN"/>
        </w:rPr>
        <w:t>的其他支出。</w:t>
      </w:r>
    </w:p>
    <w:p>
      <w:pPr>
        <w:pStyle w:val="45"/>
        <w:rPr>
          <w:rFonts w:hint="eastAsia"/>
          <w:lang w:val="en-US" w:eastAsia="zh-CN"/>
        </w:rPr>
      </w:pPr>
      <w:r>
        <w:rPr>
          <w:rFonts w:hint="eastAsia"/>
          <w:lang w:val="en-US" w:eastAsia="zh-CN"/>
        </w:rPr>
        <w:t>49.住房保障支出（类）住房改革支出（款）住房公积金（项）:指由单位及其在职职工按规定缴存的住房公积金支出。</w:t>
      </w:r>
    </w:p>
    <w:p>
      <w:pPr>
        <w:pStyle w:val="45"/>
        <w:rPr>
          <w:rFonts w:hint="eastAsia"/>
          <w:lang w:val="en-US" w:eastAsia="zh-CN"/>
        </w:rPr>
      </w:pPr>
      <w:r>
        <w:rPr>
          <w:rFonts w:hint="eastAsia"/>
          <w:lang w:val="en-US" w:eastAsia="zh-CN"/>
        </w:rPr>
        <w:t>50.国防支出（类）国防动员（款）民兵（项）：指对国防动员的民兵相关支出</w:t>
      </w:r>
    </w:p>
    <w:p>
      <w:pPr>
        <w:pStyle w:val="45"/>
        <w:rPr>
          <w:rFonts w:hint="default"/>
          <w:lang w:val="en-US" w:eastAsia="zh-CN"/>
        </w:rPr>
      </w:pPr>
      <w:r>
        <w:rPr>
          <w:rFonts w:hint="eastAsia"/>
          <w:lang w:val="en-US" w:eastAsia="zh-CN"/>
        </w:rPr>
        <w:t>51</w:t>
      </w:r>
      <w:r>
        <w:rPr>
          <w:rFonts w:hint="default"/>
          <w:lang w:val="en-US" w:eastAsia="zh-CN"/>
        </w:rPr>
        <w:t>.灾害防治及应急管理支出</w:t>
      </w:r>
      <w:r>
        <w:rPr>
          <w:rFonts w:hint="eastAsia"/>
          <w:lang w:val="en-US" w:eastAsia="zh-CN"/>
        </w:rPr>
        <w:t>（类）</w:t>
      </w:r>
      <w:r>
        <w:rPr>
          <w:rFonts w:hint="default"/>
          <w:lang w:val="en-US" w:eastAsia="zh-CN"/>
        </w:rPr>
        <w:t>自然灾害防治</w:t>
      </w:r>
      <w:r>
        <w:rPr>
          <w:rFonts w:hint="eastAsia"/>
          <w:lang w:val="en-US" w:eastAsia="zh-CN"/>
        </w:rPr>
        <w:t>（款）</w:t>
      </w:r>
      <w:r>
        <w:rPr>
          <w:rFonts w:hint="default"/>
          <w:lang w:val="en-US" w:eastAsia="zh-CN"/>
        </w:rPr>
        <w:t>地质灾害防治</w:t>
      </w:r>
      <w:r>
        <w:rPr>
          <w:rFonts w:hint="eastAsia"/>
          <w:lang w:val="en-US" w:eastAsia="zh-CN"/>
        </w:rPr>
        <w:t>（项）</w:t>
      </w:r>
      <w:r>
        <w:rPr>
          <w:rFonts w:hint="default"/>
          <w:lang w:val="en-US" w:eastAsia="zh-CN"/>
        </w:rPr>
        <w:t>：</w:t>
      </w:r>
      <w:r>
        <w:rPr>
          <w:rFonts w:hint="eastAsia"/>
          <w:lang w:val="en-US" w:eastAsia="zh-CN"/>
        </w:rPr>
        <w:t>指对</w:t>
      </w:r>
      <w:r>
        <w:rPr>
          <w:rFonts w:hint="default"/>
          <w:lang w:val="en-US" w:eastAsia="zh-CN"/>
        </w:rPr>
        <w:t>地质灾害防治</w:t>
      </w:r>
      <w:r>
        <w:rPr>
          <w:rFonts w:hint="eastAsia"/>
          <w:lang w:val="en-US" w:eastAsia="zh-CN"/>
        </w:rPr>
        <w:t>的支出</w:t>
      </w:r>
      <w:r>
        <w:rPr>
          <w:rFonts w:hint="default"/>
          <w:lang w:val="en-US" w:eastAsia="zh-CN"/>
        </w:rPr>
        <w:t>。</w:t>
      </w:r>
    </w:p>
    <w:p>
      <w:pPr>
        <w:pStyle w:val="45"/>
        <w:rPr>
          <w:rFonts w:hint="eastAsia"/>
          <w:lang w:val="en-US" w:eastAsia="zh-CN"/>
        </w:rPr>
      </w:pPr>
      <w:r>
        <w:rPr>
          <w:rFonts w:hint="eastAsia"/>
          <w:lang w:val="en-US" w:eastAsia="zh-CN"/>
        </w:rPr>
        <w:t>52.</w:t>
      </w:r>
      <w:r>
        <w:rPr>
          <w:rFonts w:hint="default"/>
          <w:lang w:val="en-US" w:eastAsia="zh-CN"/>
        </w:rPr>
        <w:t>灾害防治及应急管理支出</w:t>
      </w:r>
      <w:r>
        <w:rPr>
          <w:rFonts w:hint="eastAsia"/>
          <w:lang w:val="en-US" w:eastAsia="zh-CN"/>
        </w:rPr>
        <w:t>（类）</w:t>
      </w:r>
      <w:r>
        <w:rPr>
          <w:rFonts w:hint="default"/>
          <w:lang w:val="en-US" w:eastAsia="zh-CN"/>
        </w:rPr>
        <w:t>自然灾害救灾及恢复重建支出</w:t>
      </w:r>
      <w:r>
        <w:rPr>
          <w:rFonts w:hint="eastAsia"/>
          <w:lang w:val="en-US" w:eastAsia="zh-CN"/>
        </w:rPr>
        <w:t>（款）</w:t>
      </w:r>
      <w:r>
        <w:rPr>
          <w:rFonts w:hint="default"/>
          <w:lang w:val="en-US" w:eastAsia="zh-CN"/>
        </w:rPr>
        <w:t>自然灾害救灾补助</w:t>
      </w:r>
      <w:r>
        <w:rPr>
          <w:rFonts w:hint="eastAsia"/>
          <w:lang w:val="en-US" w:eastAsia="zh-CN"/>
        </w:rPr>
        <w:t>（项）：指对</w:t>
      </w:r>
      <w:r>
        <w:rPr>
          <w:rFonts w:hint="default"/>
          <w:lang w:val="en-US" w:eastAsia="zh-CN"/>
        </w:rPr>
        <w:t>自然灾害救灾及恢复重建</w:t>
      </w:r>
      <w:r>
        <w:rPr>
          <w:rFonts w:hint="eastAsia"/>
          <w:lang w:val="en-US" w:eastAsia="zh-CN"/>
        </w:rPr>
        <w:t>中</w:t>
      </w:r>
      <w:r>
        <w:rPr>
          <w:rFonts w:hint="default"/>
          <w:lang w:val="en-US" w:eastAsia="zh-CN"/>
        </w:rPr>
        <w:t>自然灾害救灾补助</w:t>
      </w:r>
      <w:r>
        <w:rPr>
          <w:rFonts w:hint="eastAsia"/>
          <w:lang w:val="en-US" w:eastAsia="zh-CN"/>
        </w:rPr>
        <w:t>支出。</w:t>
      </w:r>
    </w:p>
    <w:p>
      <w:pPr>
        <w:pStyle w:val="45"/>
        <w:rPr>
          <w:rFonts w:hint="eastAsia"/>
          <w:lang w:val="en-US" w:eastAsia="zh-CN"/>
        </w:rPr>
      </w:pPr>
      <w:r>
        <w:rPr>
          <w:rFonts w:hint="eastAsia"/>
          <w:lang w:val="en-US" w:eastAsia="zh-CN"/>
        </w:rPr>
        <w:t>53.</w:t>
      </w:r>
      <w:r>
        <w:rPr>
          <w:rFonts w:hint="eastAsia" w:cs="Times New Roman"/>
          <w:lang w:val="en-US" w:eastAsia="zh-CN"/>
        </w:rPr>
        <w:t>灾害防治及应急管理支出</w:t>
      </w:r>
      <w:r>
        <w:rPr>
          <w:rFonts w:hint="eastAsia"/>
          <w:lang w:val="en-US" w:eastAsia="zh-CN"/>
        </w:rPr>
        <w:t>（类）</w:t>
      </w:r>
      <w:r>
        <w:rPr>
          <w:rFonts w:hint="eastAsia" w:cs="Times New Roman"/>
          <w:lang w:val="en-US" w:eastAsia="zh-CN"/>
        </w:rPr>
        <w:t>地震事务</w:t>
      </w:r>
      <w:r>
        <w:rPr>
          <w:rFonts w:hint="eastAsia"/>
          <w:lang w:val="en-US" w:eastAsia="zh-CN"/>
        </w:rPr>
        <w:t>（款）</w:t>
      </w:r>
      <w:r>
        <w:rPr>
          <w:rFonts w:hint="eastAsia" w:cs="Times New Roman"/>
          <w:lang w:val="en-US" w:eastAsia="zh-CN"/>
        </w:rPr>
        <w:t>地震预测预报</w:t>
      </w:r>
      <w:r>
        <w:rPr>
          <w:rFonts w:hint="eastAsia"/>
          <w:lang w:val="en-US" w:eastAsia="zh-CN"/>
        </w:rPr>
        <w:t>（项）：指对</w:t>
      </w:r>
      <w:r>
        <w:rPr>
          <w:rFonts w:hint="eastAsia" w:cs="Times New Roman"/>
          <w:lang w:val="en-US" w:eastAsia="zh-CN"/>
        </w:rPr>
        <w:t>地震事务</w:t>
      </w:r>
      <w:r>
        <w:rPr>
          <w:rFonts w:hint="eastAsia"/>
          <w:lang w:val="en-US" w:eastAsia="zh-CN"/>
        </w:rPr>
        <w:t>中</w:t>
      </w:r>
      <w:r>
        <w:rPr>
          <w:rFonts w:hint="eastAsia" w:cs="Times New Roman"/>
          <w:lang w:val="en-US" w:eastAsia="zh-CN"/>
        </w:rPr>
        <w:t>地震预测预报</w:t>
      </w:r>
      <w:r>
        <w:rPr>
          <w:rFonts w:hint="eastAsia"/>
          <w:lang w:val="en-US" w:eastAsia="zh-CN"/>
        </w:rPr>
        <w:t>相关支出。</w:t>
      </w:r>
    </w:p>
    <w:p>
      <w:pPr>
        <w:pStyle w:val="45"/>
        <w:rPr>
          <w:rFonts w:hint="default"/>
          <w:lang w:val="en-US" w:eastAsia="zh-CN"/>
        </w:rPr>
      </w:pPr>
      <w:r>
        <w:rPr>
          <w:rFonts w:hint="eastAsia"/>
          <w:lang w:val="en-US" w:eastAsia="zh-CN"/>
        </w:rPr>
        <w:t>54.节能环保支出（类）自然生态保护（款）生态保护（项）：指对自然生态保护中生态保护相关支出。</w:t>
      </w:r>
    </w:p>
    <w:p>
      <w:pPr>
        <w:pStyle w:val="35"/>
        <w:spacing w:line="560" w:lineRule="exact"/>
        <w:ind w:firstLine="640" w:firstLineChars="200"/>
        <w:rPr>
          <w:rFonts w:ascii="仿宋_GB2312" w:eastAsia="仿宋_GB2312" w:cs="黑体"/>
          <w:color w:val="auto"/>
          <w:sz w:val="32"/>
          <w:szCs w:val="32"/>
          <w:highlight w:val="none"/>
        </w:rPr>
      </w:pPr>
    </w:p>
    <w:p>
      <w:pPr>
        <w:spacing w:line="600" w:lineRule="exact"/>
        <w:jc w:val="center"/>
        <w:outlineLvl w:val="0"/>
        <w:rPr>
          <w:rStyle w:val="37"/>
          <w:rFonts w:ascii="黑体" w:hAnsi="黑体" w:eastAsia="黑体"/>
          <w:b w:val="0"/>
          <w:color w:val="auto"/>
          <w:highlight w:val="none"/>
        </w:rPr>
      </w:pPr>
      <w:r>
        <w:rPr>
          <w:rFonts w:ascii="宋体"/>
          <w:b/>
          <w:color w:val="auto"/>
          <w:sz w:val="44"/>
          <w:szCs w:val="44"/>
          <w:highlight w:val="none"/>
        </w:rPr>
        <w:br w:type="page"/>
      </w:r>
      <w:bookmarkStart w:id="92" w:name="_Toc15396614"/>
      <w:bookmarkStart w:id="93" w:name="_Toc5728"/>
      <w:r>
        <w:rPr>
          <w:rFonts w:hint="eastAsia" w:ascii="黑体" w:hAnsi="黑体" w:eastAsia="黑体"/>
          <w:color w:val="auto"/>
          <w:sz w:val="44"/>
          <w:szCs w:val="44"/>
          <w:highlight w:val="none"/>
        </w:rPr>
        <w:t>第</w:t>
      </w:r>
      <w:r>
        <w:rPr>
          <w:rStyle w:val="37"/>
          <w:rFonts w:hint="eastAsia" w:ascii="黑体" w:hAnsi="黑体" w:eastAsia="黑体"/>
          <w:b w:val="0"/>
          <w:color w:val="auto"/>
          <w:highlight w:val="none"/>
        </w:rPr>
        <w:t>四部分 附件</w:t>
      </w:r>
      <w:bookmarkEnd w:id="92"/>
      <w:bookmarkEnd w:id="93"/>
    </w:p>
    <w:p>
      <w:pPr>
        <w:keepNext w:val="0"/>
        <w:keepLines w:val="0"/>
        <w:pageBreakBefore w:val="0"/>
        <w:kinsoku/>
        <w:wordWrap/>
        <w:overflowPunct/>
        <w:topLinePunct w:val="0"/>
        <w:autoSpaceDE/>
        <w:autoSpaceDN/>
        <w:bidi w:val="0"/>
        <w:spacing w:line="572" w:lineRule="exact"/>
        <w:jc w:val="left"/>
        <w:textAlignment w:val="auto"/>
        <w:outlineLvl w:val="9"/>
        <w:rPr>
          <w:rFonts w:ascii="方正小标宋简体" w:hAnsi="方正小标宋简体" w:eastAsia="方正小标宋简体" w:cs="方正小标宋简体"/>
          <w:color w:val="auto"/>
          <w:sz w:val="44"/>
          <w:szCs w:val="44"/>
          <w:highlight w:val="none"/>
        </w:rPr>
      </w:pPr>
      <w:bookmarkStart w:id="94" w:name="_Toc18625"/>
      <w:r>
        <w:rPr>
          <w:rFonts w:hint="eastAsia" w:ascii="黑体" w:hAnsi="黑体" w:eastAsia="黑体" w:cs="黑体"/>
          <w:color w:val="auto"/>
          <w:sz w:val="32"/>
          <w:szCs w:val="32"/>
          <w:highlight w:val="none"/>
        </w:rPr>
        <w:t>附件</w:t>
      </w:r>
      <w:bookmarkEnd w:id="94"/>
    </w:p>
    <w:p>
      <w:pPr>
        <w:keepNext w:val="0"/>
        <w:keepLines w:val="0"/>
        <w:pageBreakBefore w:val="0"/>
        <w:kinsoku/>
        <w:wordWrap/>
        <w:overflowPunct/>
        <w:topLinePunct w:val="0"/>
        <w:autoSpaceDE/>
        <w:autoSpaceDN/>
        <w:bidi w:val="0"/>
        <w:spacing w:line="572" w:lineRule="exact"/>
        <w:jc w:val="center"/>
        <w:textAlignment w:val="auto"/>
        <w:rPr>
          <w:rFonts w:ascii="方正小标宋简体" w:hAnsi="宋体" w:eastAsia="方正小标宋简体"/>
          <w:color w:val="auto"/>
          <w:kern w:val="0"/>
          <w:sz w:val="40"/>
          <w:szCs w:val="44"/>
          <w:highlight w:val="none"/>
          <w:lang w:val="zh-CN"/>
        </w:rPr>
      </w:pPr>
      <w:r>
        <w:rPr>
          <w:rFonts w:hint="eastAsia" w:ascii="方正小标宋简体" w:hAnsi="宋体" w:eastAsia="方正小标宋简体"/>
          <w:color w:val="auto"/>
          <w:kern w:val="0"/>
          <w:sz w:val="40"/>
          <w:szCs w:val="44"/>
          <w:highlight w:val="none"/>
        </w:rPr>
        <w:t>202</w:t>
      </w:r>
      <w:r>
        <w:rPr>
          <w:rFonts w:hint="eastAsia" w:ascii="方正小标宋简体" w:hAnsi="宋体" w:eastAsia="方正小标宋简体"/>
          <w:color w:val="auto"/>
          <w:kern w:val="0"/>
          <w:sz w:val="40"/>
          <w:szCs w:val="44"/>
          <w:highlight w:val="none"/>
          <w:lang w:val="en-US" w:eastAsia="zh-CN"/>
        </w:rPr>
        <w:t>1</w:t>
      </w:r>
      <w:r>
        <w:rPr>
          <w:rFonts w:hint="eastAsia" w:ascii="方正小标宋简体" w:hAnsi="宋体" w:eastAsia="方正小标宋简体"/>
          <w:color w:val="auto"/>
          <w:kern w:val="0"/>
          <w:sz w:val="40"/>
          <w:szCs w:val="44"/>
          <w:highlight w:val="none"/>
        </w:rPr>
        <w:t>年</w:t>
      </w:r>
      <w:r>
        <w:rPr>
          <w:rFonts w:hint="eastAsia" w:ascii="方正小标宋简体" w:hAnsi="宋体" w:eastAsia="方正小标宋简体"/>
          <w:color w:val="auto"/>
          <w:kern w:val="0"/>
          <w:sz w:val="40"/>
          <w:szCs w:val="44"/>
          <w:highlight w:val="none"/>
          <w:lang w:eastAsia="zh-CN"/>
        </w:rPr>
        <w:t>乐山市沙湾区妇女联合会</w:t>
      </w:r>
      <w:r>
        <w:rPr>
          <w:rFonts w:hint="eastAsia" w:ascii="方正小标宋简体" w:hAnsi="宋体" w:eastAsia="方正小标宋简体"/>
          <w:color w:val="auto"/>
          <w:kern w:val="0"/>
          <w:sz w:val="40"/>
          <w:szCs w:val="44"/>
          <w:highlight w:val="none"/>
        </w:rPr>
        <w:t>部门整体绩效评价报告</w:t>
      </w:r>
    </w:p>
    <w:p>
      <w:pPr>
        <w:keepNext w:val="0"/>
        <w:keepLines w:val="0"/>
        <w:pageBreakBefore w:val="0"/>
        <w:widowControl/>
        <w:kinsoku/>
        <w:wordWrap/>
        <w:overflowPunct/>
        <w:topLinePunct w:val="0"/>
        <w:autoSpaceDE/>
        <w:autoSpaceDN/>
        <w:bidi w:val="0"/>
        <w:spacing w:line="572" w:lineRule="exact"/>
        <w:ind w:firstLine="640" w:firstLineChars="200"/>
        <w:contextualSpacing/>
        <w:jc w:val="center"/>
        <w:textAlignment w:val="auto"/>
        <w:rPr>
          <w:rFonts w:ascii="仿宋_GB2312" w:hAnsi="宋体" w:eastAsia="仿宋_GB2312"/>
          <w:color w:val="auto"/>
          <w:sz w:val="32"/>
          <w:szCs w:val="32"/>
          <w:highlight w:val="none"/>
          <w:shd w:val="clear" w:color="auto" w:fill="FFFFFF"/>
        </w:rPr>
      </w:pPr>
      <w:r>
        <w:rPr>
          <w:rFonts w:hint="eastAsia" w:ascii="仿宋_GB2312" w:hAnsi="宋体" w:eastAsia="仿宋_GB2312"/>
          <w:color w:val="auto"/>
          <w:sz w:val="32"/>
          <w:szCs w:val="32"/>
          <w:highlight w:val="none"/>
          <w:shd w:val="clear" w:color="auto" w:fill="FFFFFF"/>
        </w:rPr>
        <w:t>（报告范围包括机关和下属单位）</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lang w:val="zh-CN"/>
        </w:rPr>
      </w:pPr>
      <w:r>
        <w:rPr>
          <w:rFonts w:hint="eastAsia" w:ascii="黑体" w:hAnsi="宋体" w:eastAsia="黑体" w:cs="宋体"/>
          <w:color w:val="auto"/>
          <w:kern w:val="0"/>
          <w:sz w:val="32"/>
          <w:szCs w:val="32"/>
          <w:highlight w:val="none"/>
          <w:shd w:val="clear" w:color="auto" w:fill="FFFFFF"/>
        </w:rPr>
        <w:t>一、</w:t>
      </w:r>
      <w:r>
        <w:rPr>
          <w:rFonts w:hint="eastAsia" w:ascii="黑体" w:hAnsi="宋体" w:eastAsia="黑体" w:cs="宋体"/>
          <w:color w:val="auto"/>
          <w:kern w:val="0"/>
          <w:sz w:val="32"/>
          <w:szCs w:val="32"/>
          <w:highlight w:val="none"/>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（一）机构组成。</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93" w:beforeLines="30" w:line="600" w:lineRule="exact"/>
        <w:ind w:firstLine="640" w:firstLineChars="200"/>
        <w:jc w:val="both"/>
        <w:textAlignment w:val="auto"/>
        <w:outlineLvl w:val="9"/>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乐山市沙湾区妇女联合会</w:t>
      </w:r>
      <w:r>
        <w:rPr>
          <w:rFonts w:hint="eastAsia" w:ascii="仿宋" w:hAnsi="仿宋" w:eastAsia="仿宋" w:cs="仿宋"/>
          <w:i w:val="0"/>
          <w:iCs w:val="0"/>
          <w:caps w:val="0"/>
          <w:spacing w:val="0"/>
          <w:sz w:val="32"/>
          <w:szCs w:val="32"/>
          <w:shd w:val="clear" w:fill="FFFFFF"/>
          <w:lang w:eastAsia="zh-CN"/>
        </w:rPr>
        <w:t>是一级预算单位</w:t>
      </w:r>
      <w:r>
        <w:rPr>
          <w:rFonts w:hint="eastAsia" w:ascii="sans-serif" w:hAnsi="sans-serif" w:eastAsia="宋体" w:cs="sans-serif"/>
          <w:i w:val="0"/>
          <w:iCs w:val="0"/>
          <w:caps w:val="0"/>
          <w:spacing w:val="0"/>
          <w:sz w:val="39"/>
          <w:szCs w:val="39"/>
          <w:shd w:val="clear" w:fill="FFFFFF"/>
          <w:lang w:eastAsia="zh-CN"/>
        </w:rPr>
        <w:t>，</w:t>
      </w:r>
      <w:r>
        <w:rPr>
          <w:rFonts w:hint="eastAsia" w:ascii="仿宋" w:hAnsi="仿宋" w:eastAsia="仿宋" w:cs="仿宋"/>
          <w:b w:val="0"/>
          <w:bCs/>
          <w:color w:val="auto"/>
          <w:sz w:val="32"/>
          <w:szCs w:val="32"/>
          <w:highlight w:val="none"/>
        </w:rPr>
        <w:t>下属二级单位</w:t>
      </w:r>
      <w:r>
        <w:rPr>
          <w:rFonts w:hint="eastAsia" w:ascii="仿宋" w:hAnsi="仿宋" w:eastAsia="仿宋" w:cs="仿宋"/>
          <w:b w:val="0"/>
          <w:bCs/>
          <w:color w:val="auto"/>
          <w:sz w:val="32"/>
          <w:szCs w:val="32"/>
          <w:highlight w:val="none"/>
          <w:lang w:val="en-US" w:eastAsia="zh-CN"/>
        </w:rPr>
        <w:t>1</w:t>
      </w:r>
      <w:r>
        <w:rPr>
          <w:rFonts w:hint="eastAsia" w:ascii="仿宋" w:hAnsi="仿宋" w:eastAsia="仿宋" w:cs="仿宋"/>
          <w:b w:val="0"/>
          <w:bCs/>
          <w:color w:val="auto"/>
          <w:sz w:val="32"/>
          <w:szCs w:val="32"/>
          <w:highlight w:val="none"/>
        </w:rPr>
        <w:t>个</w:t>
      </w:r>
      <w:r>
        <w:rPr>
          <w:rFonts w:hint="eastAsia" w:ascii="仿宋" w:hAnsi="仿宋" w:eastAsia="仿宋" w:cs="仿宋"/>
          <w:b w:val="0"/>
          <w:bCs/>
          <w:color w:val="auto"/>
          <w:sz w:val="32"/>
          <w:szCs w:val="32"/>
          <w:highlight w:val="none"/>
          <w:lang w:eastAsia="zh-CN"/>
        </w:rPr>
        <w:t>：妇女儿童活动中心（是</w:t>
      </w:r>
      <w:r>
        <w:rPr>
          <w:rFonts w:hint="eastAsia" w:ascii="仿宋" w:hAnsi="仿宋" w:eastAsia="仿宋" w:cs="仿宋"/>
          <w:b w:val="0"/>
          <w:bCs/>
          <w:color w:val="auto"/>
          <w:sz w:val="32"/>
          <w:szCs w:val="32"/>
          <w:highlight w:val="none"/>
        </w:rPr>
        <w:t>非独立核算的财政全额拨款事业单位</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rPr>
        <w:t>，其中行政单位</w:t>
      </w:r>
      <w:r>
        <w:rPr>
          <w:rFonts w:hint="eastAsia" w:ascii="仿宋" w:hAnsi="仿宋" w:eastAsia="仿宋" w:cs="仿宋"/>
          <w:b w:val="0"/>
          <w:bCs/>
          <w:color w:val="auto"/>
          <w:sz w:val="32"/>
          <w:szCs w:val="32"/>
          <w:highlight w:val="none"/>
          <w:lang w:val="en-US" w:eastAsia="zh-CN"/>
        </w:rPr>
        <w:t>0</w:t>
      </w:r>
      <w:r>
        <w:rPr>
          <w:rFonts w:hint="eastAsia" w:ascii="仿宋" w:hAnsi="仿宋" w:eastAsia="仿宋" w:cs="仿宋"/>
          <w:b w:val="0"/>
          <w:bCs/>
          <w:color w:val="auto"/>
          <w:sz w:val="32"/>
          <w:szCs w:val="32"/>
          <w:highlight w:val="none"/>
        </w:rPr>
        <w:t>个，参照公务员法管理的事业单位</w:t>
      </w:r>
      <w:r>
        <w:rPr>
          <w:rFonts w:hint="eastAsia" w:ascii="仿宋" w:hAnsi="仿宋" w:eastAsia="仿宋" w:cs="仿宋"/>
          <w:b w:val="0"/>
          <w:bCs/>
          <w:color w:val="auto"/>
          <w:sz w:val="32"/>
          <w:szCs w:val="32"/>
          <w:highlight w:val="none"/>
          <w:lang w:val="en-US" w:eastAsia="zh-CN"/>
        </w:rPr>
        <w:t>1</w:t>
      </w:r>
      <w:r>
        <w:rPr>
          <w:rFonts w:hint="eastAsia" w:ascii="仿宋" w:hAnsi="仿宋" w:eastAsia="仿宋" w:cs="仿宋"/>
          <w:b w:val="0"/>
          <w:bCs/>
          <w:color w:val="auto"/>
          <w:sz w:val="32"/>
          <w:szCs w:val="32"/>
          <w:highlight w:val="none"/>
        </w:rPr>
        <w:t>个，其他事业单位</w:t>
      </w:r>
      <w:r>
        <w:rPr>
          <w:rFonts w:hint="eastAsia" w:ascii="仿宋" w:hAnsi="仿宋" w:eastAsia="仿宋" w:cs="仿宋"/>
          <w:b w:val="0"/>
          <w:bCs/>
          <w:color w:val="auto"/>
          <w:sz w:val="32"/>
          <w:szCs w:val="32"/>
          <w:highlight w:val="none"/>
          <w:lang w:val="en-US" w:eastAsia="zh-CN"/>
        </w:rPr>
        <w:t>1</w:t>
      </w:r>
      <w:r>
        <w:rPr>
          <w:rFonts w:hint="eastAsia" w:ascii="仿宋" w:hAnsi="仿宋" w:eastAsia="仿宋" w:cs="仿宋"/>
          <w:b w:val="0"/>
          <w:bCs/>
          <w:color w:val="auto"/>
          <w:sz w:val="32"/>
          <w:szCs w:val="32"/>
          <w:highlight w:val="none"/>
        </w:rPr>
        <w:t>个。</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（二）机构职能。</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000000"/>
          <w:kern w:val="0"/>
          <w:sz w:val="32"/>
          <w:szCs w:val="32"/>
          <w:shd w:val="clear" w:color="auto" w:fill="FFFFFF"/>
          <w:lang w:val="zh-CN"/>
        </w:rPr>
        <w:t>贯彻执行党的路线、方针、政策，根据《中华全国妇女联合会章程》，结合沙湾实际。推进全区妇女健康发展，推动妇女儿童活动阵地建设，教育引导妇女增强自尊、自信、自立、自强精神，指导和推进全区妇女创业创新，组织和带领妇女在经济建设和精神文件建设中发挥作用，协调和推动社会各界为妇女儿童办实事、办好事。维护妇女儿童合法权益。</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（三）人员概况。</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000000"/>
          <w:kern w:val="0"/>
          <w:sz w:val="32"/>
          <w:szCs w:val="32"/>
          <w:shd w:val="clear" w:color="auto" w:fill="FFFFFF"/>
          <w:lang w:val="zh-CN"/>
        </w:rPr>
        <w:t>2021年末实有人数</w:t>
      </w:r>
      <w:r>
        <w:rPr>
          <w:rFonts w:hint="eastAsia" w:ascii="仿宋_GB2312" w:hAnsi="宋体" w:eastAsia="仿宋_GB2312" w:cs="宋体"/>
          <w:color w:val="000000"/>
          <w:kern w:val="0"/>
          <w:sz w:val="32"/>
          <w:szCs w:val="32"/>
          <w:shd w:val="clear" w:color="auto" w:fill="FFFFFF"/>
          <w:lang w:val="en-US" w:eastAsia="zh-CN"/>
        </w:rPr>
        <w:t>4</w:t>
      </w:r>
      <w:r>
        <w:rPr>
          <w:rFonts w:hint="eastAsia" w:ascii="仿宋_GB2312" w:hAnsi="宋体" w:eastAsia="仿宋_GB2312" w:cs="宋体"/>
          <w:color w:val="000000"/>
          <w:kern w:val="0"/>
          <w:sz w:val="32"/>
          <w:szCs w:val="32"/>
          <w:shd w:val="clear" w:color="auto" w:fill="FFFFFF"/>
          <w:lang w:val="zh-CN"/>
        </w:rPr>
        <w:t>人，其中行政人员</w:t>
      </w: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人</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val="zh-CN"/>
        </w:rPr>
        <w:t>非参公事业人员</w:t>
      </w:r>
      <w:r>
        <w:rPr>
          <w:rFonts w:hint="eastAsia" w:ascii="仿宋_GB2312" w:hAnsi="宋体" w:eastAsia="仿宋_GB2312" w:cs="宋体"/>
          <w:color w:val="000000"/>
          <w:kern w:val="0"/>
          <w:sz w:val="32"/>
          <w:szCs w:val="32"/>
          <w:shd w:val="clear" w:color="auto" w:fill="FFFFFF"/>
          <w:lang w:val="en-US" w:eastAsia="zh-CN"/>
        </w:rPr>
        <w:t>2人</w:t>
      </w:r>
      <w:r>
        <w:rPr>
          <w:rFonts w:hint="eastAsia" w:ascii="仿宋_GB2312" w:hAnsi="宋体" w:eastAsia="仿宋_GB2312" w:cs="宋体"/>
          <w:color w:val="auto"/>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（一）部门财政资金收入情况。</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000000"/>
          <w:kern w:val="0"/>
          <w:sz w:val="32"/>
          <w:szCs w:val="32"/>
          <w:shd w:val="clear" w:color="auto" w:fill="FFFFFF"/>
          <w:lang w:val="zh-CN"/>
        </w:rPr>
        <w:t>2021年度我单位财政收入总计</w:t>
      </w:r>
      <w:r>
        <w:rPr>
          <w:rFonts w:hint="eastAsia" w:ascii="仿宋_GB2312" w:hAnsi="宋体" w:eastAsia="仿宋_GB2312" w:cs="宋体"/>
          <w:color w:val="000000"/>
          <w:kern w:val="0"/>
          <w:sz w:val="32"/>
          <w:szCs w:val="32"/>
          <w:shd w:val="clear" w:color="auto" w:fill="FFFFFF"/>
          <w:lang w:val="en-US" w:eastAsia="zh-CN"/>
        </w:rPr>
        <w:t>106.02</w:t>
      </w:r>
      <w:r>
        <w:rPr>
          <w:rFonts w:hint="eastAsia" w:ascii="仿宋_GB2312" w:hAnsi="宋体" w:eastAsia="仿宋_GB2312" w:cs="宋体"/>
          <w:color w:val="000000"/>
          <w:kern w:val="0"/>
          <w:sz w:val="32"/>
          <w:szCs w:val="32"/>
          <w:shd w:val="clear" w:color="auto" w:fill="FFFFFF"/>
          <w:lang w:val="zh-CN"/>
        </w:rPr>
        <w:t>万元，其中：一般公共预算财政拨款收入</w:t>
      </w:r>
      <w:r>
        <w:rPr>
          <w:rFonts w:hint="eastAsia" w:ascii="仿宋_GB2312" w:hAnsi="宋体" w:eastAsia="仿宋_GB2312" w:cs="宋体"/>
          <w:color w:val="000000"/>
          <w:kern w:val="0"/>
          <w:sz w:val="32"/>
          <w:szCs w:val="32"/>
          <w:shd w:val="clear" w:color="auto" w:fill="FFFFFF"/>
          <w:lang w:val="en-US" w:eastAsia="zh-CN"/>
        </w:rPr>
        <w:t>106.02</w:t>
      </w:r>
      <w:r>
        <w:rPr>
          <w:rFonts w:hint="eastAsia" w:ascii="仿宋_GB2312" w:hAnsi="宋体" w:eastAsia="仿宋_GB2312" w:cs="宋体"/>
          <w:color w:val="000000"/>
          <w:kern w:val="0"/>
          <w:sz w:val="32"/>
          <w:szCs w:val="32"/>
          <w:shd w:val="clear" w:color="auto" w:fill="FFFFFF"/>
          <w:lang w:val="zh-CN"/>
        </w:rPr>
        <w:t>万元，占</w:t>
      </w:r>
      <w:r>
        <w:rPr>
          <w:rFonts w:hint="eastAsia" w:ascii="仿宋_GB2312" w:hAnsi="宋体" w:eastAsia="仿宋_GB2312" w:cs="宋体"/>
          <w:color w:val="000000"/>
          <w:kern w:val="0"/>
          <w:sz w:val="32"/>
          <w:szCs w:val="32"/>
          <w:shd w:val="clear" w:color="auto" w:fill="FFFFFF"/>
          <w:lang w:val="en-US" w:eastAsia="zh-CN"/>
        </w:rPr>
        <w:t>100.00</w:t>
      </w:r>
      <w:r>
        <w:rPr>
          <w:rFonts w:hint="eastAsia" w:ascii="仿宋_GB2312" w:hAnsi="宋体" w:eastAsia="仿宋_GB2312" w:cs="宋体"/>
          <w:color w:val="000000"/>
          <w:kern w:val="0"/>
          <w:sz w:val="32"/>
          <w:szCs w:val="32"/>
          <w:shd w:val="clear" w:color="auto" w:fill="FFFFFF"/>
          <w:lang w:val="zh-CN"/>
        </w:rPr>
        <w:t>%</w:t>
      </w:r>
      <w:r>
        <w:rPr>
          <w:rFonts w:hint="eastAsia" w:ascii="仿宋" w:hAnsi="仿宋" w:eastAsia="仿宋" w:cs="仿宋"/>
          <w:color w:val="00000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（二）部门财政资金支出情况。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w:t>
      </w:r>
      <w:r>
        <w:rPr>
          <w:rFonts w:hint="eastAsia" w:ascii="仿宋_GB2312" w:hAnsi="宋体" w:eastAsia="仿宋_GB2312" w:cs="宋体"/>
          <w:color w:val="000000"/>
          <w:kern w:val="0"/>
          <w:sz w:val="32"/>
          <w:szCs w:val="32"/>
          <w:shd w:val="clear" w:color="auto" w:fill="FFFFFF"/>
          <w:lang w:val="en-US" w:eastAsia="zh-CN"/>
        </w:rPr>
        <w:t>21</w:t>
      </w:r>
      <w:r>
        <w:rPr>
          <w:rFonts w:hint="eastAsia" w:ascii="仿宋_GB2312" w:hAnsi="宋体" w:eastAsia="仿宋_GB2312" w:cs="宋体"/>
          <w:color w:val="000000"/>
          <w:kern w:val="0"/>
          <w:sz w:val="32"/>
          <w:szCs w:val="32"/>
          <w:shd w:val="clear" w:color="auto" w:fill="FFFFFF"/>
          <w:lang w:val="zh-CN"/>
        </w:rPr>
        <w:t>年度我单位财政支出总计</w:t>
      </w:r>
      <w:r>
        <w:rPr>
          <w:rFonts w:hint="eastAsia" w:ascii="仿宋_GB2312" w:hAnsi="宋体" w:eastAsia="仿宋_GB2312" w:cs="宋体"/>
          <w:color w:val="000000"/>
          <w:kern w:val="0"/>
          <w:sz w:val="32"/>
          <w:szCs w:val="32"/>
          <w:shd w:val="clear" w:color="auto" w:fill="FFFFFF"/>
          <w:lang w:val="en-US" w:eastAsia="zh-CN"/>
        </w:rPr>
        <w:t>99.71</w:t>
      </w:r>
      <w:r>
        <w:rPr>
          <w:rFonts w:hint="eastAsia" w:ascii="仿宋_GB2312" w:hAnsi="宋体" w:eastAsia="仿宋_GB2312" w:cs="宋体"/>
          <w:color w:val="000000"/>
          <w:kern w:val="0"/>
          <w:sz w:val="32"/>
          <w:szCs w:val="32"/>
          <w:shd w:val="clear" w:color="auto" w:fill="FFFFFF"/>
          <w:lang w:val="zh-CN"/>
        </w:rPr>
        <w:t>万元。其中：</w:t>
      </w:r>
      <w:r>
        <w:rPr>
          <w:rFonts w:hint="eastAsia" w:ascii="仿宋_GB2312" w:hAnsi="宋体" w:eastAsia="仿宋_GB2312" w:cs="宋体"/>
          <w:color w:val="000000"/>
          <w:kern w:val="0"/>
          <w:sz w:val="32"/>
          <w:szCs w:val="32"/>
          <w:shd w:val="clear" w:color="auto" w:fill="FFFFFF"/>
          <w:lang w:val="en-US" w:eastAsia="zh-CN"/>
        </w:rPr>
        <w:t>一般公共服务支出85.88</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en-US" w:eastAsia="zh-CN"/>
        </w:rPr>
        <w:t>占86.13%；</w:t>
      </w:r>
      <w:r>
        <w:rPr>
          <w:rFonts w:hint="eastAsia" w:ascii="仿宋_GB2312" w:hAnsi="宋体" w:eastAsia="仿宋_GB2312" w:cs="宋体"/>
          <w:color w:val="000000"/>
          <w:kern w:val="0"/>
          <w:sz w:val="32"/>
          <w:szCs w:val="32"/>
          <w:shd w:val="clear" w:color="auto" w:fill="FFFFFF"/>
          <w:lang w:val="zh-CN"/>
        </w:rPr>
        <w:t>社会保障和就业支出</w:t>
      </w:r>
      <w:r>
        <w:rPr>
          <w:rFonts w:hint="eastAsia" w:ascii="仿宋_GB2312" w:hAnsi="宋体" w:eastAsia="仿宋_GB2312" w:cs="宋体"/>
          <w:color w:val="000000"/>
          <w:kern w:val="0"/>
          <w:sz w:val="32"/>
          <w:szCs w:val="32"/>
          <w:shd w:val="clear" w:color="auto" w:fill="FFFFFF"/>
          <w:lang w:val="en-US" w:eastAsia="zh-CN"/>
        </w:rPr>
        <w:t>5.36</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en-US" w:eastAsia="zh-CN"/>
        </w:rPr>
        <w:t>占5.38%；</w:t>
      </w:r>
      <w:r>
        <w:rPr>
          <w:rFonts w:hint="eastAsia" w:ascii="仿宋_GB2312" w:hAnsi="宋体" w:eastAsia="仿宋_GB2312" w:cs="宋体"/>
          <w:color w:val="000000"/>
          <w:kern w:val="0"/>
          <w:sz w:val="32"/>
          <w:szCs w:val="32"/>
          <w:shd w:val="clear" w:color="auto" w:fill="FFFFFF"/>
          <w:lang w:val="zh-CN"/>
        </w:rPr>
        <w:t>卫生健康支出</w:t>
      </w:r>
      <w:r>
        <w:rPr>
          <w:rFonts w:hint="eastAsia" w:ascii="仿宋_GB2312" w:hAnsi="宋体" w:eastAsia="仿宋_GB2312" w:cs="宋体"/>
          <w:color w:val="000000"/>
          <w:kern w:val="0"/>
          <w:sz w:val="32"/>
          <w:szCs w:val="32"/>
          <w:shd w:val="clear" w:color="auto" w:fill="FFFFFF"/>
          <w:lang w:val="en-US" w:eastAsia="zh-CN"/>
        </w:rPr>
        <w:t>2.07</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en-US" w:eastAsia="zh-CN"/>
        </w:rPr>
        <w:t>占2.08%；</w:t>
      </w:r>
      <w:r>
        <w:rPr>
          <w:rFonts w:hint="eastAsia" w:ascii="仿宋_GB2312" w:hAnsi="宋体" w:eastAsia="仿宋_GB2312" w:cs="宋体"/>
          <w:color w:val="000000"/>
          <w:kern w:val="0"/>
          <w:sz w:val="32"/>
          <w:szCs w:val="32"/>
          <w:shd w:val="clear" w:color="auto" w:fill="FFFFFF"/>
          <w:lang w:val="zh-CN"/>
        </w:rPr>
        <w:t>住房保障支出</w:t>
      </w:r>
      <w:r>
        <w:rPr>
          <w:rFonts w:hint="eastAsia" w:ascii="仿宋_GB2312" w:hAnsi="宋体" w:eastAsia="仿宋_GB2312" w:cs="宋体"/>
          <w:color w:val="000000"/>
          <w:kern w:val="0"/>
          <w:sz w:val="32"/>
          <w:szCs w:val="32"/>
          <w:shd w:val="clear" w:color="auto" w:fill="FFFFFF"/>
          <w:lang w:val="en-US" w:eastAsia="zh-CN"/>
        </w:rPr>
        <w:t>6.40</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en-US" w:eastAsia="zh-CN"/>
        </w:rPr>
        <w:t>占6.42%</w:t>
      </w:r>
      <w:r>
        <w:rPr>
          <w:rFonts w:hint="eastAsia" w:ascii="仿宋_GB2312" w:hAnsi="宋体" w:eastAsia="仿宋_GB2312" w:cs="宋体"/>
          <w:color w:val="000000"/>
          <w:kern w:val="0"/>
          <w:sz w:val="32"/>
          <w:szCs w:val="32"/>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具体分为：基本支出</w:t>
      </w:r>
      <w:r>
        <w:rPr>
          <w:rFonts w:hint="eastAsia" w:ascii="仿宋_GB2312" w:hAnsi="宋体" w:eastAsia="仿宋_GB2312" w:cs="宋体"/>
          <w:color w:val="000000"/>
          <w:kern w:val="0"/>
          <w:sz w:val="32"/>
          <w:szCs w:val="32"/>
          <w:shd w:val="clear" w:color="auto" w:fill="FFFFFF"/>
          <w:lang w:val="en-US" w:eastAsia="zh-CN"/>
        </w:rPr>
        <w:t>82.32</w:t>
      </w:r>
      <w:r>
        <w:rPr>
          <w:rFonts w:hint="eastAsia" w:ascii="仿宋_GB2312" w:hAnsi="宋体" w:eastAsia="仿宋_GB2312" w:cs="宋体"/>
          <w:color w:val="000000"/>
          <w:kern w:val="0"/>
          <w:sz w:val="32"/>
          <w:szCs w:val="32"/>
          <w:shd w:val="clear" w:color="auto" w:fill="FFFFFF"/>
          <w:lang w:val="zh-CN"/>
        </w:rPr>
        <w:t>万元。主要包括工资福利性支出为</w:t>
      </w:r>
      <w:r>
        <w:rPr>
          <w:rFonts w:hint="eastAsia" w:ascii="仿宋_GB2312" w:hAnsi="宋体" w:eastAsia="仿宋_GB2312" w:cs="宋体"/>
          <w:color w:val="000000"/>
          <w:kern w:val="0"/>
          <w:sz w:val="32"/>
          <w:szCs w:val="32"/>
          <w:shd w:val="clear" w:color="auto" w:fill="FFFFFF"/>
          <w:lang w:val="en-US" w:eastAsia="zh-CN"/>
        </w:rPr>
        <w:t>169.01</w:t>
      </w:r>
      <w:r>
        <w:rPr>
          <w:rFonts w:hint="eastAsia" w:ascii="仿宋_GB2312" w:hAnsi="宋体" w:eastAsia="仿宋_GB2312" w:cs="宋体"/>
          <w:color w:val="000000"/>
          <w:kern w:val="0"/>
          <w:sz w:val="32"/>
          <w:szCs w:val="32"/>
          <w:shd w:val="clear" w:color="auto" w:fill="FFFFFF"/>
          <w:lang w:val="zh-CN"/>
        </w:rPr>
        <w:t>万元，商品和服务性支出为</w:t>
      </w:r>
      <w:r>
        <w:rPr>
          <w:rFonts w:hint="eastAsia" w:ascii="仿宋_GB2312" w:hAnsi="宋体" w:eastAsia="仿宋_GB2312" w:cs="宋体"/>
          <w:color w:val="000000"/>
          <w:kern w:val="0"/>
          <w:sz w:val="32"/>
          <w:szCs w:val="32"/>
          <w:shd w:val="clear" w:color="auto" w:fill="FFFFFF"/>
          <w:lang w:val="en-US" w:eastAsia="zh-CN"/>
        </w:rPr>
        <w:t>8.17</w:t>
      </w:r>
      <w:r>
        <w:rPr>
          <w:rFonts w:hint="eastAsia" w:ascii="仿宋_GB2312" w:hAnsi="宋体" w:eastAsia="仿宋_GB2312" w:cs="宋体"/>
          <w:color w:val="000000"/>
          <w:kern w:val="0"/>
          <w:sz w:val="32"/>
          <w:szCs w:val="32"/>
          <w:shd w:val="clear" w:color="auto" w:fill="FFFFFF"/>
          <w:lang w:val="zh-CN"/>
        </w:rPr>
        <w:t>万元，对个人和家庭的补助</w:t>
      </w:r>
      <w:r>
        <w:rPr>
          <w:rFonts w:hint="eastAsia" w:ascii="仿宋_GB2312" w:hAnsi="宋体" w:eastAsia="仿宋_GB2312" w:cs="宋体"/>
          <w:color w:val="000000"/>
          <w:kern w:val="0"/>
          <w:sz w:val="32"/>
          <w:szCs w:val="32"/>
          <w:shd w:val="clear" w:color="auto" w:fill="FFFFFF"/>
          <w:lang w:val="en-US" w:eastAsia="zh-CN"/>
        </w:rPr>
        <w:t>5.14万元</w:t>
      </w:r>
      <w:r>
        <w:rPr>
          <w:rFonts w:hint="eastAsia" w:ascii="仿宋_GB2312" w:hAnsi="宋体" w:eastAsia="仿宋_GB2312" w:cs="宋体"/>
          <w:color w:val="000000"/>
          <w:kern w:val="0"/>
          <w:sz w:val="32"/>
          <w:szCs w:val="32"/>
          <w:shd w:val="clear" w:color="auto" w:fill="FFFFFF"/>
          <w:lang w:val="zh-CN"/>
        </w:rPr>
        <w:t>。项目支出</w:t>
      </w:r>
      <w:r>
        <w:rPr>
          <w:rFonts w:hint="eastAsia" w:ascii="仿宋_GB2312" w:hAnsi="宋体" w:eastAsia="仿宋_GB2312" w:cs="宋体"/>
          <w:color w:val="000000"/>
          <w:kern w:val="0"/>
          <w:sz w:val="32"/>
          <w:szCs w:val="32"/>
          <w:shd w:val="clear" w:color="auto" w:fill="FFFFFF"/>
          <w:lang w:val="en-US" w:eastAsia="zh-CN"/>
        </w:rPr>
        <w:t>17.4</w:t>
      </w:r>
      <w:r>
        <w:rPr>
          <w:rFonts w:hint="eastAsia" w:ascii="仿宋_GB2312" w:hAnsi="宋体" w:eastAsia="仿宋_GB2312" w:cs="宋体"/>
          <w:color w:val="000000"/>
          <w:kern w:val="0"/>
          <w:sz w:val="32"/>
          <w:szCs w:val="32"/>
          <w:shd w:val="clear" w:color="auto" w:fill="FFFFFF"/>
          <w:lang w:val="zh-CN"/>
        </w:rPr>
        <w:t>万元。主要包括商品和服务性支出为</w:t>
      </w:r>
      <w:r>
        <w:rPr>
          <w:rFonts w:hint="eastAsia" w:ascii="仿宋_GB2312" w:hAnsi="宋体" w:eastAsia="仿宋_GB2312" w:cs="宋体"/>
          <w:color w:val="000000"/>
          <w:kern w:val="0"/>
          <w:sz w:val="32"/>
          <w:szCs w:val="32"/>
          <w:shd w:val="clear" w:color="auto" w:fill="FFFFFF"/>
          <w:lang w:val="en-US" w:eastAsia="zh-CN"/>
        </w:rPr>
        <w:t>17.4</w:t>
      </w:r>
      <w:r>
        <w:rPr>
          <w:rFonts w:hint="eastAsia" w:ascii="仿宋_GB2312" w:hAnsi="宋体" w:eastAsia="仿宋_GB2312" w:cs="宋体"/>
          <w:color w:val="000000"/>
          <w:kern w:val="0"/>
          <w:sz w:val="32"/>
          <w:szCs w:val="32"/>
          <w:shd w:val="clear" w:color="auto" w:fill="FFFFFF"/>
          <w:lang w:val="zh-CN"/>
        </w:rPr>
        <w:t>万元。</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000000"/>
          <w:kern w:val="0"/>
          <w:sz w:val="32"/>
          <w:szCs w:val="32"/>
          <w:shd w:val="clear" w:color="auto" w:fill="FFFFFF"/>
          <w:lang w:val="zh-CN"/>
        </w:rPr>
        <w:t>以上支出主要用于人员支出、日常公用支出和项目支出，人员支出为工资、社会保障缴费、住户公积金等支出；日常公用支出为办公费、水电费、邮电费、公务接待费、公务用车运行维护费等；项目支出主要妇联专项经费、妇儿工委经费、妇儿活动中心经费、破难行动经费、妈妈家经费、建档立卡女性安康保险、惠民救助经费</w:t>
      </w:r>
      <w:r>
        <w:rPr>
          <w:rFonts w:hint="eastAsia" w:ascii="仿宋_GB2312" w:hAnsi="宋体" w:eastAsia="仿宋_GB2312" w:cs="宋体"/>
          <w:color w:val="000000"/>
          <w:kern w:val="0"/>
          <w:sz w:val="32"/>
          <w:szCs w:val="32"/>
          <w:shd w:val="clear" w:color="auto" w:fill="FFFFFF"/>
          <w:lang w:val="en-US" w:eastAsia="zh-CN"/>
        </w:rPr>
        <w:t>等</w:t>
      </w:r>
      <w:r>
        <w:rPr>
          <w:rFonts w:hint="eastAsia" w:ascii="仿宋" w:hAnsi="仿宋" w:eastAsia="仿宋" w:cs="仿宋"/>
          <w:color w:val="00000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三、</w:t>
      </w:r>
      <w:r>
        <w:rPr>
          <w:rFonts w:hint="eastAsia" w:ascii="黑体" w:hAnsi="宋体" w:eastAsia="黑体" w:cs="宋体"/>
          <w:color w:val="auto"/>
          <w:kern w:val="0"/>
          <w:sz w:val="32"/>
          <w:szCs w:val="32"/>
          <w:highlight w:val="none"/>
          <w:u w:val="none"/>
          <w:shd w:val="clear" w:color="auto" w:fill="FFFFFF"/>
        </w:rPr>
        <w:t>部门整体预算绩效管理情况</w:t>
      </w:r>
      <w:r>
        <w:rPr>
          <w:rFonts w:hint="eastAsia" w:ascii="黑体" w:hAnsi="宋体" w:eastAsia="黑体" w:cs="宋体"/>
          <w:color w:val="auto"/>
          <w:kern w:val="0"/>
          <w:sz w:val="32"/>
          <w:szCs w:val="32"/>
          <w:highlight w:val="none"/>
          <w:shd w:val="clear" w:color="auto" w:fill="FFFFFF"/>
        </w:rPr>
        <w:t>（</w:t>
      </w:r>
      <w:r>
        <w:rPr>
          <w:rFonts w:hint="eastAsia" w:ascii="黑体" w:hAnsi="宋体" w:eastAsia="黑体" w:cs="宋体"/>
          <w:color w:val="auto"/>
          <w:kern w:val="0"/>
          <w:sz w:val="32"/>
          <w:szCs w:val="32"/>
          <w:highlight w:val="none"/>
          <w:shd w:val="clear" w:color="auto" w:fill="FFFFFF"/>
          <w:lang w:eastAsia="zh-CN"/>
        </w:rPr>
        <w:t>涉及到有专项预算的部门，专项预算项目自评报告作为附件报送；</w:t>
      </w:r>
      <w:r>
        <w:rPr>
          <w:rFonts w:hint="eastAsia" w:ascii="黑体" w:hAnsi="宋体" w:eastAsia="黑体" w:cs="宋体"/>
          <w:color w:val="auto"/>
          <w:kern w:val="0"/>
          <w:sz w:val="32"/>
          <w:szCs w:val="32"/>
          <w:highlight w:val="none"/>
          <w:shd w:val="clear" w:color="auto" w:fill="FFFFFF"/>
          <w:lang w:val="en-US" w:eastAsia="zh-CN"/>
        </w:rPr>
        <w:t>特定目标类部门预算项目绩效目标自评表作为附表报送</w:t>
      </w:r>
      <w:r>
        <w:rPr>
          <w:rFonts w:hint="eastAsia" w:ascii="黑体" w:hAnsi="宋体" w:eastAsia="黑体" w:cs="宋体"/>
          <w:color w:val="auto"/>
          <w:kern w:val="0"/>
          <w:sz w:val="32"/>
          <w:szCs w:val="32"/>
          <w:highlight w:val="none"/>
          <w:shd w:val="clear" w:color="auto" w:fill="FFFFFF"/>
        </w:rPr>
        <w:t>）</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（一）部门预算项目绩效管理。</w:t>
      </w:r>
    </w:p>
    <w:p>
      <w:pPr>
        <w:keepNext w:val="0"/>
        <w:keepLines w:val="0"/>
        <w:pageBreakBefore w:val="0"/>
        <w:widowControl/>
        <w:kinsoku/>
        <w:wordWrap/>
        <w:overflowPunct/>
        <w:autoSpaceDE/>
        <w:autoSpaceDN/>
        <w:bidi w:val="0"/>
        <w:adjustRightInd w:val="0"/>
        <w:snapToGrid w:val="0"/>
        <w:spacing w:line="600" w:lineRule="exact"/>
        <w:ind w:firstLine="640" w:firstLineChars="200"/>
        <w:contextualSpacing/>
        <w:jc w:val="left"/>
        <w:outlineLvl w:val="9"/>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en-US" w:eastAsia="zh-CN"/>
        </w:rPr>
        <w:t>1.</w:t>
      </w:r>
      <w:r>
        <w:rPr>
          <w:rFonts w:hint="eastAsia" w:ascii="仿宋" w:hAnsi="仿宋" w:eastAsia="仿宋" w:cs="仿宋"/>
          <w:color w:val="000000"/>
          <w:kern w:val="0"/>
          <w:sz w:val="32"/>
          <w:szCs w:val="32"/>
          <w:shd w:val="clear" w:color="auto" w:fill="FFFFFF"/>
          <w:lang w:val="zh-CN"/>
        </w:rPr>
        <w:t>部门预算管理。</w:t>
      </w:r>
    </w:p>
    <w:p>
      <w:pPr>
        <w:pStyle w:val="45"/>
        <w:keepNext w:val="0"/>
        <w:keepLines w:val="0"/>
        <w:pageBreakBefore w:val="0"/>
        <w:kinsoku/>
        <w:wordWrap/>
        <w:overflowPunct/>
        <w:autoSpaceDE/>
        <w:autoSpaceDN/>
        <w:bidi w:val="0"/>
        <w:spacing w:line="600" w:lineRule="exact"/>
        <w:ind w:firstLine="640" w:firstLineChars="200"/>
        <w:rPr>
          <w:rFonts w:hint="eastAsia" w:ascii="仿宋" w:hAnsi="仿宋" w:eastAsia="仿宋" w:cs="仿宋"/>
          <w:sz w:val="32"/>
          <w:szCs w:val="32"/>
          <w:shd w:val="clear" w:color="auto" w:fill="FFFFFF"/>
          <w:lang w:val="zh-CN"/>
        </w:rPr>
      </w:pPr>
      <w:r>
        <w:rPr>
          <w:rFonts w:hint="eastAsia" w:ascii="仿宋" w:hAnsi="仿宋" w:eastAsia="仿宋" w:cs="仿宋"/>
          <w:sz w:val="32"/>
          <w:szCs w:val="32"/>
          <w:lang w:val="zh-CN"/>
        </w:rPr>
        <w:t>严格按照区部门预算编制通知和相关要求，按时完成预算编制工作，20</w:t>
      </w:r>
      <w:r>
        <w:rPr>
          <w:rFonts w:hint="eastAsia" w:ascii="仿宋" w:hAnsi="仿宋" w:eastAsia="仿宋" w:cs="仿宋"/>
          <w:sz w:val="32"/>
          <w:szCs w:val="32"/>
          <w:lang w:val="en-US" w:eastAsia="zh-CN"/>
        </w:rPr>
        <w:t>21</w:t>
      </w:r>
      <w:r>
        <w:rPr>
          <w:rFonts w:hint="eastAsia" w:ascii="仿宋" w:hAnsi="仿宋" w:eastAsia="仿宋" w:cs="仿宋"/>
          <w:sz w:val="32"/>
          <w:szCs w:val="32"/>
          <w:lang w:val="zh-CN"/>
        </w:rPr>
        <w:t>年部门决算填报、绩效目标严格按照区财政局的要求完成。</w:t>
      </w:r>
    </w:p>
    <w:p>
      <w:pPr>
        <w:pStyle w:val="50"/>
        <w:keepNext w:val="0"/>
        <w:keepLines w:val="0"/>
        <w:pageBreakBefore w:val="0"/>
        <w:numPr>
          <w:ilvl w:val="0"/>
          <w:numId w:val="0"/>
        </w:numPr>
        <w:kinsoku/>
        <w:wordWrap/>
        <w:overflowPunct/>
        <w:autoSpaceDE/>
        <w:autoSpaceDN/>
        <w:bidi w:val="0"/>
        <w:spacing w:line="600" w:lineRule="exact"/>
        <w:ind w:firstLine="640" w:firstLineChars="200"/>
        <w:outlineLvl w:val="9"/>
        <w:rPr>
          <w:rFonts w:hint="eastAsia" w:ascii="仿宋" w:hAnsi="仿宋" w:eastAsia="仿宋" w:cs="仿宋"/>
          <w:sz w:val="32"/>
          <w:szCs w:val="32"/>
          <w:shd w:val="clear" w:color="auto" w:fill="FFFFFF"/>
        </w:rPr>
      </w:pPr>
      <w:bookmarkStart w:id="95" w:name="_Toc12970"/>
      <w:bookmarkStart w:id="96" w:name="_Toc7675"/>
      <w:r>
        <w:rPr>
          <w:rFonts w:hint="eastAsia" w:ascii="仿宋" w:hAnsi="仿宋" w:eastAsia="仿宋" w:cs="仿宋"/>
          <w:sz w:val="32"/>
          <w:szCs w:val="32"/>
          <w:shd w:val="clear" w:color="auto" w:fill="FFFFFF"/>
          <w:lang w:val="en-US" w:eastAsia="zh-CN"/>
        </w:rPr>
        <w:t>2.</w:t>
      </w:r>
      <w:r>
        <w:rPr>
          <w:rFonts w:hint="eastAsia" w:ascii="仿宋" w:hAnsi="仿宋" w:eastAsia="仿宋" w:cs="仿宋"/>
          <w:sz w:val="32"/>
          <w:szCs w:val="32"/>
          <w:shd w:val="clear" w:color="auto" w:fill="FFFFFF"/>
        </w:rPr>
        <w:t>执行管理情况。</w:t>
      </w:r>
      <w:bookmarkEnd w:id="95"/>
      <w:bookmarkEnd w:id="9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财政拨款安排支出主要用于保障单位正常运转、完成日常工作任务及相关工作，人员经费和公用经费每月财政通过均衡预算安排支付；基本支出包括工资福利支出、商品和服务支出以及对个人和家庭的补助，项目支出用于保障单位为完成特定的行政工作任务或专项业务工作的经费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shd w:val="clear" w:color="auto" w:fill="FFFFFF"/>
          <w:lang w:val="zh-CN"/>
        </w:rPr>
      </w:pPr>
      <w:r>
        <w:rPr>
          <w:rFonts w:hint="eastAsia" w:ascii="仿宋" w:hAnsi="仿宋" w:eastAsia="仿宋" w:cs="仿宋"/>
          <w:sz w:val="32"/>
          <w:szCs w:val="32"/>
          <w:lang w:val="zh-CN"/>
        </w:rPr>
        <w:t>我单位认真贯彻落实区财政相关规定，厉行节约，严格控制因公出国（境）费用、会议费、车辆购置及运行费用和公务接待经费，因公出国（境）费用0万元，公务接待费</w:t>
      </w:r>
      <w:r>
        <w:rPr>
          <w:rFonts w:hint="eastAsia" w:ascii="仿宋" w:hAnsi="仿宋" w:eastAsia="仿宋" w:cs="仿宋"/>
          <w:sz w:val="32"/>
          <w:szCs w:val="32"/>
          <w:lang w:val="en-US" w:eastAsia="zh-CN"/>
        </w:rPr>
        <w:t>0.16</w:t>
      </w:r>
      <w:r>
        <w:rPr>
          <w:rFonts w:hint="eastAsia" w:ascii="仿宋" w:hAnsi="仿宋" w:eastAsia="仿宋" w:cs="仿宋"/>
          <w:sz w:val="32"/>
          <w:szCs w:val="32"/>
          <w:lang w:val="zh-CN"/>
        </w:rPr>
        <w:t>万元，公务用车运行维护费</w:t>
      </w:r>
      <w:r>
        <w:rPr>
          <w:rFonts w:hint="eastAsia" w:ascii="仿宋" w:hAnsi="仿宋" w:eastAsia="仿宋" w:cs="仿宋"/>
          <w:sz w:val="32"/>
          <w:szCs w:val="32"/>
          <w:lang w:val="en-US" w:eastAsia="zh-CN"/>
        </w:rPr>
        <w:t>0.52</w:t>
      </w:r>
      <w:r>
        <w:rPr>
          <w:rFonts w:hint="eastAsia" w:ascii="仿宋" w:hAnsi="仿宋" w:eastAsia="仿宋" w:cs="仿宋"/>
          <w:sz w:val="32"/>
          <w:szCs w:val="32"/>
          <w:lang w:val="zh-CN"/>
        </w:rPr>
        <w:t>万元。</w:t>
      </w:r>
    </w:p>
    <w:p>
      <w:pPr>
        <w:pStyle w:val="50"/>
        <w:keepNext w:val="0"/>
        <w:keepLines w:val="0"/>
        <w:pageBreakBefore w:val="0"/>
        <w:numPr>
          <w:ilvl w:val="0"/>
          <w:numId w:val="0"/>
        </w:numPr>
        <w:kinsoku/>
        <w:wordWrap/>
        <w:overflowPunct/>
        <w:autoSpaceDE/>
        <w:autoSpaceDN/>
        <w:bidi w:val="0"/>
        <w:spacing w:line="600" w:lineRule="exact"/>
        <w:ind w:firstLine="640" w:firstLineChars="200"/>
        <w:outlineLvl w:val="9"/>
        <w:rPr>
          <w:rFonts w:hint="eastAsia" w:ascii="仿宋" w:hAnsi="仿宋" w:eastAsia="仿宋" w:cs="仿宋"/>
          <w:sz w:val="32"/>
          <w:szCs w:val="32"/>
          <w:shd w:val="clear" w:color="auto" w:fill="FFFFFF"/>
        </w:rPr>
      </w:pPr>
      <w:bookmarkStart w:id="97" w:name="_Toc15784"/>
      <w:bookmarkStart w:id="98" w:name="_Toc11770"/>
      <w:r>
        <w:rPr>
          <w:rFonts w:hint="eastAsia" w:ascii="仿宋" w:hAnsi="仿宋" w:eastAsia="仿宋" w:cs="仿宋"/>
          <w:sz w:val="32"/>
          <w:szCs w:val="32"/>
          <w:shd w:val="clear" w:color="auto" w:fill="FFFFFF"/>
          <w:lang w:val="en-US" w:eastAsia="zh-CN"/>
        </w:rPr>
        <w:t>3.</w:t>
      </w:r>
      <w:r>
        <w:rPr>
          <w:rFonts w:hint="eastAsia" w:ascii="仿宋" w:hAnsi="仿宋" w:eastAsia="仿宋" w:cs="仿宋"/>
          <w:sz w:val="32"/>
          <w:szCs w:val="32"/>
          <w:shd w:val="clear" w:color="auto" w:fill="FFFFFF"/>
        </w:rPr>
        <w:t>综合管理情况。</w:t>
      </w:r>
      <w:bookmarkEnd w:id="97"/>
      <w:bookmarkEnd w:id="9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我单位财务管理规范，严格按照《会计法》、《行政单位会计制度》的规定，依法设置会计账簿，并保证其真实性、完整性，根据本单位实际发生的各项业务事项依法进行会计核算、填制会计凭证、登记会计账簿、编制财务会计报表。</w:t>
      </w:r>
      <w:r>
        <w:rPr>
          <w:rFonts w:hint="eastAsia" w:ascii="仿宋" w:hAnsi="仿宋" w:eastAsia="仿宋" w:cs="仿宋"/>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 w:hAnsi="仿宋" w:eastAsia="仿宋" w:cs="仿宋"/>
          <w:sz w:val="32"/>
          <w:szCs w:val="32"/>
        </w:rPr>
        <w:t>我</w:t>
      </w:r>
      <w:r>
        <w:rPr>
          <w:rFonts w:hint="eastAsia" w:ascii="仿宋" w:hAnsi="仿宋" w:eastAsia="仿宋" w:cs="仿宋"/>
          <w:sz w:val="32"/>
          <w:szCs w:val="32"/>
          <w:lang w:eastAsia="zh-CN"/>
        </w:rPr>
        <w:t>单位</w:t>
      </w:r>
      <w:r>
        <w:rPr>
          <w:rFonts w:hint="eastAsia" w:ascii="仿宋" w:hAnsi="仿宋" w:eastAsia="仿宋" w:cs="仿宋"/>
          <w:sz w:val="32"/>
          <w:szCs w:val="32"/>
        </w:rPr>
        <w:t>20</w:t>
      </w:r>
      <w:r>
        <w:rPr>
          <w:rFonts w:hint="eastAsia" w:ascii="仿宋" w:hAnsi="仿宋" w:eastAsia="仿宋" w:cs="仿宋"/>
          <w:sz w:val="32"/>
          <w:szCs w:val="32"/>
          <w:lang w:val="en-US" w:eastAsia="zh-CN"/>
        </w:rPr>
        <w:t>21</w:t>
      </w:r>
      <w:r>
        <w:rPr>
          <w:rFonts w:hint="default" w:ascii="仿宋" w:hAnsi="仿宋" w:eastAsia="仿宋" w:cs="仿宋"/>
          <w:sz w:val="32"/>
          <w:szCs w:val="32"/>
        </w:rPr>
        <w:t>无</w:t>
      </w:r>
      <w:r>
        <w:rPr>
          <w:rFonts w:hint="eastAsia" w:ascii="仿宋" w:hAnsi="仿宋" w:eastAsia="仿宋" w:cs="仿宋"/>
          <w:sz w:val="32"/>
          <w:szCs w:val="32"/>
        </w:rPr>
        <w:t>非税收入。</w:t>
      </w:r>
      <w:r>
        <w:rPr>
          <w:rFonts w:hint="eastAsia" w:ascii="仿宋" w:hAnsi="仿宋" w:eastAsia="仿宋" w:cs="仿宋"/>
          <w:sz w:val="32"/>
          <w:szCs w:val="32"/>
          <w:lang w:val="zh-CN"/>
        </w:rPr>
        <w:t>严格按照政府采购有关规定，政府采购目录内的货物与服务全部按要求实施了政府采购，确保了支出管理流程、审批手续的完整；按时完成资产管理信息系统资产清查和上报；内部控制制度健全完整;预决算信息按时公开；单位工作都依法接受财政监督</w:t>
      </w:r>
      <w:r>
        <w:rPr>
          <w:rFonts w:hint="eastAsia" w:ascii="仿宋_GB2312" w:hAnsi="宋体" w:eastAsia="仿宋_GB2312" w:cs="宋体"/>
          <w:color w:val="auto"/>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（二）结果应用情况。</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en-US"/>
        </w:rPr>
      </w:pPr>
      <w:r>
        <w:rPr>
          <w:rFonts w:hint="eastAsia" w:ascii="仿宋_GB2312" w:hAnsi="宋体" w:eastAsia="仿宋_GB2312" w:cs="宋体"/>
          <w:color w:val="auto"/>
          <w:kern w:val="0"/>
          <w:sz w:val="32"/>
          <w:szCs w:val="32"/>
          <w:highlight w:val="none"/>
          <w:shd w:val="clear" w:color="auto" w:fill="FFFFFF"/>
          <w:lang w:val="en-US"/>
        </w:rPr>
        <w:t>内部应用</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en-US"/>
        </w:rPr>
      </w:pPr>
      <w:r>
        <w:rPr>
          <w:rFonts w:hint="eastAsia" w:ascii="仿宋_GB2312" w:hAnsi="宋体" w:eastAsia="仿宋_GB2312" w:cs="宋体"/>
          <w:color w:val="auto"/>
          <w:kern w:val="0"/>
          <w:sz w:val="32"/>
          <w:szCs w:val="32"/>
          <w:highlight w:val="none"/>
          <w:shd w:val="clear" w:color="auto" w:fill="FFFFFF"/>
          <w:lang w:val="en-US"/>
        </w:rPr>
        <w:t>预算挂钩机制健全。</w:t>
      </w:r>
      <w:r>
        <w:rPr>
          <w:rFonts w:hint="eastAsia" w:ascii="仿宋_GB2312" w:hAnsi="宋体" w:eastAsia="仿宋_GB2312" w:cs="宋体"/>
          <w:color w:val="auto"/>
          <w:kern w:val="0"/>
          <w:sz w:val="32"/>
          <w:szCs w:val="32"/>
          <w:highlight w:val="none"/>
          <w:shd w:val="clear" w:color="auto" w:fill="FFFFFF"/>
          <w:lang w:val="en-US" w:eastAsia="zh-CN"/>
        </w:rPr>
        <w:t>我单位</w:t>
      </w:r>
      <w:r>
        <w:rPr>
          <w:rFonts w:hint="eastAsia" w:ascii="仿宋_GB2312" w:hAnsi="宋体" w:eastAsia="仿宋_GB2312" w:cs="宋体"/>
          <w:color w:val="auto"/>
          <w:kern w:val="0"/>
          <w:sz w:val="32"/>
          <w:szCs w:val="32"/>
          <w:highlight w:val="none"/>
          <w:shd w:val="clear" w:color="auto" w:fill="FFFFFF"/>
          <w:lang w:val="en-US"/>
        </w:rPr>
        <w:t>将内设机构绩效自评纳入考核体系，建立内设机构预算与绩效挂钩机制，预算挂钩机制健全。</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en-US"/>
        </w:rPr>
      </w:pPr>
      <w:r>
        <w:rPr>
          <w:rFonts w:hint="eastAsia" w:ascii="仿宋_GB2312" w:hAnsi="宋体" w:eastAsia="仿宋_GB2312" w:cs="宋体"/>
          <w:color w:val="auto"/>
          <w:kern w:val="0"/>
          <w:sz w:val="32"/>
          <w:szCs w:val="32"/>
          <w:highlight w:val="none"/>
          <w:shd w:val="clear" w:color="auto" w:fill="FFFFFF"/>
          <w:lang w:val="en-US"/>
        </w:rPr>
        <w:t>信息公开</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en-US"/>
        </w:rPr>
      </w:pPr>
      <w:r>
        <w:rPr>
          <w:rFonts w:hint="eastAsia" w:ascii="仿宋_GB2312" w:hAnsi="宋体" w:eastAsia="仿宋_GB2312" w:cs="宋体"/>
          <w:color w:val="auto"/>
          <w:kern w:val="0"/>
          <w:sz w:val="32"/>
          <w:szCs w:val="32"/>
          <w:highlight w:val="none"/>
          <w:shd w:val="clear" w:color="auto" w:fill="FFFFFF"/>
          <w:lang w:val="en-US"/>
        </w:rPr>
        <w:t>信息公开及时。经核查，</w:t>
      </w:r>
      <w:r>
        <w:rPr>
          <w:rFonts w:hint="eastAsia" w:ascii="仿宋_GB2312" w:hAnsi="宋体" w:eastAsia="仿宋_GB2312" w:cs="宋体"/>
          <w:color w:val="auto"/>
          <w:kern w:val="0"/>
          <w:sz w:val="32"/>
          <w:szCs w:val="32"/>
          <w:highlight w:val="none"/>
          <w:shd w:val="clear" w:color="auto" w:fill="FFFFFF"/>
          <w:lang w:val="en-US" w:eastAsia="zh-CN"/>
        </w:rPr>
        <w:t>我单位暂未开展2021年度决算公开，故</w:t>
      </w:r>
      <w:r>
        <w:rPr>
          <w:rFonts w:hint="eastAsia" w:ascii="仿宋_GB2312" w:hAnsi="宋体" w:eastAsia="仿宋_GB2312" w:cs="宋体"/>
          <w:color w:val="auto"/>
          <w:kern w:val="0"/>
          <w:sz w:val="32"/>
          <w:szCs w:val="32"/>
          <w:highlight w:val="none"/>
          <w:shd w:val="clear" w:color="auto" w:fill="FFFFFF"/>
          <w:lang w:val="en-US"/>
        </w:rPr>
        <w:t>部门整体支出绩效自评报告及其他按要求应公开的绩效信息均</w:t>
      </w:r>
      <w:r>
        <w:rPr>
          <w:rFonts w:hint="eastAsia" w:ascii="仿宋_GB2312" w:hAnsi="宋体" w:eastAsia="仿宋_GB2312" w:cs="宋体"/>
          <w:color w:val="auto"/>
          <w:kern w:val="0"/>
          <w:sz w:val="32"/>
          <w:szCs w:val="32"/>
          <w:highlight w:val="none"/>
          <w:shd w:val="clear" w:color="auto" w:fill="FFFFFF"/>
          <w:lang w:val="en-US" w:eastAsia="zh-CN"/>
        </w:rPr>
        <w:t>未</w:t>
      </w:r>
      <w:r>
        <w:rPr>
          <w:rFonts w:hint="eastAsia" w:ascii="仿宋_GB2312" w:hAnsi="宋体" w:eastAsia="仿宋_GB2312" w:cs="宋体"/>
          <w:color w:val="auto"/>
          <w:kern w:val="0"/>
          <w:sz w:val="32"/>
          <w:szCs w:val="32"/>
          <w:highlight w:val="none"/>
          <w:shd w:val="clear" w:color="auto" w:fill="FFFFFF"/>
          <w:lang w:val="en-US"/>
        </w:rPr>
        <w:t>信息公开。</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en-US"/>
        </w:rPr>
        <w:t>整改反馈</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en-US"/>
        </w:rPr>
        <w:t>及时整改。</w:t>
      </w:r>
      <w:r>
        <w:rPr>
          <w:rFonts w:hint="eastAsia" w:ascii="仿宋_GB2312" w:hAnsi="宋体" w:eastAsia="仿宋_GB2312" w:cs="宋体"/>
          <w:color w:val="auto"/>
          <w:kern w:val="0"/>
          <w:sz w:val="32"/>
          <w:szCs w:val="32"/>
          <w:highlight w:val="none"/>
          <w:shd w:val="clear" w:color="auto" w:fill="FFFFFF"/>
          <w:lang w:val="en-US" w:eastAsia="zh-CN"/>
        </w:rPr>
        <w:t>我单位无整改问题</w:t>
      </w:r>
      <w:r>
        <w:rPr>
          <w:rFonts w:hint="eastAsia" w:ascii="仿宋_GB2312" w:hAnsi="宋体" w:eastAsia="仿宋_GB2312" w:cs="宋体"/>
          <w:color w:val="auto"/>
          <w:kern w:val="0"/>
          <w:sz w:val="32"/>
          <w:szCs w:val="32"/>
          <w:highlight w:val="none"/>
          <w:shd w:val="clear" w:color="auto" w:fill="FFFFFF"/>
          <w:lang w:val="zh-CN"/>
        </w:rPr>
        <w:t>。</w:t>
      </w:r>
    </w:p>
    <w:p>
      <w:pPr>
        <w:widowControl/>
        <w:numPr>
          <w:ilvl w:val="0"/>
          <w:numId w:val="8"/>
        </w:numPr>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highlight w:val="none"/>
          <w:u w:val="none"/>
          <w:shd w:val="clear" w:color="auto" w:fill="FFFFFF"/>
          <w:lang w:val="zh-CN"/>
        </w:rPr>
      </w:pPr>
      <w:r>
        <w:rPr>
          <w:rFonts w:hint="eastAsia" w:ascii="仿宋_GB2312" w:hAnsi="宋体" w:eastAsia="仿宋_GB2312" w:cs="宋体"/>
          <w:color w:val="auto"/>
          <w:kern w:val="0"/>
          <w:sz w:val="32"/>
          <w:szCs w:val="32"/>
          <w:highlight w:val="none"/>
          <w:u w:val="none"/>
          <w:shd w:val="clear" w:color="auto" w:fill="FFFFFF"/>
          <w:lang w:val="zh-CN"/>
        </w:rPr>
        <w:t>自评质量</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contextualSpacing/>
        <w:jc w:val="left"/>
        <w:textAlignment w:val="auto"/>
        <w:rPr>
          <w:rFonts w:hint="default" w:ascii="仿宋_GB2312" w:hAnsi="宋体" w:eastAsia="仿宋_GB2312" w:cs="宋体"/>
          <w:color w:val="auto"/>
          <w:kern w:val="0"/>
          <w:sz w:val="32"/>
          <w:szCs w:val="32"/>
          <w:highlight w:val="none"/>
          <w:shd w:val="clear" w:color="auto" w:fill="FFFFFF"/>
          <w:lang w:val="en-US" w:eastAsia="zh-CN"/>
        </w:rPr>
      </w:pPr>
      <w:r>
        <w:rPr>
          <w:rFonts w:hint="eastAsia" w:ascii="仿宋_GB2312" w:hAnsi="宋体" w:eastAsia="仿宋_GB2312" w:cs="宋体"/>
          <w:color w:val="auto"/>
          <w:kern w:val="0"/>
          <w:sz w:val="32"/>
          <w:szCs w:val="32"/>
          <w:highlight w:val="none"/>
          <w:shd w:val="clear" w:color="auto" w:fill="FFFFFF"/>
          <w:lang w:val="en-US" w:eastAsia="zh-CN"/>
        </w:rPr>
        <w:t xml:space="preserve">    本部门部门整体支出自评准确。</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（一）评价结论。</w:t>
      </w:r>
    </w:p>
    <w:tbl>
      <w:tblPr>
        <w:tblStyle w:val="23"/>
        <w:tblW w:w="87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62"/>
        <w:gridCol w:w="2147"/>
        <w:gridCol w:w="2122"/>
        <w:gridCol w:w="1274"/>
        <w:gridCol w:w="12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6231"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绩效指标</w:t>
            </w:r>
          </w:p>
        </w:tc>
        <w:tc>
          <w:tcPr>
            <w:tcW w:w="127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指标分值</w:t>
            </w:r>
          </w:p>
        </w:tc>
        <w:tc>
          <w:tcPr>
            <w:tcW w:w="1274" w:type="dxa"/>
            <w:vMerge w:val="restart"/>
            <w:tcBorders>
              <w:top w:val="single" w:color="000000" w:sz="4" w:space="0"/>
              <w:left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b/>
                <w:bCs/>
                <w:color w:val="000000"/>
                <w:kern w:val="0"/>
                <w:sz w:val="18"/>
                <w:szCs w:val="18"/>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9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一级指标</w:t>
            </w:r>
          </w:p>
        </w:tc>
        <w:tc>
          <w:tcPr>
            <w:tcW w:w="21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二级指标</w:t>
            </w: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三级指标</w:t>
            </w:r>
          </w:p>
        </w:tc>
        <w:tc>
          <w:tcPr>
            <w:tcW w:w="127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24"/>
                <w:szCs w:val="24"/>
                <w:u w:val="none"/>
              </w:rPr>
            </w:pPr>
          </w:p>
        </w:tc>
        <w:tc>
          <w:tcPr>
            <w:tcW w:w="1274"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196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部门管理（80分）</w:t>
            </w:r>
          </w:p>
        </w:tc>
        <w:tc>
          <w:tcPr>
            <w:tcW w:w="214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预算管理（50分）</w:t>
            </w: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预算目标制定</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预算目标完成</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预算编制准确</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1"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预算支出规范</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预算动态调整</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内部控制管理（10分）</w:t>
            </w: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制度建设</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制度执行</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完成结果（20分）</w:t>
            </w: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预算完成</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违规记录</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196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绩效结果应用（20分）</w:t>
            </w:r>
          </w:p>
        </w:tc>
        <w:tc>
          <w:tcPr>
            <w:tcW w:w="214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信息公开（8分）</w:t>
            </w: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目标公开</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自评公开</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自评质量（4分）</w:t>
            </w: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自评准确</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整改反馈（8分）</w:t>
            </w: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结果整改</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应用反馈</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231"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合计</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96</w:t>
            </w:r>
          </w:p>
        </w:tc>
      </w:tr>
    </w:tbl>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乐山市沙湾区妇女联合会整体支出绩效评价指标总计得分96分</w:t>
      </w:r>
      <w:r>
        <w:rPr>
          <w:rFonts w:hint="eastAsia" w:ascii="仿宋_GB2312" w:hAnsi="宋体" w:eastAsia="仿宋_GB2312" w:cs="宋体"/>
          <w:color w:val="auto"/>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（二）存在问题。</w:t>
      </w:r>
    </w:p>
    <w:p>
      <w:pPr>
        <w:pStyle w:val="45"/>
        <w:ind w:firstLine="640"/>
        <w:rPr>
          <w:rFonts w:hint="eastAsia" w:ascii="仿宋_GB2312" w:eastAsia="仿宋_GB2312"/>
          <w:color w:val="auto"/>
          <w:sz w:val="32"/>
          <w:szCs w:val="32"/>
          <w:lang w:val="zh-CN"/>
        </w:rPr>
      </w:pPr>
      <w:r>
        <w:rPr>
          <w:rFonts w:hint="eastAsia" w:ascii="仿宋_GB2312" w:eastAsia="仿宋_GB2312"/>
          <w:color w:val="auto"/>
          <w:sz w:val="32"/>
          <w:szCs w:val="32"/>
          <w:lang w:val="zh-CN"/>
        </w:rPr>
        <w:t>1、预算管理不够精细。在预算管理过程中，需加强全局内设机构的协调联动，保证预算编制的合理与精细，并加强与财政部门的沟通和协调。</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eastAsia="仿宋_GB2312"/>
          <w:color w:val="auto"/>
          <w:sz w:val="32"/>
          <w:szCs w:val="32"/>
          <w:lang w:val="zh-CN"/>
        </w:rPr>
        <w:t>2、部分上级项目资金下达时间较晚和少数项目实施受季节性影响导致进展稍缓慢，导致资金拨付缓慢</w:t>
      </w:r>
      <w:r>
        <w:rPr>
          <w:rFonts w:hint="eastAsia" w:ascii="仿宋_GB2312" w:hAnsi="宋体" w:eastAsia="仿宋_GB2312" w:cs="宋体"/>
          <w:color w:val="auto"/>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（三）改进建议。</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仿宋" w:eastAsia="仿宋_GB2312" w:cs="仿宋"/>
          <w:bCs/>
          <w:color w:val="auto"/>
          <w:sz w:val="32"/>
          <w:szCs w:val="32"/>
          <w:highlight w:val="none"/>
          <w:lang w:val="zh-CN"/>
        </w:rPr>
        <w:t>各级财政提前项目资金的下达时间，财政应多组织加强政策和业务方面学习的培训，建议细化预算指标、提高预算科学性。</w:t>
      </w:r>
      <w:r>
        <w:rPr>
          <w:rFonts w:hint="eastAsia" w:ascii="仿宋_GB2312" w:hAnsi="微软雅黑" w:eastAsia="仿宋_GB2312"/>
          <w:color w:val="333333"/>
          <w:sz w:val="32"/>
          <w:szCs w:val="32"/>
        </w:rPr>
        <w:t>完善绩效管理基础工作，为实施预算绩效管理提供技术支撑。首先是加强业务体系建设。预算绩效管理面广、量大，缺乏业务体系的支撑，核心业务就无法拓展实施。加强理论研究，提高思想认识，加强宣传和学习，尽快让预算绩效理念深入人心，形成讲绩效、重绩效的浓厚气氛</w:t>
      </w:r>
      <w:r>
        <w:rPr>
          <w:rFonts w:hint="eastAsia" w:ascii="仿宋_GB2312" w:hAnsi="宋体" w:eastAsia="仿宋_GB2312" w:cs="宋体"/>
          <w:color w:val="auto"/>
          <w:kern w:val="0"/>
          <w:sz w:val="32"/>
          <w:szCs w:val="32"/>
          <w:highlight w:val="none"/>
          <w:shd w:val="clear" w:color="auto" w:fill="FFFFFF"/>
          <w:lang w:val="zh-CN"/>
        </w:rPr>
        <w:t>。</w:t>
      </w:r>
    </w:p>
    <w:p>
      <w:pPr>
        <w:pStyle w:val="9"/>
        <w:rPr>
          <w:rFonts w:hint="eastAsia" w:hAnsi="宋体" w:cs="宋体"/>
          <w:color w:val="auto"/>
          <w:kern w:val="0"/>
          <w:sz w:val="32"/>
          <w:szCs w:val="32"/>
          <w:highlight w:val="none"/>
          <w:shd w:val="clear" w:color="auto" w:fill="FFFFFF"/>
          <w:lang w:val="zh-CN"/>
        </w:rPr>
      </w:pPr>
    </w:p>
    <w:p>
      <w:pPr>
        <w:pStyle w:val="9"/>
        <w:rPr>
          <w:rFonts w:hint="eastAsia" w:hAnsi="宋体" w:cs="宋体"/>
          <w:color w:val="auto"/>
          <w:kern w:val="0"/>
          <w:sz w:val="32"/>
          <w:szCs w:val="32"/>
          <w:highlight w:val="none"/>
          <w:shd w:val="clear" w:color="auto" w:fill="FFFFFF"/>
          <w:lang w:val="zh-CN"/>
        </w:rPr>
      </w:pPr>
    </w:p>
    <w:p>
      <w:pPr>
        <w:pStyle w:val="9"/>
        <w:rPr>
          <w:rFonts w:hint="eastAsia" w:hAnsi="宋体" w:cs="宋体"/>
          <w:color w:val="auto"/>
          <w:kern w:val="0"/>
          <w:sz w:val="32"/>
          <w:szCs w:val="32"/>
          <w:highlight w:val="none"/>
          <w:shd w:val="clear" w:color="auto" w:fill="FFFFFF"/>
          <w:lang w:val="zh-CN"/>
        </w:rPr>
      </w:pPr>
    </w:p>
    <w:p>
      <w:pPr>
        <w:pStyle w:val="9"/>
        <w:rPr>
          <w:rFonts w:hint="eastAsia" w:hAnsi="宋体" w:cs="宋体"/>
          <w:color w:val="auto"/>
          <w:kern w:val="0"/>
          <w:sz w:val="32"/>
          <w:szCs w:val="32"/>
          <w:highlight w:val="none"/>
          <w:shd w:val="clear" w:color="auto" w:fill="FFFFFF"/>
          <w:lang w:val="zh-CN"/>
        </w:rPr>
      </w:pPr>
    </w:p>
    <w:p>
      <w:pPr>
        <w:pStyle w:val="9"/>
        <w:rPr>
          <w:rFonts w:hint="eastAsia" w:hAnsi="宋体" w:cs="宋体"/>
          <w:color w:val="auto"/>
          <w:kern w:val="0"/>
          <w:sz w:val="32"/>
          <w:szCs w:val="32"/>
          <w:highlight w:val="none"/>
          <w:shd w:val="clear" w:color="auto" w:fill="FFFFFF"/>
          <w:lang w:val="zh-CN"/>
        </w:rPr>
      </w:pPr>
    </w:p>
    <w:p>
      <w:pPr>
        <w:pStyle w:val="9"/>
        <w:rPr>
          <w:rFonts w:hint="eastAsia" w:hAnsi="宋体" w:cs="宋体"/>
          <w:color w:val="auto"/>
          <w:kern w:val="0"/>
          <w:sz w:val="32"/>
          <w:szCs w:val="32"/>
          <w:highlight w:val="none"/>
          <w:shd w:val="clear" w:color="auto" w:fill="FFFFFF"/>
          <w:lang w:val="zh-CN"/>
        </w:rPr>
      </w:pPr>
    </w:p>
    <w:p>
      <w:pPr>
        <w:pStyle w:val="9"/>
        <w:rPr>
          <w:rFonts w:hint="eastAsia" w:hAnsi="宋体" w:cs="宋体"/>
          <w:color w:val="auto"/>
          <w:kern w:val="0"/>
          <w:sz w:val="32"/>
          <w:szCs w:val="32"/>
          <w:highlight w:val="none"/>
          <w:shd w:val="clear" w:color="auto" w:fill="FFFFFF"/>
          <w:lang w:val="zh-CN"/>
        </w:rPr>
      </w:pPr>
    </w:p>
    <w:p>
      <w:pPr>
        <w:pStyle w:val="9"/>
        <w:rPr>
          <w:rFonts w:hint="eastAsia" w:hAnsi="宋体" w:cs="宋体"/>
          <w:color w:val="auto"/>
          <w:kern w:val="0"/>
          <w:sz w:val="32"/>
          <w:szCs w:val="32"/>
          <w:highlight w:val="none"/>
          <w:shd w:val="clear" w:color="auto" w:fill="FFFFFF"/>
          <w:lang w:val="zh-CN"/>
        </w:rPr>
      </w:pPr>
    </w:p>
    <w:p>
      <w:pPr>
        <w:pStyle w:val="9"/>
        <w:rPr>
          <w:rFonts w:hint="eastAsia" w:hAnsi="宋体" w:cs="宋体"/>
          <w:color w:val="auto"/>
          <w:kern w:val="0"/>
          <w:sz w:val="32"/>
          <w:szCs w:val="32"/>
          <w:highlight w:val="none"/>
          <w:shd w:val="clear" w:color="auto" w:fill="FFFFFF"/>
          <w:lang w:val="zh-CN"/>
        </w:rPr>
      </w:pPr>
    </w:p>
    <w:p>
      <w:pPr>
        <w:pStyle w:val="9"/>
        <w:rPr>
          <w:rFonts w:hint="eastAsia" w:hAnsi="宋体" w:cs="宋体"/>
          <w:color w:val="auto"/>
          <w:kern w:val="0"/>
          <w:sz w:val="32"/>
          <w:szCs w:val="32"/>
          <w:highlight w:val="none"/>
          <w:shd w:val="clear" w:color="auto" w:fill="FFFFFF"/>
          <w:lang w:val="zh-CN"/>
        </w:rPr>
      </w:pPr>
    </w:p>
    <w:p>
      <w:pPr>
        <w:pStyle w:val="9"/>
        <w:rPr>
          <w:rFonts w:hint="eastAsia" w:hAnsi="宋体" w:cs="宋体"/>
          <w:color w:val="auto"/>
          <w:kern w:val="0"/>
          <w:sz w:val="32"/>
          <w:szCs w:val="32"/>
          <w:highlight w:val="none"/>
          <w:shd w:val="clear" w:color="auto" w:fill="FFFFFF"/>
          <w:lang w:val="zh-CN"/>
        </w:rPr>
      </w:pPr>
    </w:p>
    <w:p>
      <w:pPr>
        <w:pStyle w:val="9"/>
        <w:rPr>
          <w:rFonts w:hint="eastAsia" w:hAnsi="宋体" w:cs="宋体"/>
          <w:color w:val="auto"/>
          <w:kern w:val="0"/>
          <w:sz w:val="32"/>
          <w:szCs w:val="32"/>
          <w:highlight w:val="none"/>
          <w:shd w:val="clear" w:color="auto" w:fill="FFFFFF"/>
          <w:lang w:val="zh-CN"/>
        </w:rPr>
      </w:pPr>
    </w:p>
    <w:p>
      <w:pPr>
        <w:pStyle w:val="9"/>
        <w:rPr>
          <w:rFonts w:hint="eastAsia" w:hAnsi="宋体" w:cs="宋体"/>
          <w:color w:val="auto"/>
          <w:kern w:val="0"/>
          <w:sz w:val="32"/>
          <w:szCs w:val="32"/>
          <w:highlight w:val="none"/>
          <w:shd w:val="clear" w:color="auto" w:fill="FFFFFF"/>
          <w:lang w:val="zh-CN"/>
        </w:rPr>
      </w:pPr>
    </w:p>
    <w:p>
      <w:pPr>
        <w:pStyle w:val="9"/>
        <w:rPr>
          <w:rFonts w:hint="eastAsia" w:hAnsi="宋体" w:cs="宋体"/>
          <w:color w:val="auto"/>
          <w:kern w:val="0"/>
          <w:sz w:val="32"/>
          <w:szCs w:val="32"/>
          <w:highlight w:val="none"/>
          <w:shd w:val="clear" w:color="auto" w:fill="FFFFFF"/>
          <w:lang w:val="zh-CN"/>
        </w:rPr>
      </w:pPr>
    </w:p>
    <w:p>
      <w:pPr>
        <w:pStyle w:val="9"/>
        <w:rPr>
          <w:rFonts w:hint="eastAsia"/>
          <w:color w:val="auto"/>
          <w:highlight w:val="none"/>
          <w:lang w:val="zh-CN"/>
        </w:rPr>
      </w:pPr>
      <w:r>
        <w:rPr>
          <w:rFonts w:hint="eastAsia" w:hAnsi="宋体" w:cs="宋体"/>
          <w:color w:val="auto"/>
          <w:kern w:val="0"/>
          <w:sz w:val="32"/>
          <w:szCs w:val="32"/>
          <w:highlight w:val="none"/>
          <w:shd w:val="clear" w:color="auto" w:fill="FFFFFF"/>
          <w:lang w:val="zh-CN"/>
        </w:rPr>
        <w:t>附件</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color w:val="auto"/>
          <w:kern w:val="2"/>
          <w:sz w:val="40"/>
          <w:szCs w:val="40"/>
          <w:highlight w:val="none"/>
          <w:lang w:val="zh-CN" w:eastAsia="zh-CN" w:bidi="ar-SA"/>
        </w:rPr>
      </w:pPr>
      <w:r>
        <w:rPr>
          <w:rFonts w:hint="eastAsia" w:ascii="方正小标宋简体" w:hAnsi="方正小标宋简体" w:eastAsia="方正小标宋简体" w:cs="方正小标宋简体"/>
          <w:color w:val="auto"/>
          <w:kern w:val="2"/>
          <w:sz w:val="40"/>
          <w:szCs w:val="40"/>
          <w:highlight w:val="none"/>
          <w:lang w:val="en-US" w:eastAsia="zh-CN" w:bidi="ar-SA"/>
        </w:rPr>
        <w:t>2021年</w:t>
      </w:r>
      <w:r>
        <w:rPr>
          <w:rFonts w:hint="eastAsia" w:ascii="方正小标宋简体" w:hAnsi="方正小标宋简体" w:eastAsia="方正小标宋简体" w:cs="方正小标宋简体"/>
          <w:color w:val="auto"/>
          <w:kern w:val="2"/>
          <w:sz w:val="40"/>
          <w:szCs w:val="40"/>
          <w:highlight w:val="none"/>
          <w:lang w:val="zh-CN" w:eastAsia="zh-CN" w:bidi="ar-SA"/>
        </w:rPr>
        <w:t>专项预算项目支出绩效自评报告范本</w:t>
      </w:r>
    </w:p>
    <w:p>
      <w:pPr>
        <w:keepNext w:val="0"/>
        <w:keepLines w:val="0"/>
        <w:pageBreakBefore w:val="0"/>
        <w:widowControl w:val="0"/>
        <w:kinsoku/>
        <w:wordWrap/>
        <w:overflowPunct/>
        <w:topLinePunct w:val="0"/>
        <w:autoSpaceDE/>
        <w:autoSpaceDN/>
        <w:bidi w:val="0"/>
        <w:spacing w:line="600" w:lineRule="exact"/>
        <w:ind w:firstLine="883"/>
        <w:jc w:val="center"/>
        <w:textAlignment w:val="auto"/>
        <w:rPr>
          <w:rFonts w:hint="eastAsia" w:ascii="仿宋_GB2312" w:hAnsi="宋体" w:eastAsia="仿宋_GB2312" w:cs="Times New Roman"/>
          <w:color w:val="auto"/>
          <w:kern w:val="2"/>
          <w:sz w:val="32"/>
          <w:szCs w:val="32"/>
          <w:highlight w:val="none"/>
          <w:lang w:val="zh-CN" w:eastAsia="zh-CN" w:bidi="ar-SA"/>
        </w:rPr>
      </w:pPr>
      <w:r>
        <w:rPr>
          <w:rFonts w:hint="eastAsia" w:ascii="仿宋_GB2312" w:hAnsi="宋体" w:eastAsia="仿宋_GB2312" w:cs="Times New Roman"/>
          <w:color w:val="auto"/>
          <w:kern w:val="2"/>
          <w:sz w:val="32"/>
          <w:szCs w:val="32"/>
          <w:highlight w:val="none"/>
          <w:lang w:val="zh-CN" w:eastAsia="zh-CN" w:bidi="ar-SA"/>
        </w:rPr>
        <w:t>（主管部门自评）</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color w:val="auto"/>
          <w:kern w:val="2"/>
          <w:sz w:val="40"/>
          <w:szCs w:val="40"/>
          <w:highlight w:val="none"/>
          <w:lang w:val="zh-CN" w:eastAsia="zh-CN" w:bidi="ar-SA"/>
        </w:rPr>
      </w:pPr>
      <w:r>
        <w:rPr>
          <w:rFonts w:hint="eastAsia" w:ascii="方正小标宋简体" w:hAnsi="方正小标宋简体" w:eastAsia="方正小标宋简体" w:cs="方正小标宋简体"/>
          <w:color w:val="auto"/>
          <w:kern w:val="2"/>
          <w:sz w:val="40"/>
          <w:szCs w:val="40"/>
          <w:highlight w:val="none"/>
          <w:lang w:val="zh-CN" w:eastAsia="zh-CN" w:bidi="ar-SA"/>
        </w:rPr>
        <w:t>女性安康保险项目</w:t>
      </w:r>
    </w:p>
    <w:p>
      <w:pPr>
        <w:keepNext w:val="0"/>
        <w:keepLines w:val="0"/>
        <w:pageBreakBefore w:val="0"/>
        <w:widowControl w:val="0"/>
        <w:kinsoku/>
        <w:wordWrap/>
        <w:overflowPunct/>
        <w:topLinePunct w:val="0"/>
        <w:autoSpaceDE/>
        <w:autoSpaceDN/>
        <w:bidi w:val="0"/>
        <w:spacing w:line="600" w:lineRule="exact"/>
        <w:jc w:val="left"/>
        <w:textAlignment w:val="auto"/>
        <w:rPr>
          <w:rFonts w:ascii="黑体" w:hAnsi="宋体" w:eastAsia="黑体" w:cs="Times New Roman"/>
          <w:color w:val="auto"/>
          <w:sz w:val="32"/>
          <w:szCs w:val="32"/>
          <w:highlight w:val="none"/>
          <w:lang w:val="zh-CN"/>
        </w:rPr>
      </w:pPr>
      <w:r>
        <w:rPr>
          <w:rFonts w:hint="eastAsia" w:ascii="黑体" w:hAnsi="宋体" w:eastAsia="黑体" w:cs="Times New Roman"/>
          <w:color w:val="auto"/>
          <w:sz w:val="32"/>
          <w:szCs w:val="32"/>
          <w:highlight w:val="none"/>
        </w:rPr>
        <w:t>一、</w:t>
      </w:r>
      <w:r>
        <w:rPr>
          <w:rFonts w:hint="eastAsia" w:ascii="黑体" w:hAnsi="宋体" w:eastAsia="黑体" w:cs="Times New Roman"/>
          <w:color w:val="auto"/>
          <w:sz w:val="32"/>
          <w:szCs w:val="32"/>
          <w:highlight w:val="none"/>
          <w:lang w:val="zh-CN"/>
        </w:rPr>
        <w:t>项目概况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（一）项目基本情况。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color w:val="auto"/>
          <w:sz w:val="32"/>
          <w:szCs w:val="32"/>
          <w:highlight w:val="none"/>
          <w:lang w:val="zh-CN"/>
        </w:rPr>
      </w:pPr>
      <w:r>
        <w:rPr>
          <w:rFonts w:hint="eastAsia" w:ascii="仿宋" w:hAnsi="仿宋" w:eastAsia="仿宋" w:cs="仿宋"/>
          <w:color w:val="auto"/>
          <w:sz w:val="32"/>
          <w:szCs w:val="32"/>
          <w:highlight w:val="none"/>
          <w:lang w:val="zh-CN"/>
        </w:rPr>
        <w:t>1．项目实施单位为乐山市沙湾区妇女联合会，由局党组按照“三重一大”管理规定对项目实施中的重大问题及时研究，派驻纪检组全程监管，严格执行政府采购相关程序，及时公开项目资金使用情况，项目实施全周期合法合规。</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0"/>
        <w:jc w:val="left"/>
        <w:rPr>
          <w:rFonts w:hint="eastAsia" w:ascii="仿宋_GB2312" w:hAnsi="仿宋_GB2312" w:eastAsia="仿宋_GB2312" w:cs="仿宋_GB2312"/>
          <w:sz w:val="32"/>
          <w:szCs w:val="32"/>
        </w:rPr>
      </w:pPr>
      <w:r>
        <w:rPr>
          <w:rFonts w:hint="eastAsia" w:ascii="仿宋" w:hAnsi="仿宋" w:eastAsia="仿宋" w:cs="仿宋"/>
          <w:color w:val="auto"/>
          <w:sz w:val="32"/>
          <w:szCs w:val="32"/>
          <w:highlight w:val="none"/>
          <w:lang w:val="zh-CN"/>
        </w:rPr>
        <w:t>2．</w:t>
      </w:r>
      <w:r>
        <w:rPr>
          <w:rStyle w:val="26"/>
          <w:rFonts w:hint="eastAsia" w:ascii="仿宋" w:hAnsi="仿宋" w:eastAsia="仿宋" w:cs="仿宋"/>
          <w:b w:val="0"/>
          <w:i w:val="0"/>
          <w:caps w:val="0"/>
          <w:color w:val="333333"/>
          <w:spacing w:val="0"/>
          <w:sz w:val="32"/>
          <w:szCs w:val="32"/>
          <w:shd w:val="clear" w:color="auto" w:fill="FFFFFF"/>
          <w:lang w:val="en-US" w:eastAsia="zh-CN"/>
        </w:rPr>
        <w:t>2021年预算建档立卡适龄妇女购买“安康保险”经费4.4万元，根据乐山市沙湾区人民政府办公室《关于印发&lt;沙湾区2021年民生事实实施发案&gt;的通知》，经区乡村振兴局提供，区卫健部门审核，符合购买保险条件1430名，每人每年保费30元，实际支出经费4.29万元。</w:t>
      </w:r>
      <w:r>
        <w:rPr>
          <w:rFonts w:hint="eastAsia" w:ascii="仿宋" w:hAnsi="仿宋" w:eastAsia="仿宋" w:cs="仿宋"/>
          <w:sz w:val="32"/>
          <w:szCs w:val="32"/>
        </w:rPr>
        <w:t>通过民生实事的实施解除了患病妇女的后苦之忧，有效提高了妇女的健康水平，促进了社会的和谐稳定，取得了良好的社会效益，</w:t>
      </w:r>
      <w:r>
        <w:rPr>
          <w:rFonts w:hint="eastAsia" w:ascii="仿宋_GB2312" w:hAnsi="仿宋_GB2312" w:eastAsia="仿宋_GB2312" w:cs="仿宋_GB2312"/>
          <w:sz w:val="32"/>
          <w:szCs w:val="32"/>
        </w:rPr>
        <w:t>赢得了广大农村妇女的衷心拥护和社会各界的一致赞誉，成为服务妇女民生、促进妇女健康的民心工程。</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3．项目实施单位为乐山市沙湾区妇女联合会，财务管理制度完善，机构设置健全，会计核算及财务处理规范。在项目实施过程中，对照项目资金管理办法，严格执行财务管理制度，财务处理及时、会计核算规范。</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4．资金开支范围符合项目目标，资金支付与预算相符，支付依据合规合法。</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（二）项目绩效目标。</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1．项目主要内容</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Style w:val="26"/>
          <w:rFonts w:hint="eastAsia" w:ascii="仿宋" w:hAnsi="仿宋" w:eastAsia="仿宋" w:cs="仿宋"/>
          <w:b w:val="0"/>
          <w:bCs w:val="0"/>
          <w:i w:val="0"/>
          <w:caps w:val="0"/>
          <w:color w:val="333333"/>
          <w:spacing w:val="0"/>
          <w:sz w:val="32"/>
          <w:szCs w:val="32"/>
          <w:shd w:val="clear" w:color="auto" w:fill="FFFFFF"/>
        </w:rPr>
        <w:t>项目资金主要用于</w:t>
      </w:r>
      <w:r>
        <w:rPr>
          <w:rStyle w:val="26"/>
          <w:rFonts w:hint="eastAsia" w:ascii="仿宋" w:hAnsi="仿宋" w:eastAsia="仿宋" w:cs="仿宋"/>
          <w:b w:val="0"/>
          <w:bCs w:val="0"/>
          <w:i w:val="0"/>
          <w:caps w:val="0"/>
          <w:color w:val="333333"/>
          <w:spacing w:val="0"/>
          <w:sz w:val="32"/>
          <w:szCs w:val="32"/>
          <w:shd w:val="clear" w:color="auto" w:fill="FFFFFF"/>
          <w:lang w:val="en-US" w:eastAsia="zh-CN"/>
        </w:rPr>
        <w:t>16-60岁建档立卡适龄贫困妇女购买商业保险。为她们提供原发性“乳腺癌、卵巢癌、子宫内膜癌、宫颈癌”等4种易发多发癌症的患病赔付，防止妇女因病致贫、因病返贫</w:t>
      </w:r>
      <w:r>
        <w:rPr>
          <w:rFonts w:hint="eastAsia" w:ascii="仿宋_GB2312" w:hAnsi="宋体" w:eastAsia="仿宋_GB2312" w:cs="Times New Roman"/>
          <w:color w:val="auto"/>
          <w:sz w:val="32"/>
          <w:szCs w:val="32"/>
          <w:highlight w:val="none"/>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2．</w:t>
      </w:r>
      <w:r>
        <w:rPr>
          <w:rStyle w:val="26"/>
          <w:rFonts w:hint="eastAsia" w:ascii="仿宋" w:hAnsi="仿宋" w:eastAsia="仿宋" w:cs="仿宋"/>
          <w:b w:val="0"/>
          <w:bCs w:val="0"/>
          <w:i w:val="0"/>
          <w:caps w:val="0"/>
          <w:color w:val="333333"/>
          <w:spacing w:val="0"/>
          <w:sz w:val="32"/>
          <w:szCs w:val="32"/>
          <w:shd w:val="clear" w:color="auto" w:fill="FFFFFF"/>
        </w:rPr>
        <w:t>资金主要用于</w:t>
      </w:r>
      <w:r>
        <w:rPr>
          <w:rStyle w:val="26"/>
          <w:rFonts w:hint="eastAsia" w:ascii="仿宋" w:hAnsi="仿宋" w:eastAsia="仿宋" w:cs="仿宋"/>
          <w:b w:val="0"/>
          <w:bCs w:val="0"/>
          <w:i w:val="0"/>
          <w:caps w:val="0"/>
          <w:color w:val="333333"/>
          <w:spacing w:val="0"/>
          <w:sz w:val="32"/>
          <w:szCs w:val="32"/>
          <w:shd w:val="clear" w:color="auto" w:fill="FFFFFF"/>
          <w:lang w:val="en-US" w:eastAsia="zh-CN"/>
        </w:rPr>
        <w:t>16-60岁建档立卡适龄贫困妇女购买商业保险</w:t>
      </w:r>
      <w:r>
        <w:rPr>
          <w:rFonts w:hint="eastAsia" w:ascii="仿宋_GB2312" w:hAnsi="宋体" w:eastAsia="仿宋_GB2312" w:cs="Times New Roman"/>
          <w:color w:val="auto"/>
          <w:sz w:val="32"/>
          <w:szCs w:val="32"/>
          <w:highlight w:val="none"/>
          <w:lang w:val="zh-CN"/>
        </w:rPr>
        <w:t>，于预算年度内实施。</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3．申报内容与实际相符，申报目标合理可行。</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（三）项目自评步骤及方法。</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根据财政部《财政支出绩效评价管理暂行办法》相关规定，项目自评表-指标体系绩效评价方法主要采用分级评分法、比率分值法、缺（错）项扣分法、是否评分法等。</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按照要求，本次对于项目支出绩效评价，评价人员主要采取了包括但不限于文件检查、问卷调查、访谈、实地勘察等资料收集方法，从项目决策、</w:t>
      </w:r>
      <w:r>
        <w:rPr>
          <w:rFonts w:hint="eastAsia" w:ascii="仿宋_GB2312" w:hAnsi="宋体" w:eastAsia="仿宋_GB2312" w:cs="Times New Roman"/>
          <w:color w:val="auto"/>
          <w:sz w:val="32"/>
          <w:szCs w:val="32"/>
          <w:highlight w:val="none"/>
          <w:lang w:val="en-US" w:eastAsia="zh-CN"/>
        </w:rPr>
        <w:t>项目实施</w:t>
      </w:r>
      <w:r>
        <w:rPr>
          <w:rFonts w:hint="eastAsia" w:ascii="仿宋_GB2312" w:hAnsi="宋体" w:eastAsia="仿宋_GB2312" w:cs="Times New Roman"/>
          <w:color w:val="auto"/>
          <w:sz w:val="32"/>
          <w:szCs w:val="32"/>
          <w:highlight w:val="none"/>
          <w:lang w:val="zh-CN"/>
        </w:rPr>
        <w:t>、</w:t>
      </w:r>
      <w:r>
        <w:rPr>
          <w:rFonts w:hint="eastAsia" w:ascii="仿宋_GB2312" w:hAnsi="宋体" w:eastAsia="仿宋_GB2312" w:cs="Times New Roman"/>
          <w:color w:val="auto"/>
          <w:sz w:val="32"/>
          <w:szCs w:val="32"/>
          <w:highlight w:val="none"/>
          <w:lang w:val="en-US" w:eastAsia="zh-CN"/>
        </w:rPr>
        <w:t>完成结果、项目效果</w:t>
      </w:r>
      <w:r>
        <w:rPr>
          <w:rFonts w:hint="eastAsia" w:ascii="仿宋_GB2312" w:hAnsi="宋体" w:eastAsia="仿宋_GB2312" w:cs="Times New Roman"/>
          <w:color w:val="auto"/>
          <w:sz w:val="32"/>
          <w:szCs w:val="32"/>
          <w:highlight w:val="none"/>
          <w:lang w:val="zh-CN"/>
        </w:rPr>
        <w:t>以及整体效益</w:t>
      </w:r>
      <w:r>
        <w:rPr>
          <w:rFonts w:hint="eastAsia" w:ascii="仿宋_GB2312" w:hAnsi="宋体" w:eastAsia="仿宋_GB2312" w:cs="Times New Roman"/>
          <w:color w:val="auto"/>
          <w:sz w:val="32"/>
          <w:szCs w:val="32"/>
          <w:highlight w:val="none"/>
          <w:lang w:val="en-US" w:eastAsia="zh-CN"/>
        </w:rPr>
        <w:t>等</w:t>
      </w:r>
      <w:r>
        <w:rPr>
          <w:rFonts w:hint="eastAsia" w:ascii="仿宋_GB2312" w:hAnsi="宋体" w:eastAsia="仿宋_GB2312" w:cs="Times New Roman"/>
          <w:color w:val="auto"/>
          <w:sz w:val="32"/>
          <w:szCs w:val="32"/>
          <w:highlight w:val="none"/>
          <w:lang w:val="zh-CN"/>
        </w:rPr>
        <w:t>方面对</w:t>
      </w:r>
      <w:r>
        <w:rPr>
          <w:rFonts w:hint="eastAsia" w:ascii="仿宋_GB2312" w:hAnsi="宋体" w:eastAsia="仿宋_GB2312" w:cs="Times New Roman"/>
          <w:color w:val="auto"/>
          <w:sz w:val="32"/>
          <w:szCs w:val="32"/>
          <w:highlight w:val="none"/>
          <w:lang w:val="en-US" w:eastAsia="zh-CN"/>
        </w:rPr>
        <w:t>项目</w:t>
      </w:r>
      <w:r>
        <w:rPr>
          <w:rFonts w:hint="eastAsia" w:ascii="仿宋_GB2312" w:hAnsi="宋体" w:eastAsia="仿宋_GB2312" w:cs="Times New Roman"/>
          <w:color w:val="auto"/>
          <w:sz w:val="32"/>
          <w:szCs w:val="32"/>
          <w:highlight w:val="none"/>
          <w:lang w:val="zh-CN"/>
        </w:rPr>
        <w:t>支出进行绩效评价。</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黑体" w:hAnsi="宋体" w:eastAsia="黑体" w:cs="Times New Roman"/>
          <w:color w:val="auto"/>
          <w:sz w:val="32"/>
          <w:szCs w:val="32"/>
          <w:highlight w:val="none"/>
        </w:rPr>
      </w:pPr>
      <w:r>
        <w:rPr>
          <w:rFonts w:hint="eastAsia" w:ascii="黑体" w:hAnsi="宋体" w:eastAsia="黑体" w:cs="Times New Roman"/>
          <w:color w:val="auto"/>
          <w:sz w:val="32"/>
          <w:szCs w:val="32"/>
          <w:highlight w:val="none"/>
        </w:rPr>
        <w:t>二、项目资金申报及使用情况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（一）项目资金申报及批复情况。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项目资金2021年度预算</w:t>
      </w:r>
      <w:r>
        <w:rPr>
          <w:rFonts w:hint="eastAsia" w:ascii="仿宋_GB2312" w:hAnsi="宋体" w:eastAsia="仿宋_GB2312" w:cs="Times New Roman"/>
          <w:color w:val="auto"/>
          <w:sz w:val="32"/>
          <w:szCs w:val="32"/>
          <w:highlight w:val="none"/>
          <w:lang w:val="en-US" w:eastAsia="zh-CN"/>
        </w:rPr>
        <w:t>4.4</w:t>
      </w:r>
      <w:r>
        <w:rPr>
          <w:rFonts w:hint="eastAsia" w:ascii="仿宋_GB2312" w:hAnsi="宋体" w:eastAsia="仿宋_GB2312" w:cs="Times New Roman"/>
          <w:color w:val="auto"/>
          <w:sz w:val="32"/>
          <w:szCs w:val="32"/>
          <w:highlight w:val="none"/>
          <w:lang w:val="zh-CN"/>
        </w:rPr>
        <w:t>万元，已列入2021年度资金预算，通过区级财政部门批复，资金申报及批复符合资金管理办法的相关规定。</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楷体_GB2312" w:hAnsi="宋体" w:eastAsia="楷体_GB2312" w:cs="Times New Roman"/>
          <w:b/>
          <w:color w:val="auto"/>
          <w:sz w:val="32"/>
          <w:szCs w:val="32"/>
          <w:highlight w:val="none"/>
          <w:lang w:val="zh-CN"/>
        </w:rPr>
        <w:t>（二）资金计划、到位及使用情况（可用表格形式反映）。</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楷体_GB2312" w:hAnsi="宋体" w:eastAsia="楷体_GB2312" w:cs="Times New Roman"/>
          <w:color w:val="auto"/>
          <w:sz w:val="32"/>
          <w:szCs w:val="32"/>
          <w:highlight w:val="none"/>
          <w:lang w:val="zh-CN"/>
        </w:rPr>
      </w:pPr>
      <w:r>
        <w:rPr>
          <w:rFonts w:hint="eastAsia" w:ascii="楷体_GB2312" w:hAnsi="宋体" w:eastAsia="楷体_GB2312" w:cs="Times New Roman"/>
          <w:color w:val="auto"/>
          <w:sz w:val="32"/>
          <w:szCs w:val="32"/>
          <w:highlight w:val="none"/>
          <w:lang w:val="zh-CN"/>
        </w:rPr>
        <w:t>1．资金计划。</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项目资金2021年度预算</w:t>
      </w:r>
      <w:r>
        <w:rPr>
          <w:rFonts w:hint="eastAsia" w:ascii="仿宋_GB2312" w:hAnsi="宋体" w:eastAsia="仿宋_GB2312" w:cs="Times New Roman"/>
          <w:color w:val="auto"/>
          <w:sz w:val="32"/>
          <w:szCs w:val="32"/>
          <w:highlight w:val="none"/>
          <w:lang w:val="en-US" w:eastAsia="zh-CN"/>
        </w:rPr>
        <w:t>4.4</w:t>
      </w:r>
      <w:r>
        <w:rPr>
          <w:rFonts w:hint="eastAsia" w:ascii="仿宋_GB2312" w:hAnsi="宋体" w:eastAsia="仿宋_GB2312" w:cs="Times New Roman"/>
          <w:color w:val="auto"/>
          <w:sz w:val="32"/>
          <w:szCs w:val="32"/>
          <w:highlight w:val="none"/>
          <w:lang w:val="zh-CN"/>
        </w:rPr>
        <w:t>万元，已列入2021年度资金预算。</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楷体_GB2312" w:hAnsi="宋体" w:eastAsia="楷体_GB2312" w:cs="Times New Roman"/>
          <w:color w:val="auto"/>
          <w:sz w:val="32"/>
          <w:szCs w:val="32"/>
          <w:highlight w:val="none"/>
          <w:lang w:val="zh-CN"/>
        </w:rPr>
      </w:pPr>
      <w:r>
        <w:rPr>
          <w:rFonts w:hint="eastAsia" w:ascii="楷体_GB2312" w:hAnsi="宋体" w:eastAsia="楷体_GB2312" w:cs="Times New Roman"/>
          <w:color w:val="auto"/>
          <w:sz w:val="32"/>
          <w:szCs w:val="32"/>
          <w:highlight w:val="none"/>
          <w:lang w:val="zh-CN"/>
        </w:rPr>
        <w:t>2．资金到位。</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该项目资金计划实际到位已全部到位，资金到位率100%，资金到位及时。</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楷体_GB2312" w:hAnsi="宋体" w:eastAsia="楷体_GB2312" w:cs="Times New Roman"/>
          <w:color w:val="auto"/>
          <w:sz w:val="32"/>
          <w:szCs w:val="32"/>
          <w:highlight w:val="none"/>
          <w:lang w:val="zh-CN"/>
        </w:rPr>
      </w:pPr>
      <w:r>
        <w:rPr>
          <w:rFonts w:hint="eastAsia" w:ascii="楷体_GB2312" w:hAnsi="宋体" w:eastAsia="楷体_GB2312" w:cs="Times New Roman"/>
          <w:color w:val="auto"/>
          <w:sz w:val="32"/>
          <w:szCs w:val="32"/>
          <w:highlight w:val="none"/>
          <w:lang w:val="zh-CN"/>
        </w:rPr>
        <w:t>3．资金使用。</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宋体" w:eastAsia="仿宋_GB2312" w:cs="Times New Roman"/>
          <w:color w:val="auto"/>
          <w:sz w:val="32"/>
          <w:szCs w:val="32"/>
          <w:highlight w:val="none"/>
          <w:lang w:val="zh-CN"/>
        </w:rPr>
      </w:pPr>
      <w:r>
        <w:rPr>
          <w:rStyle w:val="26"/>
          <w:rFonts w:hint="eastAsia" w:ascii="仿宋" w:hAnsi="仿宋" w:eastAsia="仿宋" w:cs="仿宋"/>
          <w:b w:val="0"/>
          <w:i w:val="0"/>
          <w:caps w:val="0"/>
          <w:color w:val="333333"/>
          <w:spacing w:val="0"/>
          <w:sz w:val="32"/>
          <w:szCs w:val="32"/>
          <w:shd w:val="clear" w:color="auto" w:fill="FFFFFF"/>
        </w:rPr>
        <w:t>截止评价时点该项目资金到位</w:t>
      </w:r>
      <w:r>
        <w:rPr>
          <w:rStyle w:val="26"/>
          <w:rFonts w:hint="eastAsia" w:ascii="仿宋" w:hAnsi="仿宋" w:eastAsia="仿宋" w:cs="仿宋"/>
          <w:b w:val="0"/>
          <w:i w:val="0"/>
          <w:caps w:val="0"/>
          <w:color w:val="333333"/>
          <w:spacing w:val="0"/>
          <w:sz w:val="32"/>
          <w:szCs w:val="32"/>
          <w:shd w:val="clear" w:color="auto" w:fill="FFFFFF"/>
          <w:lang w:val="en-US" w:eastAsia="zh-CN"/>
        </w:rPr>
        <w:t>4.4万</w:t>
      </w:r>
      <w:r>
        <w:rPr>
          <w:rStyle w:val="26"/>
          <w:rFonts w:hint="eastAsia" w:ascii="仿宋" w:hAnsi="仿宋" w:eastAsia="仿宋" w:cs="仿宋"/>
          <w:b w:val="0"/>
          <w:i w:val="0"/>
          <w:caps w:val="0"/>
          <w:color w:val="333333"/>
          <w:spacing w:val="0"/>
          <w:sz w:val="32"/>
          <w:szCs w:val="32"/>
          <w:shd w:val="clear" w:color="auto" w:fill="FFFFFF"/>
        </w:rPr>
        <w:t>元，评价时点该项目资金支出</w:t>
      </w:r>
      <w:r>
        <w:rPr>
          <w:rStyle w:val="26"/>
          <w:rFonts w:hint="eastAsia" w:ascii="仿宋" w:hAnsi="仿宋" w:eastAsia="仿宋" w:cs="仿宋"/>
          <w:b w:val="0"/>
          <w:i w:val="0"/>
          <w:caps w:val="0"/>
          <w:color w:val="333333"/>
          <w:spacing w:val="0"/>
          <w:sz w:val="32"/>
          <w:szCs w:val="32"/>
          <w:shd w:val="clear" w:color="auto" w:fill="FFFFFF"/>
          <w:lang w:val="en-US" w:eastAsia="zh-CN"/>
        </w:rPr>
        <w:t>4.29万元。根据区乡村振兴局、区卫健部门、区妇联和中国人寿保险股份有限公司乐山市沙湾区支公司盖章确认人员名单，</w:t>
      </w:r>
      <w:r>
        <w:rPr>
          <w:rStyle w:val="26"/>
          <w:rFonts w:hint="eastAsia" w:ascii="仿宋" w:hAnsi="仿宋" w:eastAsia="仿宋" w:cs="仿宋"/>
          <w:b w:val="0"/>
          <w:i w:val="0"/>
          <w:caps w:val="0"/>
          <w:color w:val="333333"/>
          <w:spacing w:val="0"/>
          <w:sz w:val="32"/>
          <w:szCs w:val="32"/>
          <w:shd w:val="clear" w:color="auto" w:fill="FFFFFF"/>
          <w:lang w:eastAsia="zh-CN"/>
        </w:rPr>
        <w:t>由</w:t>
      </w:r>
      <w:r>
        <w:rPr>
          <w:rStyle w:val="26"/>
          <w:rFonts w:hint="eastAsia" w:ascii="仿宋" w:hAnsi="仿宋" w:eastAsia="仿宋" w:cs="仿宋"/>
          <w:b w:val="0"/>
          <w:i w:val="0"/>
          <w:caps w:val="0"/>
          <w:color w:val="333333"/>
          <w:spacing w:val="0"/>
          <w:sz w:val="32"/>
          <w:szCs w:val="32"/>
          <w:shd w:val="clear" w:color="auto" w:fill="FFFFFF"/>
          <w:lang w:val="en-US" w:eastAsia="zh-CN"/>
        </w:rPr>
        <w:t>区妇联申请、</w:t>
      </w:r>
      <w:r>
        <w:rPr>
          <w:rStyle w:val="26"/>
          <w:rFonts w:hint="eastAsia" w:ascii="仿宋" w:hAnsi="仿宋" w:eastAsia="仿宋" w:cs="仿宋"/>
          <w:b w:val="0"/>
          <w:i w:val="0"/>
          <w:caps w:val="0"/>
          <w:color w:val="333333"/>
          <w:spacing w:val="0"/>
          <w:sz w:val="32"/>
          <w:szCs w:val="32"/>
          <w:shd w:val="clear" w:color="auto" w:fill="FFFFFF"/>
          <w:lang w:eastAsia="zh-CN"/>
        </w:rPr>
        <w:t>区财政局审批，直接支付保险公司</w:t>
      </w:r>
      <w:r>
        <w:rPr>
          <w:rFonts w:hint="eastAsia" w:ascii="仿宋_GB2312" w:hAnsi="宋体" w:eastAsia="仿宋_GB2312" w:cs="Times New Roman"/>
          <w:color w:val="auto"/>
          <w:sz w:val="32"/>
          <w:szCs w:val="32"/>
          <w:highlight w:val="none"/>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（三）项目财务管理情况。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宋体" w:eastAsia="仿宋_GB2312" w:cs="Times New Roman"/>
          <w:color w:val="auto"/>
          <w:sz w:val="32"/>
          <w:szCs w:val="32"/>
          <w:highlight w:val="none"/>
          <w:lang w:val="zh-CN"/>
        </w:rPr>
      </w:pPr>
      <w:r>
        <w:rPr>
          <w:rFonts w:hint="eastAsia" w:ascii="仿宋_GB2312" w:hAnsi="仿宋_GB2312" w:eastAsia="仿宋_GB2312" w:cs="仿宋_GB2312"/>
          <w:sz w:val="32"/>
          <w:szCs w:val="32"/>
        </w:rPr>
        <w:t>我单位在资金使用上，严格遵守各项财经法规和财务管理制度规定进行管理，资金拨付有完整的审批程序和手续，支出符合部门预算批复的用途，无截留、挤占、挪用、虚列支出等情况</w:t>
      </w:r>
      <w:r>
        <w:rPr>
          <w:rFonts w:hint="eastAsia" w:ascii="仿宋_GB2312" w:hAnsi="宋体" w:eastAsia="仿宋_GB2312" w:cs="Times New Roman"/>
          <w:color w:val="auto"/>
          <w:sz w:val="32"/>
          <w:szCs w:val="32"/>
          <w:highlight w:val="none"/>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黑体" w:hAnsi="宋体" w:eastAsia="黑体" w:cs="Times New Roman"/>
          <w:color w:val="auto"/>
          <w:sz w:val="32"/>
          <w:szCs w:val="32"/>
          <w:highlight w:val="none"/>
        </w:rPr>
        <w:t>三、项目实施及管理情况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（一）项目组织架构及实施流程。</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该项目实施单位为乐山市沙湾区妇女联合会，由局党组按照“三重一大”管理规定对项目实施中的重大问题及时研究，派驻纪检组全程监管，严格执行政府采购相关程序，及时公开项目资金使用情况，项目实施全周期合法合规。</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（二）项目管理情况。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乐山市沙湾区妇女联合会，由局党组按照“三重一大”管理规定对项目实施中的重大问题及时研究，派驻纪检组全程监管，严格执行政府采购相关程序，及时公开项目资金使用情况，项目实施全周期合法合规。</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（三）项目监管情况。</w:t>
      </w:r>
    </w:p>
    <w:p>
      <w:pPr>
        <w:adjustRightInd w:val="0"/>
        <w:snapToGrid w:val="0"/>
        <w:spacing w:line="56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按照市、区民生实事的工作要求，通过</w:t>
      </w:r>
      <w:r>
        <w:rPr>
          <w:rStyle w:val="26"/>
          <w:rFonts w:hint="eastAsia" w:ascii="仿宋" w:hAnsi="仿宋" w:eastAsia="仿宋" w:cs="仿宋"/>
          <w:b w:val="0"/>
          <w:i w:val="0"/>
          <w:caps w:val="0"/>
          <w:color w:val="333333"/>
          <w:spacing w:val="0"/>
          <w:sz w:val="32"/>
          <w:szCs w:val="32"/>
          <w:shd w:val="clear" w:color="auto" w:fill="FFFFFF"/>
          <w:lang w:val="en-US" w:eastAsia="zh-CN"/>
        </w:rPr>
        <w:t>区乡村振兴局、区卫健部门和中国人寿保险股份有限公司乐山市沙湾区支公司</w:t>
      </w:r>
      <w:r>
        <w:rPr>
          <w:rFonts w:hint="eastAsia" w:ascii="仿宋_GB2312" w:hAnsi="仿宋_GB2312" w:eastAsia="仿宋_GB2312" w:cs="仿宋_GB2312"/>
          <w:sz w:val="32"/>
          <w:szCs w:val="32"/>
        </w:rPr>
        <w:t>对购买名单核实后，区妇联按时间节点要求，及时对接中国人寿保险股份有限公司乐山市</w:t>
      </w:r>
      <w:r>
        <w:rPr>
          <w:rFonts w:hint="eastAsia" w:ascii="仿宋_GB2312" w:hAnsi="仿宋_GB2312" w:cs="仿宋_GB2312"/>
          <w:sz w:val="32"/>
          <w:szCs w:val="32"/>
          <w:lang w:eastAsia="zh-CN"/>
        </w:rPr>
        <w:t>沙湾区支</w:t>
      </w:r>
      <w:r>
        <w:rPr>
          <w:rFonts w:hint="eastAsia" w:ascii="仿宋_GB2312" w:hAnsi="仿宋_GB2312" w:eastAsia="仿宋_GB2312" w:cs="仿宋_GB2312"/>
          <w:sz w:val="32"/>
          <w:szCs w:val="32"/>
        </w:rPr>
        <w:t>公司落实购买建档立卡适龄贫困妇女“女性安康保险”</w:t>
      </w:r>
      <w:r>
        <w:rPr>
          <w:rFonts w:hint="eastAsia" w:ascii="仿宋_GB2312" w:hAnsi="仿宋_GB2312" w:eastAsia="仿宋_GB2312" w:cs="仿宋_GB2312"/>
          <w:sz w:val="32"/>
          <w:szCs w:val="32"/>
          <w:lang w:eastAsia="zh-CN"/>
        </w:rPr>
        <w:t>事宜</w:t>
      </w:r>
      <w:r>
        <w:rPr>
          <w:rFonts w:hint="eastAsia" w:ascii="仿宋_GB2312" w:hAnsi="仿宋_GB2312" w:eastAsia="仿宋_GB2312" w:cs="仿宋_GB2312"/>
          <w:sz w:val="32"/>
          <w:szCs w:val="32"/>
        </w:rPr>
        <w:t>，切实抓好了项目推进和资金监管工作。</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黑体" w:hAnsi="宋体" w:eastAsia="黑体" w:cs="Times New Roman"/>
          <w:color w:val="auto"/>
          <w:sz w:val="32"/>
          <w:szCs w:val="32"/>
          <w:highlight w:val="none"/>
        </w:rPr>
        <w:t>四、项目绩效情况</w:t>
      </w:r>
      <w:r>
        <w:rPr>
          <w:rFonts w:hint="eastAsia" w:ascii="仿宋_GB2312" w:hAnsi="宋体" w:eastAsia="仿宋_GB2312" w:cs="Times New Roman"/>
          <w:color w:val="auto"/>
          <w:sz w:val="32"/>
          <w:szCs w:val="32"/>
          <w:highlight w:val="none"/>
          <w:lang w:val="zh-CN"/>
        </w:rPr>
        <w:tab/>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（一）项目完成情况。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en-US" w:eastAsia="zh-CN"/>
        </w:rPr>
        <w:t>据实完成1430名</w:t>
      </w:r>
      <w:r>
        <w:rPr>
          <w:rFonts w:hint="eastAsia" w:ascii="仿宋_GB2312" w:hAnsi="宋体" w:eastAsia="仿宋_GB2312" w:cs="Times New Roman"/>
          <w:color w:val="auto"/>
          <w:sz w:val="32"/>
          <w:szCs w:val="32"/>
          <w:highlight w:val="none"/>
          <w:lang w:val="zh-CN" w:eastAsia="zh-CN"/>
        </w:rPr>
        <w:t>建档立卡适龄贫困妇女购买“女性安康保险”</w:t>
      </w:r>
      <w:r>
        <w:rPr>
          <w:rFonts w:hint="eastAsia" w:ascii="仿宋_GB2312" w:hAnsi="宋体" w:eastAsia="仿宋_GB2312" w:cs="Times New Roman"/>
          <w:color w:val="auto"/>
          <w:sz w:val="32"/>
          <w:szCs w:val="32"/>
          <w:highlight w:val="none"/>
          <w:lang w:val="en-US" w:eastAsia="zh-CN"/>
        </w:rPr>
        <w:t>保险购买任务</w:t>
      </w:r>
      <w:r>
        <w:rPr>
          <w:rFonts w:hint="eastAsia" w:ascii="仿宋_GB2312" w:hAnsi="宋体" w:eastAsia="仿宋_GB2312" w:cs="Times New Roman"/>
          <w:color w:val="auto"/>
          <w:sz w:val="32"/>
          <w:szCs w:val="32"/>
          <w:highlight w:val="none"/>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（二）项目效益情况。</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2021年区妇联严格按区委、区政府民生实事的进度实施要求执行项目。对全区符合条件的建档立卡适龄贫困妇女进行全覆盖，共计</w:t>
      </w:r>
      <w:r>
        <w:rPr>
          <w:rFonts w:hint="eastAsia" w:ascii="仿宋" w:hAnsi="仿宋" w:eastAsia="仿宋" w:cs="仿宋"/>
          <w:sz w:val="32"/>
          <w:szCs w:val="32"/>
          <w:lang w:val="en-US" w:eastAsia="zh-CN"/>
        </w:rPr>
        <w:t>1430</w:t>
      </w:r>
      <w:r>
        <w:rPr>
          <w:rFonts w:hint="eastAsia" w:ascii="仿宋" w:hAnsi="仿宋" w:eastAsia="仿宋" w:cs="仿宋"/>
          <w:sz w:val="32"/>
          <w:szCs w:val="32"/>
        </w:rPr>
        <w:t>名。</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黑体" w:hAnsi="宋体" w:eastAsia="黑体" w:cs="Times New Roman"/>
          <w:color w:val="auto"/>
          <w:sz w:val="32"/>
          <w:szCs w:val="32"/>
          <w:highlight w:val="none"/>
        </w:rPr>
      </w:pPr>
      <w:r>
        <w:rPr>
          <w:rFonts w:hint="eastAsia" w:ascii="黑体" w:hAnsi="宋体" w:eastAsia="黑体" w:cs="Times New Roman"/>
          <w:color w:val="auto"/>
          <w:sz w:val="32"/>
          <w:szCs w:val="32"/>
          <w:highlight w:val="none"/>
        </w:rPr>
        <w:t>五、评价结论及建议</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（一）评价结论。</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s="Times New Roman"/>
          <w:color w:val="auto"/>
          <w:sz w:val="32"/>
          <w:szCs w:val="32"/>
          <w:highlight w:val="none"/>
          <w:bdr w:val="single" w:color="auto" w:sz="4" w:space="0"/>
          <w:lang w:val="zh-CN"/>
        </w:rPr>
      </w:pPr>
      <w:r>
        <w:rPr>
          <w:rFonts w:hint="eastAsia" w:ascii="仿宋" w:hAnsi="仿宋" w:eastAsia="仿宋" w:cs="仿宋"/>
          <w:sz w:val="32"/>
          <w:szCs w:val="32"/>
        </w:rPr>
        <w:t>20</w:t>
      </w:r>
      <w:r>
        <w:rPr>
          <w:rFonts w:hint="eastAsia" w:ascii="仿宋" w:hAnsi="仿宋" w:eastAsia="仿宋" w:cs="仿宋"/>
          <w:sz w:val="32"/>
          <w:szCs w:val="32"/>
          <w:lang w:val="en-US" w:eastAsia="zh-CN"/>
        </w:rPr>
        <w:t>21</w:t>
      </w:r>
      <w:r>
        <w:rPr>
          <w:rFonts w:hint="eastAsia" w:ascii="仿宋" w:hAnsi="仿宋" w:eastAsia="仿宋" w:cs="仿宋"/>
          <w:sz w:val="32"/>
          <w:szCs w:val="32"/>
        </w:rPr>
        <w:t>年，我</w:t>
      </w:r>
      <w:r>
        <w:rPr>
          <w:rFonts w:hint="eastAsia" w:ascii="仿宋" w:hAnsi="仿宋" w:eastAsia="仿宋" w:cs="仿宋"/>
          <w:sz w:val="32"/>
          <w:szCs w:val="32"/>
          <w:lang w:eastAsia="zh-CN"/>
        </w:rPr>
        <w:t>单位</w:t>
      </w:r>
      <w:r>
        <w:rPr>
          <w:rFonts w:hint="eastAsia" w:ascii="仿宋" w:hAnsi="仿宋" w:eastAsia="仿宋" w:cs="仿宋"/>
          <w:sz w:val="32"/>
          <w:szCs w:val="32"/>
        </w:rPr>
        <w:t>预算执行规范有序，预算资金严格按照财政预算管理制度运行，严格按“新预算法”执行基本支出和项目支出，加大管控执行力度，增强支出的计划性和严肃性，合理调配资金，压缩“三公经费”，突出保障重点</w:t>
      </w:r>
      <w:r>
        <w:rPr>
          <w:rFonts w:hint="eastAsia" w:ascii="仿宋_GB2312" w:hAnsi="宋体" w:eastAsia="仿宋_GB2312" w:cs="Times New Roman"/>
          <w:color w:val="auto"/>
          <w:sz w:val="32"/>
          <w:szCs w:val="32"/>
          <w:highlight w:val="none"/>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（二）存在的问题。</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预算执行率未达到100%。</w:t>
      </w:r>
      <w:r>
        <w:rPr>
          <w:rFonts w:hint="eastAsia" w:ascii="仿宋_GB2312" w:hAnsi="宋体" w:eastAsia="仿宋_GB2312" w:cs="Times New Roman"/>
          <w:color w:val="auto"/>
          <w:sz w:val="32"/>
          <w:szCs w:val="32"/>
          <w:highlight w:val="none"/>
          <w:lang w:val="zh-CN"/>
        </w:rPr>
        <w:tab/>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（三）相关建议。</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建议加强“两癌”筛查宣传，增加每年的免费“两癌”筛查人数，做到防大于治。通过平时预防、检查，做到早发现、早治疗，减少癌症的发生率。</w:t>
      </w:r>
    </w:p>
    <w:p>
      <w:pPr>
        <w:keepNext w:val="0"/>
        <w:keepLines w:val="0"/>
        <w:pageBreakBefore w:val="0"/>
        <w:widowControl/>
        <w:kinsoku/>
        <w:wordWrap/>
        <w:overflowPunct/>
        <w:topLinePunct w:val="0"/>
        <w:autoSpaceDE/>
        <w:autoSpaceDN/>
        <w:bidi w:val="0"/>
        <w:adjustRightInd w:val="0"/>
        <w:snapToGrid w:val="0"/>
        <w:spacing w:afterAutospacing="0" w:line="580" w:lineRule="exact"/>
        <w:ind w:firstLine="640" w:firstLineChars="200"/>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afterAutospacing="0" w:line="580" w:lineRule="exact"/>
        <w:ind w:firstLine="640" w:firstLineChars="200"/>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afterAutospacing="0" w:line="580" w:lineRule="exact"/>
        <w:ind w:firstLine="640" w:firstLineChars="200"/>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afterAutospacing="0" w:line="580" w:lineRule="exact"/>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afterAutospacing="0" w:line="580" w:lineRule="exact"/>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afterAutospacing="0" w:line="580" w:lineRule="exact"/>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afterAutospacing="0" w:line="580" w:lineRule="exact"/>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afterAutospacing="0" w:line="580" w:lineRule="exact"/>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afterAutospacing="0" w:line="580" w:lineRule="exact"/>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afterAutospacing="0" w:line="580" w:lineRule="exact"/>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afterAutospacing="0" w:line="580" w:lineRule="exact"/>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afterAutospacing="0" w:line="580" w:lineRule="exact"/>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r>
        <w:rPr>
          <w:rFonts w:hint="eastAsia" w:ascii="仿宋_GB2312" w:hAnsi="宋体" w:eastAsia="仿宋_GB2312" w:cs="宋体"/>
          <w:b w:val="0"/>
          <w:bCs w:val="0"/>
          <w:color w:val="auto"/>
          <w:kern w:val="0"/>
          <w:sz w:val="32"/>
          <w:szCs w:val="32"/>
          <w:highlight w:val="none"/>
          <w:shd w:val="clear" w:color="auto" w:fill="FFFFFF"/>
          <w:lang w:val="zh-CN"/>
        </w:rPr>
        <w:t>附表：</w:t>
      </w:r>
    </w:p>
    <w:tbl>
      <w:tblPr>
        <w:tblStyle w:val="23"/>
        <w:tblpPr w:leftFromText="180" w:rightFromText="180" w:vertAnchor="text" w:horzAnchor="page" w:tblpX="1132" w:tblpY="472"/>
        <w:tblOverlap w:val="never"/>
        <w:tblW w:w="99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01"/>
        <w:gridCol w:w="1098"/>
        <w:gridCol w:w="2056"/>
        <w:gridCol w:w="1535"/>
        <w:gridCol w:w="1719"/>
        <w:gridCol w:w="1717"/>
        <w:gridCol w:w="2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3" w:hRule="atLeast"/>
          <w:jc w:val="center"/>
        </w:trPr>
        <w:tc>
          <w:tcPr>
            <w:tcW w:w="9726" w:type="dxa"/>
            <w:gridSpan w:val="6"/>
            <w:tcBorders>
              <w:top w:val="nil"/>
              <w:left w:val="nil"/>
              <w:bottom w:val="nil"/>
              <w:right w:val="nil"/>
            </w:tcBorders>
            <w:shd w:val="clear" w:color="auto" w:fill="auto"/>
            <w:vAlign w:val="center"/>
          </w:tcPr>
          <w:p>
            <w:pPr>
              <w:keepNext w:val="0"/>
              <w:keepLines w:val="0"/>
              <w:widowControl/>
              <w:suppressLineNumbers w:val="0"/>
              <w:spacing w:beforeAutospacing="0"/>
              <w:jc w:val="center"/>
              <w:textAlignment w:val="center"/>
              <w:rPr>
                <w:rFonts w:hint="eastAsia" w:ascii="宋体" w:hAnsi="宋体" w:eastAsia="宋体" w:cs="宋体"/>
                <w:b/>
                <w:i w:val="0"/>
                <w:color w:val="auto"/>
                <w:sz w:val="32"/>
                <w:szCs w:val="32"/>
                <w:u w:val="none"/>
              </w:rPr>
            </w:pPr>
            <w:r>
              <w:rPr>
                <w:rFonts w:hint="eastAsia" w:ascii="宋体" w:hAnsi="宋体" w:cs="宋体"/>
                <w:b/>
                <w:sz w:val="32"/>
                <w:szCs w:val="32"/>
              </w:rPr>
              <w:t>2021年特定目标类部门预算项目绩效目标自评</w:t>
            </w:r>
          </w:p>
        </w:tc>
        <w:tc>
          <w:tcPr>
            <w:tcW w:w="25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3" w:type="dxa"/>
          <w:trHeight w:val="610" w:hRule="atLeast"/>
          <w:jc w:val="center"/>
        </w:trPr>
        <w:tc>
          <w:tcPr>
            <w:tcW w:w="26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主管部门及代码</w:t>
            </w:r>
          </w:p>
        </w:tc>
        <w:tc>
          <w:tcPr>
            <w:tcW w:w="3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744683430</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实施单位</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乐山市沙湾区妇女联合会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3" w:type="dxa"/>
          <w:trHeight w:val="317" w:hRule="atLeast"/>
          <w:jc w:val="center"/>
        </w:trPr>
        <w:tc>
          <w:tcPr>
            <w:tcW w:w="26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项目预算</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执行情况</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（万元）</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预算数：</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lang w:val="en-US" w:eastAsia="zh-CN"/>
              </w:rPr>
              <w:t>4.40</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执行数：</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lang w:val="en-US" w:eastAsia="zh-CN"/>
              </w:rPr>
              <w:t>4.29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3" w:type="dxa"/>
          <w:trHeight w:val="610" w:hRule="atLeast"/>
          <w:jc w:val="center"/>
        </w:trPr>
        <w:tc>
          <w:tcPr>
            <w:tcW w:w="26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lang w:val="en-US" w:eastAsia="zh-CN"/>
              </w:rPr>
              <w:t>4.40</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lang w:val="en-US" w:eastAsia="zh-CN"/>
              </w:rPr>
              <w:t>4.29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3" w:type="dxa"/>
          <w:trHeight w:val="317" w:hRule="atLeast"/>
          <w:jc w:val="center"/>
        </w:trPr>
        <w:tc>
          <w:tcPr>
            <w:tcW w:w="26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cs="宋体"/>
                <w:i w:val="0"/>
                <w:iCs w:val="0"/>
                <w:color w:val="auto"/>
                <w:kern w:val="0"/>
                <w:sz w:val="22"/>
                <w:szCs w:val="22"/>
                <w:u w:val="none"/>
                <w:lang w:val="en-US" w:eastAsia="zh-CN" w:bidi="ar"/>
              </w:rPr>
              <w:t>0.00</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cs="宋体"/>
                <w:i w:val="0"/>
                <w:iCs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3" w:type="dxa"/>
          <w:trHeight w:val="317" w:hRule="atLeast"/>
          <w:jc w:val="center"/>
        </w:trPr>
        <w:tc>
          <w:tcPr>
            <w:tcW w:w="1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年度总体目标</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完成情况</w:t>
            </w:r>
          </w:p>
        </w:tc>
        <w:tc>
          <w:tcPr>
            <w:tcW w:w="46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预期目标</w:t>
            </w:r>
          </w:p>
        </w:tc>
        <w:tc>
          <w:tcPr>
            <w:tcW w:w="34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3" w:type="dxa"/>
          <w:trHeight w:val="903" w:hRule="atLeast"/>
          <w:jc w:val="center"/>
        </w:trPr>
        <w:tc>
          <w:tcPr>
            <w:tcW w:w="1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4689"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rPr>
              <w:t>为2021年全区建档立卡适龄贫困妇女购买“女性安康保险”防止妇女因病致贫因病返贫。</w:t>
            </w:r>
          </w:p>
        </w:tc>
        <w:tc>
          <w:tcPr>
            <w:tcW w:w="3436"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rPr>
              <w:t>已为2021年全区建档立卡适龄贫困妇女购买“女性安康保险”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3" w:type="dxa"/>
          <w:trHeight w:val="610" w:hRule="atLeast"/>
          <w:jc w:val="center"/>
        </w:trPr>
        <w:tc>
          <w:tcPr>
            <w:tcW w:w="160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年度绩效指标完成情况</w:t>
            </w:r>
          </w:p>
        </w:tc>
        <w:tc>
          <w:tcPr>
            <w:tcW w:w="109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一级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二级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三级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预期指标值</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3" w:type="dxa"/>
          <w:trHeight w:val="317" w:hRule="atLeast"/>
          <w:jc w:val="center"/>
        </w:trPr>
        <w:tc>
          <w:tcPr>
            <w:tcW w:w="1601"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完成</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数量指标</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rPr>
              <w:t xml:space="preserve"> 指标1：</w:t>
            </w:r>
            <w:r>
              <w:rPr>
                <w:rFonts w:hint="eastAsia" w:ascii="宋体" w:hAnsi="宋体" w:cs="宋体"/>
                <w:color w:val="000000"/>
                <w:kern w:val="0"/>
                <w:sz w:val="24"/>
                <w:lang w:eastAsia="zh-CN"/>
              </w:rPr>
              <w:t>受益人次</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_GB2312" w:hAnsi="仿宋_GB2312" w:eastAsia="仿宋_GB2312" w:cs="仿宋_GB2312"/>
                <w:i w:val="0"/>
                <w:color w:val="auto"/>
                <w:sz w:val="28"/>
                <w:szCs w:val="28"/>
                <w:u w:val="none"/>
                <w:lang w:val="en-US" w:eastAsia="zh-CN"/>
              </w:rPr>
            </w:pPr>
            <w:r>
              <w:rPr>
                <w:rFonts w:hint="eastAsia" w:ascii="仿宋_GB2312" w:hAnsi="仿宋_GB2312" w:eastAsia="仿宋_GB2312" w:cs="仿宋_GB2312"/>
                <w:i w:val="0"/>
                <w:color w:val="auto"/>
                <w:sz w:val="28"/>
                <w:szCs w:val="28"/>
                <w:u w:val="none"/>
                <w:lang w:val="en-US" w:eastAsia="zh-CN"/>
              </w:rPr>
              <w:t>1430</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_GB2312" w:hAnsi="仿宋_GB2312" w:eastAsia="仿宋_GB2312" w:cs="仿宋_GB2312"/>
                <w:i w:val="0"/>
                <w:color w:val="auto"/>
                <w:sz w:val="28"/>
                <w:szCs w:val="28"/>
                <w:u w:val="none"/>
                <w:lang w:val="en-US"/>
              </w:rPr>
            </w:pPr>
            <w:r>
              <w:rPr>
                <w:rFonts w:hint="eastAsia" w:ascii="宋体" w:hAnsi="宋体" w:cs="宋体"/>
                <w:color w:val="000000"/>
                <w:kern w:val="0"/>
                <w:sz w:val="24"/>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3" w:type="dxa"/>
          <w:trHeight w:val="317" w:hRule="atLeast"/>
          <w:jc w:val="center"/>
        </w:trPr>
        <w:tc>
          <w:tcPr>
            <w:tcW w:w="1601"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9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质量指标</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rPr>
              <w:t xml:space="preserve"> 指标1：</w:t>
            </w:r>
            <w:r>
              <w:rPr>
                <w:rFonts w:hint="eastAsia" w:ascii="宋体" w:hAnsi="宋体" w:cs="宋体"/>
                <w:color w:val="000000"/>
                <w:kern w:val="0"/>
                <w:sz w:val="24"/>
                <w:lang w:eastAsia="zh-CN"/>
              </w:rPr>
              <w:t>以核定人数为准</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_GB2312" w:hAnsi="仿宋_GB2312" w:eastAsia="仿宋_GB2312" w:cs="仿宋_GB2312"/>
                <w:i w:val="0"/>
                <w:color w:val="auto"/>
                <w:sz w:val="28"/>
                <w:szCs w:val="28"/>
                <w:u w:val="none"/>
                <w:lang w:val="en-US"/>
              </w:rPr>
            </w:pPr>
            <w:r>
              <w:rPr>
                <w:rFonts w:hint="eastAsia" w:ascii="宋体" w:hAnsi="宋体" w:cs="宋体"/>
                <w:color w:val="000000"/>
                <w:kern w:val="0"/>
                <w:sz w:val="24"/>
                <w:lang w:val="en-US" w:eastAsia="zh-CN"/>
              </w:rPr>
              <w:t>100.00%</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_GB2312" w:hAnsi="仿宋_GB2312" w:eastAsia="仿宋_GB2312" w:cs="仿宋_GB2312"/>
                <w:i w:val="0"/>
                <w:color w:val="auto"/>
                <w:sz w:val="28"/>
                <w:szCs w:val="28"/>
                <w:u w:val="none"/>
                <w:lang w:val="en-US"/>
              </w:rPr>
            </w:pPr>
            <w:r>
              <w:rPr>
                <w:rFonts w:hint="eastAsia" w:ascii="宋体" w:hAnsi="宋体" w:cs="宋体"/>
                <w:color w:val="000000"/>
                <w:kern w:val="0"/>
                <w:sz w:val="24"/>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3" w:type="dxa"/>
          <w:trHeight w:val="610" w:hRule="atLeast"/>
          <w:jc w:val="center"/>
        </w:trPr>
        <w:tc>
          <w:tcPr>
            <w:tcW w:w="1601"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9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时效指标</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rPr>
              <w:t>指标1：按区政府办“民生事实”项目要求时间完成</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lang w:eastAsia="zh-CN"/>
              </w:rPr>
              <w:t>202</w:t>
            </w:r>
            <w:r>
              <w:rPr>
                <w:rFonts w:hint="eastAsia" w:ascii="宋体" w:hAnsi="宋体" w:cs="宋体"/>
                <w:color w:val="000000"/>
                <w:kern w:val="0"/>
                <w:sz w:val="24"/>
                <w:lang w:val="en-US" w:eastAsia="zh-CN"/>
              </w:rPr>
              <w:t>1</w:t>
            </w:r>
            <w:r>
              <w:rPr>
                <w:rFonts w:hint="eastAsia" w:ascii="宋体" w:hAnsi="宋体" w:cs="宋体"/>
                <w:color w:val="000000"/>
                <w:kern w:val="0"/>
                <w:sz w:val="24"/>
                <w:lang w:eastAsia="zh-CN"/>
              </w:rPr>
              <w:t>年</w:t>
            </w:r>
            <w:r>
              <w:rPr>
                <w:rFonts w:hint="eastAsia" w:ascii="宋体" w:hAnsi="宋体" w:cs="宋体"/>
                <w:color w:val="000000"/>
                <w:kern w:val="0"/>
                <w:sz w:val="24"/>
              </w:rPr>
              <w:t>底</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lang w:eastAsia="zh-CN"/>
              </w:rPr>
              <w:t>202</w:t>
            </w:r>
            <w:r>
              <w:rPr>
                <w:rFonts w:hint="eastAsia" w:ascii="宋体" w:hAnsi="宋体" w:cs="宋体"/>
                <w:color w:val="000000"/>
                <w:kern w:val="0"/>
                <w:sz w:val="24"/>
                <w:lang w:val="en-US" w:eastAsia="zh-CN"/>
              </w:rPr>
              <w:t>1</w:t>
            </w:r>
            <w:r>
              <w:rPr>
                <w:rFonts w:hint="eastAsia" w:ascii="宋体" w:hAnsi="宋体" w:cs="宋体"/>
                <w:color w:val="000000"/>
                <w:kern w:val="0"/>
                <w:sz w:val="24"/>
                <w:lang w:eastAsia="zh-CN"/>
              </w:rPr>
              <w:t>年</w:t>
            </w:r>
            <w:r>
              <w:rPr>
                <w:rFonts w:hint="eastAsia" w:ascii="宋体" w:hAnsi="宋体" w:cs="宋体"/>
                <w:color w:val="000000"/>
                <w:kern w:val="0"/>
                <w:sz w:val="24"/>
              </w:rPr>
              <w:t>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3" w:type="dxa"/>
          <w:trHeight w:val="610" w:hRule="atLeast"/>
          <w:jc w:val="center"/>
        </w:trPr>
        <w:tc>
          <w:tcPr>
            <w:tcW w:w="1601"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9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成本指标</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rPr>
              <w:t>指标1：</w:t>
            </w:r>
            <w:r>
              <w:rPr>
                <w:rFonts w:hint="eastAsia" w:ascii="宋体" w:hAnsi="宋体" w:cs="宋体"/>
                <w:color w:val="000000"/>
                <w:kern w:val="0"/>
                <w:sz w:val="24"/>
                <w:lang w:eastAsia="zh-CN"/>
              </w:rPr>
              <w:t>每人30元/年</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lang w:val="en-US" w:eastAsia="zh-CN"/>
              </w:rPr>
              <w:t>100.00%</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3" w:type="dxa"/>
          <w:trHeight w:val="317" w:hRule="atLeast"/>
          <w:jc w:val="center"/>
        </w:trPr>
        <w:tc>
          <w:tcPr>
            <w:tcW w:w="1601"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效益</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经济效益指标</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rPr>
              <w:t>指标1：无</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3" w:type="dxa"/>
          <w:trHeight w:val="973" w:hRule="atLeast"/>
          <w:jc w:val="center"/>
        </w:trPr>
        <w:tc>
          <w:tcPr>
            <w:tcW w:w="1601"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9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社会效益  指标</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rPr>
              <w:t xml:space="preserve"> 指标1：</w:t>
            </w:r>
            <w:r>
              <w:rPr>
                <w:rFonts w:hint="eastAsia" w:ascii="宋体" w:hAnsi="宋体" w:cs="宋体"/>
                <w:color w:val="000000"/>
                <w:sz w:val="24"/>
                <w:lang w:eastAsia="zh-CN"/>
              </w:rPr>
              <w:t>防止已脱贫户因病返贫</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sz w:val="24"/>
                <w:lang w:val="en-US" w:eastAsia="zh-CN"/>
              </w:rPr>
              <w:t>100.00%</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_GB2312" w:hAnsi="仿宋_GB2312" w:eastAsia="仿宋_GB2312" w:cs="仿宋_GB2312"/>
                <w:i w:val="0"/>
                <w:color w:val="auto"/>
                <w:sz w:val="28"/>
                <w:szCs w:val="28"/>
                <w:u w:val="none"/>
                <w:lang w:val="en-US"/>
              </w:rPr>
            </w:pPr>
            <w:r>
              <w:rPr>
                <w:rFonts w:hint="eastAsia" w:ascii="宋体" w:hAnsi="宋体" w:cs="宋体"/>
                <w:color w:val="000000"/>
                <w:sz w:val="24"/>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3" w:type="dxa"/>
          <w:trHeight w:val="610" w:hRule="atLeast"/>
          <w:jc w:val="center"/>
        </w:trPr>
        <w:tc>
          <w:tcPr>
            <w:tcW w:w="1601"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9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ind w:left="463" w:leftChars="87" w:hanging="280" w:hangingChars="100"/>
              <w:jc w:val="left"/>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生态效益  指标</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rPr>
              <w:t>指标1：无</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3" w:type="dxa"/>
          <w:trHeight w:val="610" w:hRule="atLeast"/>
          <w:jc w:val="center"/>
        </w:trPr>
        <w:tc>
          <w:tcPr>
            <w:tcW w:w="1601"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9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可持续影响 指标</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rPr>
              <w:t>指标1：防止已脱贫户因病返贫</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sz w:val="24"/>
                <w:lang w:val="en-US" w:eastAsia="zh-CN"/>
              </w:rPr>
              <w:t>100.00%</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sz w:val="24"/>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3" w:type="dxa"/>
          <w:trHeight w:val="699" w:hRule="atLeast"/>
          <w:jc w:val="center"/>
        </w:trPr>
        <w:tc>
          <w:tcPr>
            <w:tcW w:w="160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满意</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度指标</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满意度</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rPr>
              <w:t>指标1：</w:t>
            </w:r>
            <w:r>
              <w:rPr>
                <w:rFonts w:hint="eastAsia" w:ascii="宋体" w:hAnsi="宋体" w:cs="宋体"/>
                <w:color w:val="000000"/>
                <w:kern w:val="0"/>
                <w:sz w:val="24"/>
                <w:lang w:val="en-US" w:eastAsia="zh-CN"/>
              </w:rPr>
              <w:t>服务对象</w:t>
            </w:r>
            <w:r>
              <w:rPr>
                <w:rFonts w:hint="eastAsia" w:ascii="宋体" w:hAnsi="宋体" w:cs="宋体"/>
                <w:color w:val="000000"/>
                <w:kern w:val="0"/>
                <w:sz w:val="24"/>
              </w:rPr>
              <w:t>满意</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lang w:val="en-US" w:eastAsia="zh-CN"/>
              </w:rPr>
              <w:t>服务对象</w:t>
            </w:r>
            <w:r>
              <w:rPr>
                <w:rFonts w:hint="eastAsia" w:ascii="宋体" w:hAnsi="宋体" w:cs="宋体"/>
                <w:color w:val="000000"/>
                <w:kern w:val="0"/>
                <w:sz w:val="24"/>
              </w:rPr>
              <w:t>满意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lang w:val="en-US" w:eastAsia="zh-CN"/>
              </w:rPr>
              <w:t>服务对象</w:t>
            </w:r>
            <w:r>
              <w:rPr>
                <w:rFonts w:hint="eastAsia" w:ascii="宋体" w:hAnsi="宋体" w:cs="宋体"/>
                <w:color w:val="000000"/>
                <w:kern w:val="0"/>
                <w:sz w:val="24"/>
              </w:rPr>
              <w:t>满意</w:t>
            </w:r>
          </w:p>
        </w:tc>
      </w:tr>
    </w:tbl>
    <w:p>
      <w:pPr>
        <w:widowControl/>
        <w:adjustRightInd w:val="0"/>
        <w:snapToGrid w:val="0"/>
        <w:spacing w:line="580" w:lineRule="exact"/>
        <w:contextualSpacing/>
        <w:jc w:val="center"/>
        <w:rPr>
          <w:rFonts w:hint="eastAsia" w:ascii="仿宋_GB2312" w:hAnsi="宋体" w:eastAsia="仿宋_GB2312" w:cs="宋体"/>
          <w:color w:val="auto"/>
          <w:kern w:val="0"/>
          <w:sz w:val="32"/>
          <w:szCs w:val="32"/>
          <w:highlight w:val="none"/>
          <w:shd w:val="clear" w:color="auto" w:fill="FFFFFF"/>
          <w:lang w:val="en-US" w:eastAsia="zh-CN"/>
        </w:rPr>
      </w:pPr>
      <w:bookmarkStart w:id="99" w:name="_Toc15396618"/>
      <w:r>
        <w:rPr>
          <w:rFonts w:hint="eastAsia" w:ascii="仿宋_GB2312" w:hAnsi="宋体" w:eastAsia="仿宋_GB2312" w:cs="宋体"/>
          <w:color w:val="auto"/>
          <w:kern w:val="0"/>
          <w:sz w:val="32"/>
          <w:szCs w:val="32"/>
          <w:highlight w:val="none"/>
          <w:shd w:val="clear" w:color="auto" w:fill="FFFFFF"/>
          <w:lang w:val="en-US" w:eastAsia="zh-CN"/>
        </w:rPr>
        <w:t>（注：有两个及以上100万元以上（含）特定目标类部门预算项目的，需分别开展绩效目标自评并填写附表）</w:t>
      </w:r>
    </w:p>
    <w:p>
      <w:pPr>
        <w:spacing w:line="600" w:lineRule="exact"/>
        <w:jc w:val="center"/>
        <w:outlineLvl w:val="9"/>
        <w:rPr>
          <w:rFonts w:hint="eastAsia" w:ascii="黑体" w:hAnsi="黑体" w:eastAsia="黑体"/>
          <w:color w:val="auto"/>
          <w:sz w:val="44"/>
          <w:szCs w:val="44"/>
          <w:highlight w:val="none"/>
        </w:rPr>
      </w:pPr>
    </w:p>
    <w:p>
      <w:pPr>
        <w:spacing w:line="600" w:lineRule="exact"/>
        <w:jc w:val="center"/>
        <w:outlineLvl w:val="9"/>
        <w:rPr>
          <w:rFonts w:hint="eastAsia" w:ascii="黑体" w:hAnsi="黑体" w:eastAsia="黑体"/>
          <w:color w:val="auto"/>
          <w:sz w:val="44"/>
          <w:szCs w:val="44"/>
          <w:highlight w:val="none"/>
        </w:rPr>
      </w:pPr>
    </w:p>
    <w:p>
      <w:pPr>
        <w:pStyle w:val="2"/>
        <w:jc w:val="center"/>
        <w:rPr>
          <w:rFonts w:hint="eastAsia" w:ascii="黑体" w:hAnsi="黑体" w:eastAsia="黑体"/>
          <w:color w:val="auto"/>
          <w:sz w:val="44"/>
          <w:szCs w:val="44"/>
          <w:highlight w:val="none"/>
        </w:rPr>
      </w:pPr>
    </w:p>
    <w:p>
      <w:pPr>
        <w:jc w:val="center"/>
        <w:rPr>
          <w:rFonts w:hint="eastAsia" w:ascii="黑体" w:hAnsi="黑体" w:eastAsia="黑体"/>
          <w:color w:val="auto"/>
          <w:sz w:val="44"/>
          <w:szCs w:val="44"/>
          <w:highlight w:val="none"/>
        </w:rPr>
      </w:pPr>
    </w:p>
    <w:p>
      <w:pPr>
        <w:pStyle w:val="2"/>
        <w:jc w:val="center"/>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bookmarkStart w:id="100" w:name="_Toc766"/>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仿宋" w:hAnsi="仿宋" w:eastAsia="仿宋"/>
          <w:b w:val="0"/>
          <w:color w:val="auto"/>
          <w:highlight w:val="none"/>
        </w:rPr>
      </w:pPr>
      <w:r>
        <w:rPr>
          <w:rFonts w:hint="eastAsia" w:ascii="黑体" w:hAnsi="黑体" w:eastAsia="黑体"/>
          <w:color w:val="auto"/>
          <w:sz w:val="44"/>
          <w:szCs w:val="44"/>
          <w:highlight w:val="none"/>
        </w:rPr>
        <w:t>第</w:t>
      </w:r>
      <w:r>
        <w:rPr>
          <w:rStyle w:val="37"/>
          <w:rFonts w:hint="eastAsia" w:ascii="黑体" w:hAnsi="黑体" w:eastAsia="黑体"/>
          <w:b w:val="0"/>
          <w:color w:val="auto"/>
          <w:highlight w:val="none"/>
        </w:rPr>
        <w:t>五部分 附表</w:t>
      </w:r>
      <w:bookmarkEnd w:id="36"/>
      <w:bookmarkEnd w:id="99"/>
      <w:bookmarkEnd w:id="100"/>
      <w:bookmarkStart w:id="101" w:name="_Toc15396619"/>
    </w:p>
    <w:p>
      <w:pPr>
        <w:pStyle w:val="5"/>
        <w:rPr>
          <w:rFonts w:ascii="仿宋" w:hAnsi="仿宋" w:eastAsia="仿宋"/>
          <w:color w:val="auto"/>
          <w:highlight w:val="none"/>
        </w:rPr>
      </w:pPr>
      <w:bookmarkStart w:id="102" w:name="_Toc18590"/>
      <w:r>
        <w:rPr>
          <w:rFonts w:hint="eastAsia" w:ascii="仿宋" w:hAnsi="仿宋" w:eastAsia="仿宋"/>
          <w:b w:val="0"/>
          <w:color w:val="auto"/>
          <w:highlight w:val="none"/>
        </w:rPr>
        <w:t>一、收</w:t>
      </w:r>
      <w:r>
        <w:rPr>
          <w:rStyle w:val="38"/>
          <w:rFonts w:hint="eastAsia" w:ascii="仿宋" w:hAnsi="仿宋" w:eastAsia="仿宋"/>
          <w:b w:val="0"/>
          <w:bCs w:val="0"/>
          <w:color w:val="auto"/>
          <w:highlight w:val="none"/>
        </w:rPr>
        <w:t>入支出决算总表</w:t>
      </w:r>
      <w:bookmarkEnd w:id="101"/>
      <w:bookmarkEnd w:id="102"/>
    </w:p>
    <w:p>
      <w:pPr>
        <w:pStyle w:val="5"/>
        <w:rPr>
          <w:rFonts w:ascii="仿宋" w:hAnsi="仿宋" w:eastAsia="仿宋"/>
          <w:color w:val="auto"/>
          <w:highlight w:val="none"/>
        </w:rPr>
      </w:pPr>
      <w:bookmarkStart w:id="103" w:name="_Toc15396620"/>
      <w:bookmarkStart w:id="104" w:name="_Toc28327"/>
      <w:r>
        <w:rPr>
          <w:rFonts w:hint="eastAsia" w:ascii="仿宋" w:hAnsi="仿宋" w:eastAsia="仿宋"/>
          <w:b w:val="0"/>
          <w:color w:val="auto"/>
          <w:highlight w:val="none"/>
        </w:rPr>
        <w:t>二、收</w:t>
      </w:r>
      <w:r>
        <w:rPr>
          <w:rStyle w:val="38"/>
          <w:rFonts w:hint="eastAsia" w:ascii="仿宋" w:hAnsi="仿宋" w:eastAsia="仿宋"/>
          <w:b w:val="0"/>
          <w:bCs w:val="0"/>
          <w:color w:val="auto"/>
          <w:highlight w:val="none"/>
        </w:rPr>
        <w:t>入决算表</w:t>
      </w:r>
      <w:bookmarkEnd w:id="103"/>
      <w:bookmarkEnd w:id="104"/>
    </w:p>
    <w:p>
      <w:pPr>
        <w:pStyle w:val="5"/>
        <w:rPr>
          <w:rFonts w:ascii="仿宋" w:hAnsi="仿宋" w:eastAsia="仿宋"/>
          <w:color w:val="auto"/>
          <w:highlight w:val="none"/>
        </w:rPr>
      </w:pPr>
      <w:bookmarkStart w:id="105" w:name="_Toc15396621"/>
      <w:bookmarkStart w:id="106" w:name="_Toc2302"/>
      <w:r>
        <w:rPr>
          <w:rStyle w:val="38"/>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38"/>
          <w:rFonts w:hint="eastAsia" w:ascii="仿宋" w:hAnsi="仿宋" w:eastAsia="仿宋"/>
          <w:b w:val="0"/>
          <w:bCs w:val="0"/>
          <w:color w:val="auto"/>
          <w:highlight w:val="none"/>
        </w:rPr>
        <w:t>出决算表</w:t>
      </w:r>
      <w:bookmarkEnd w:id="105"/>
      <w:bookmarkEnd w:id="106"/>
    </w:p>
    <w:p>
      <w:pPr>
        <w:pStyle w:val="5"/>
        <w:rPr>
          <w:rFonts w:ascii="仿宋" w:hAnsi="仿宋" w:eastAsia="仿宋"/>
          <w:b w:val="0"/>
          <w:color w:val="auto"/>
          <w:highlight w:val="none"/>
        </w:rPr>
      </w:pPr>
      <w:bookmarkStart w:id="107" w:name="_Toc15396622"/>
      <w:bookmarkStart w:id="108" w:name="_Toc279"/>
      <w:r>
        <w:rPr>
          <w:rStyle w:val="38"/>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38"/>
          <w:rFonts w:hint="eastAsia" w:ascii="仿宋" w:hAnsi="仿宋" w:eastAsia="仿宋"/>
          <w:b w:val="0"/>
          <w:bCs w:val="0"/>
          <w:color w:val="auto"/>
          <w:highlight w:val="none"/>
        </w:rPr>
        <w:t>政拨款收入支出决算总表</w:t>
      </w:r>
      <w:bookmarkEnd w:id="107"/>
      <w:bookmarkEnd w:id="108"/>
    </w:p>
    <w:p>
      <w:pPr>
        <w:pStyle w:val="5"/>
        <w:rPr>
          <w:rStyle w:val="38"/>
          <w:rFonts w:ascii="仿宋" w:hAnsi="仿宋" w:eastAsia="仿宋"/>
          <w:b w:val="0"/>
          <w:bCs w:val="0"/>
          <w:color w:val="auto"/>
          <w:highlight w:val="none"/>
        </w:rPr>
      </w:pPr>
      <w:bookmarkStart w:id="109" w:name="_Toc15396623"/>
      <w:bookmarkStart w:id="110" w:name="_Toc15905"/>
      <w:r>
        <w:rPr>
          <w:rStyle w:val="38"/>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38"/>
          <w:rFonts w:hint="eastAsia" w:ascii="仿宋" w:hAnsi="仿宋" w:eastAsia="仿宋"/>
          <w:b w:val="0"/>
          <w:bCs w:val="0"/>
          <w:color w:val="auto"/>
          <w:highlight w:val="none"/>
        </w:rPr>
        <w:t>政拨款支出决算明细表</w:t>
      </w:r>
      <w:bookmarkEnd w:id="109"/>
      <w:bookmarkEnd w:id="110"/>
      <w:bookmarkStart w:id="111" w:name="_Toc15396624"/>
    </w:p>
    <w:p>
      <w:pPr>
        <w:pStyle w:val="5"/>
        <w:rPr>
          <w:rFonts w:ascii="仿宋" w:hAnsi="仿宋" w:eastAsia="仿宋"/>
          <w:color w:val="auto"/>
          <w:highlight w:val="none"/>
        </w:rPr>
      </w:pPr>
      <w:bookmarkStart w:id="112" w:name="_Toc26361"/>
      <w:r>
        <w:rPr>
          <w:rStyle w:val="38"/>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38"/>
          <w:rFonts w:hint="eastAsia" w:ascii="仿宋" w:hAnsi="仿宋" w:eastAsia="仿宋"/>
          <w:b w:val="0"/>
          <w:bCs w:val="0"/>
          <w:color w:val="auto"/>
          <w:highlight w:val="none"/>
        </w:rPr>
        <w:t>般公共预算财政拨款支出决算表</w:t>
      </w:r>
      <w:bookmarkEnd w:id="111"/>
      <w:bookmarkEnd w:id="112"/>
    </w:p>
    <w:p>
      <w:pPr>
        <w:pStyle w:val="5"/>
        <w:rPr>
          <w:rFonts w:ascii="仿宋" w:hAnsi="仿宋" w:eastAsia="仿宋"/>
          <w:color w:val="auto"/>
          <w:highlight w:val="none"/>
        </w:rPr>
      </w:pPr>
      <w:bookmarkStart w:id="113" w:name="_Toc7358"/>
      <w:bookmarkStart w:id="114" w:name="_Toc15396625"/>
      <w:r>
        <w:rPr>
          <w:rStyle w:val="38"/>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38"/>
          <w:rFonts w:hint="eastAsia" w:ascii="仿宋" w:hAnsi="仿宋" w:eastAsia="仿宋"/>
          <w:b w:val="0"/>
          <w:bCs w:val="0"/>
          <w:color w:val="auto"/>
          <w:highlight w:val="none"/>
        </w:rPr>
        <w:t>般公共预算财政拨款支出决算明细表</w:t>
      </w:r>
      <w:bookmarkEnd w:id="113"/>
      <w:bookmarkEnd w:id="114"/>
    </w:p>
    <w:p>
      <w:pPr>
        <w:pStyle w:val="5"/>
        <w:rPr>
          <w:rFonts w:ascii="仿宋" w:hAnsi="仿宋" w:eastAsia="仿宋"/>
          <w:color w:val="auto"/>
          <w:highlight w:val="none"/>
        </w:rPr>
      </w:pPr>
      <w:bookmarkStart w:id="115" w:name="_Toc15396626"/>
      <w:bookmarkStart w:id="116" w:name="_Toc14840"/>
      <w:r>
        <w:rPr>
          <w:rStyle w:val="38"/>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38"/>
          <w:rFonts w:hint="eastAsia" w:ascii="仿宋" w:hAnsi="仿宋" w:eastAsia="仿宋"/>
          <w:b w:val="0"/>
          <w:bCs w:val="0"/>
          <w:color w:val="auto"/>
          <w:highlight w:val="none"/>
        </w:rPr>
        <w:t>般公共预算财政拨款基本支出决算表</w:t>
      </w:r>
      <w:bookmarkEnd w:id="115"/>
      <w:bookmarkEnd w:id="116"/>
    </w:p>
    <w:p>
      <w:pPr>
        <w:pStyle w:val="5"/>
        <w:rPr>
          <w:rFonts w:ascii="仿宋" w:hAnsi="仿宋" w:eastAsia="仿宋"/>
          <w:color w:val="auto"/>
          <w:highlight w:val="none"/>
        </w:rPr>
      </w:pPr>
      <w:bookmarkStart w:id="117" w:name="_Toc15396627"/>
      <w:bookmarkStart w:id="118" w:name="_Toc30815"/>
      <w:r>
        <w:rPr>
          <w:rStyle w:val="38"/>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38"/>
          <w:rFonts w:hint="eastAsia" w:ascii="仿宋" w:hAnsi="仿宋" w:eastAsia="仿宋"/>
          <w:b w:val="0"/>
          <w:bCs w:val="0"/>
          <w:color w:val="auto"/>
          <w:highlight w:val="none"/>
        </w:rPr>
        <w:t>般公共预算财政拨款项目支出决算表</w:t>
      </w:r>
      <w:bookmarkEnd w:id="117"/>
      <w:bookmarkEnd w:id="118"/>
    </w:p>
    <w:p>
      <w:pPr>
        <w:pStyle w:val="5"/>
        <w:rPr>
          <w:rFonts w:ascii="仿宋" w:hAnsi="仿宋" w:eastAsia="仿宋"/>
          <w:color w:val="auto"/>
          <w:highlight w:val="none"/>
        </w:rPr>
      </w:pPr>
      <w:bookmarkStart w:id="119" w:name="_Toc15396628"/>
      <w:bookmarkStart w:id="120" w:name="_Toc17879"/>
      <w:r>
        <w:rPr>
          <w:rStyle w:val="38"/>
          <w:rFonts w:hint="eastAsia" w:ascii="仿宋" w:hAnsi="仿宋" w:eastAsia="仿宋"/>
          <w:b w:val="0"/>
          <w:bCs w:val="0"/>
          <w:color w:val="auto"/>
          <w:highlight w:val="none"/>
        </w:rPr>
        <w:t>十、</w:t>
      </w:r>
      <w:r>
        <w:rPr>
          <w:rFonts w:hint="eastAsia" w:ascii="仿宋" w:hAnsi="仿宋" w:eastAsia="仿宋"/>
          <w:b w:val="0"/>
          <w:color w:val="auto"/>
          <w:highlight w:val="none"/>
        </w:rPr>
        <w:t>一</w:t>
      </w:r>
      <w:r>
        <w:rPr>
          <w:rStyle w:val="38"/>
          <w:rFonts w:hint="eastAsia" w:ascii="仿宋" w:hAnsi="仿宋" w:eastAsia="仿宋"/>
          <w:b w:val="0"/>
          <w:bCs w:val="0"/>
          <w:color w:val="auto"/>
          <w:highlight w:val="none"/>
        </w:rPr>
        <w:t>般公共预算财政拨款“三公”经费支出决算表</w:t>
      </w:r>
      <w:bookmarkEnd w:id="119"/>
      <w:bookmarkEnd w:id="120"/>
    </w:p>
    <w:p>
      <w:pPr>
        <w:pStyle w:val="5"/>
        <w:rPr>
          <w:rFonts w:ascii="仿宋" w:hAnsi="仿宋" w:eastAsia="仿宋"/>
          <w:color w:val="auto"/>
          <w:highlight w:val="none"/>
        </w:rPr>
      </w:pPr>
      <w:bookmarkStart w:id="121" w:name="_Toc15396629"/>
      <w:bookmarkStart w:id="122" w:name="_Toc8853"/>
      <w:r>
        <w:rPr>
          <w:rStyle w:val="38"/>
          <w:rFonts w:hint="eastAsia" w:ascii="仿宋" w:hAnsi="仿宋" w:eastAsia="仿宋"/>
          <w:b w:val="0"/>
          <w:bCs w:val="0"/>
          <w:color w:val="auto"/>
          <w:highlight w:val="none"/>
        </w:rPr>
        <w:t>十一、</w:t>
      </w:r>
      <w:r>
        <w:rPr>
          <w:rFonts w:hint="eastAsia" w:ascii="仿宋" w:hAnsi="仿宋" w:eastAsia="仿宋"/>
          <w:b w:val="0"/>
          <w:color w:val="auto"/>
          <w:highlight w:val="none"/>
        </w:rPr>
        <w:t>政</w:t>
      </w:r>
      <w:r>
        <w:rPr>
          <w:rStyle w:val="38"/>
          <w:rFonts w:hint="eastAsia" w:ascii="仿宋" w:hAnsi="仿宋" w:eastAsia="仿宋"/>
          <w:b w:val="0"/>
          <w:bCs w:val="0"/>
          <w:color w:val="auto"/>
          <w:highlight w:val="none"/>
        </w:rPr>
        <w:t>府性基金预算财政拨款收入支出决算表</w:t>
      </w:r>
      <w:bookmarkEnd w:id="121"/>
      <w:bookmarkEnd w:id="122"/>
    </w:p>
    <w:p>
      <w:pPr>
        <w:pStyle w:val="5"/>
        <w:rPr>
          <w:rFonts w:ascii="仿宋" w:hAnsi="仿宋" w:eastAsia="仿宋"/>
          <w:color w:val="auto"/>
          <w:highlight w:val="none"/>
        </w:rPr>
      </w:pPr>
      <w:bookmarkStart w:id="123" w:name="_Toc15396630"/>
      <w:bookmarkStart w:id="124" w:name="_Toc24410"/>
      <w:r>
        <w:rPr>
          <w:rStyle w:val="38"/>
          <w:rFonts w:hint="eastAsia" w:ascii="仿宋" w:hAnsi="仿宋" w:eastAsia="仿宋"/>
          <w:b w:val="0"/>
          <w:bCs w:val="0"/>
          <w:color w:val="auto"/>
          <w:highlight w:val="none"/>
        </w:rPr>
        <w:t>十二、</w:t>
      </w:r>
      <w:r>
        <w:rPr>
          <w:rFonts w:hint="eastAsia" w:ascii="仿宋" w:hAnsi="仿宋" w:eastAsia="仿宋"/>
          <w:b w:val="0"/>
          <w:color w:val="auto"/>
          <w:highlight w:val="none"/>
        </w:rPr>
        <w:t>政</w:t>
      </w:r>
      <w:r>
        <w:rPr>
          <w:rStyle w:val="38"/>
          <w:rFonts w:hint="eastAsia" w:ascii="仿宋" w:hAnsi="仿宋" w:eastAsia="仿宋"/>
          <w:b w:val="0"/>
          <w:bCs w:val="0"/>
          <w:color w:val="auto"/>
          <w:highlight w:val="none"/>
        </w:rPr>
        <w:t>府性基金预算财政拨款“三公”经费支出决算表</w:t>
      </w:r>
      <w:bookmarkEnd w:id="123"/>
      <w:bookmarkEnd w:id="124"/>
    </w:p>
    <w:p>
      <w:pPr>
        <w:pStyle w:val="5"/>
        <w:rPr>
          <w:rStyle w:val="38"/>
          <w:rFonts w:hint="eastAsia" w:ascii="仿宋" w:hAnsi="仿宋" w:eastAsia="仿宋"/>
          <w:b w:val="0"/>
          <w:bCs w:val="0"/>
          <w:color w:val="auto"/>
          <w:highlight w:val="none"/>
        </w:rPr>
      </w:pPr>
      <w:bookmarkStart w:id="125" w:name="_Toc15396631"/>
      <w:bookmarkStart w:id="126" w:name="_Toc2241"/>
      <w:r>
        <w:rPr>
          <w:rStyle w:val="38"/>
          <w:rFonts w:hint="eastAsia" w:ascii="仿宋" w:hAnsi="仿宋" w:eastAsia="仿宋"/>
          <w:b w:val="0"/>
          <w:bCs w:val="0"/>
          <w:color w:val="auto"/>
          <w:highlight w:val="none"/>
        </w:rPr>
        <w:t>十三、</w:t>
      </w:r>
      <w:r>
        <w:rPr>
          <w:rFonts w:hint="eastAsia" w:ascii="仿宋" w:hAnsi="仿宋" w:eastAsia="仿宋"/>
          <w:b w:val="0"/>
          <w:color w:val="auto"/>
          <w:highlight w:val="none"/>
        </w:rPr>
        <w:t>国</w:t>
      </w:r>
      <w:r>
        <w:rPr>
          <w:rStyle w:val="38"/>
          <w:rFonts w:hint="eastAsia" w:ascii="仿宋" w:hAnsi="仿宋" w:eastAsia="仿宋"/>
          <w:b w:val="0"/>
          <w:bCs w:val="0"/>
          <w:color w:val="auto"/>
          <w:highlight w:val="none"/>
        </w:rPr>
        <w:t>有资本经营预算</w:t>
      </w:r>
      <w:r>
        <w:rPr>
          <w:rStyle w:val="38"/>
          <w:rFonts w:hint="eastAsia" w:ascii="仿宋" w:hAnsi="仿宋" w:eastAsia="仿宋"/>
          <w:b w:val="0"/>
          <w:bCs w:val="0"/>
          <w:color w:val="auto"/>
          <w:highlight w:val="none"/>
          <w:lang w:eastAsia="zh-CN"/>
        </w:rPr>
        <w:t>财政拨款收入</w:t>
      </w:r>
      <w:r>
        <w:rPr>
          <w:rStyle w:val="38"/>
          <w:rFonts w:hint="eastAsia" w:ascii="仿宋" w:hAnsi="仿宋" w:eastAsia="仿宋"/>
          <w:b w:val="0"/>
          <w:bCs w:val="0"/>
          <w:color w:val="auto"/>
          <w:highlight w:val="none"/>
        </w:rPr>
        <w:t>支出决算表</w:t>
      </w:r>
      <w:bookmarkEnd w:id="125"/>
      <w:bookmarkEnd w:id="126"/>
    </w:p>
    <w:p>
      <w:pPr>
        <w:rPr>
          <w:rFonts w:hint="eastAsia" w:eastAsia="仿宋"/>
          <w:color w:val="auto"/>
          <w:highlight w:val="none"/>
          <w:lang w:eastAsia="zh-CN"/>
        </w:rPr>
      </w:pPr>
      <w:bookmarkStart w:id="127" w:name="_Toc9053"/>
      <w:r>
        <w:rPr>
          <w:rStyle w:val="38"/>
          <w:rFonts w:hint="eastAsia" w:ascii="仿宋" w:hAnsi="仿宋" w:eastAsia="仿宋"/>
          <w:b w:val="0"/>
          <w:bCs w:val="0"/>
          <w:color w:val="auto"/>
          <w:highlight w:val="none"/>
          <w:lang w:eastAsia="zh-CN"/>
        </w:rPr>
        <w:t>十四、国有资本经营预算财政拨款支出决算表</w:t>
      </w:r>
      <w:bookmarkEnd w:id="127"/>
    </w:p>
    <w:sectPr>
      <w:footerReference r:id="rId9" w:type="firs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A1D996-8A92-405C-82B7-C6FDEF6C05F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embedRegular r:id="rId2" w:fontKey="{CD394346-F41C-4B67-808F-4759E1E796AC}"/>
  </w:font>
  <w:font w:name="仿宋_GB2312">
    <w:panose1 w:val="02010609030101010101"/>
    <w:charset w:val="86"/>
    <w:family w:val="modern"/>
    <w:pitch w:val="default"/>
    <w:sig w:usb0="00000000" w:usb1="00000000" w:usb2="00000000" w:usb3="00000000" w:csb0="00000000" w:csb1="00000000"/>
    <w:embedRegular r:id="rId3" w:fontKey="{01266EC4-8ED3-440E-80B5-1ACF608AC575}"/>
  </w:font>
  <w:font w:name="仿宋">
    <w:panose1 w:val="02010609060101010101"/>
    <w:charset w:val="86"/>
    <w:family w:val="auto"/>
    <w:pitch w:val="default"/>
    <w:sig w:usb0="800002BF" w:usb1="38CF7CFA" w:usb2="00000016" w:usb3="00000000" w:csb0="00040001" w:csb1="00000000"/>
    <w:embedRegular r:id="rId4" w:fontKey="{2039D46A-5448-438D-A1FF-F0B54F55A422}"/>
  </w:font>
  <w:font w:name="楷体_GB2312">
    <w:panose1 w:val="02010609030101010101"/>
    <w:charset w:val="86"/>
    <w:family w:val="modern"/>
    <w:pitch w:val="default"/>
    <w:sig w:usb0="00000000" w:usb1="00000000" w:usb2="00000000" w:usb3="00000000" w:csb0="00000000" w:csb1="00000000"/>
    <w:embedRegular r:id="rId5" w:fontKey="{9D9C0439-08BB-46AA-B333-B25C4DA8EF7B}"/>
  </w:font>
  <w:font w:name="方正小标宋简体">
    <w:panose1 w:val="03000509000000000000"/>
    <w:charset w:val="86"/>
    <w:family w:val="script"/>
    <w:pitch w:val="default"/>
    <w:sig w:usb0="00000000" w:usb1="00000000" w:usb2="00000000" w:usb3="00000000" w:csb0="00000000" w:csb1="00000000"/>
    <w:embedRegular r:id="rId6" w:fontKey="{56DDEE9E-2B32-4FD3-ABA9-4875BA58B4F9}"/>
  </w:font>
  <w:font w:name="sans-serif">
    <w:altName w:val="Segoe Print"/>
    <w:panose1 w:val="00000000000000000000"/>
    <w:charset w:val="00"/>
    <w:family w:val="auto"/>
    <w:pitch w:val="default"/>
    <w:sig w:usb0="00000000" w:usb1="00000000" w:usb2="00000000" w:usb3="00000000" w:csb0="00000000" w:csb1="00000000"/>
    <w:embedRegular r:id="rId7" w:fontKey="{A3F84368-680F-4E5F-8BBA-31B900CED9F4}"/>
  </w:font>
  <w:font w:name="微软雅黑">
    <w:panose1 w:val="020B0503020204020204"/>
    <w:charset w:val="86"/>
    <w:family w:val="auto"/>
    <w:pitch w:val="default"/>
    <w:sig w:usb0="80000287" w:usb1="280F3C52" w:usb2="00000016" w:usb3="00000000" w:csb0="0004001F" w:csb1="00000000"/>
    <w:embedRegular r:id="rId8" w:fontKey="{2DCA5658-C4C1-4807-8921-234C60A82FEE}"/>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4"/>
                                <w:jc w:val="center"/>
                              </w:pPr>
                              <w:r>
                                <w:fldChar w:fldCharType="begin"/>
                              </w:r>
                              <w:r>
                                <w:instrText xml:space="preserve">PAGE   \* MERGEFORMAT</w:instrText>
                              </w:r>
                              <w:r>
                                <w:fldChar w:fldCharType="separate"/>
                              </w:r>
                              <w:r>
                                <w:rPr>
                                  <w:lang w:val="zh-CN"/>
                                </w:rPr>
                                <w:t>8</w:t>
                              </w:r>
                              <w:r>
                                <w:fldChar w:fldCharType="end"/>
                              </w:r>
                            </w:p>
                          </w:sdtContent>
                        </w:sdt>
                        <w:p>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sdt>
                    <w:sdtPr>
                      <w:id w:val="-1994781956"/>
                    </w:sdtPr>
                    <w:sdtContent>
                      <w:p>
                        <w:pPr>
                          <w:pStyle w:val="14"/>
                          <w:jc w:val="center"/>
                        </w:pPr>
                        <w:r>
                          <w:fldChar w:fldCharType="begin"/>
                        </w:r>
                        <w:r>
                          <w:instrText xml:space="preserve">PAGE   \* MERGEFORMAT</w:instrText>
                        </w:r>
                        <w:r>
                          <w:fldChar w:fldCharType="separate"/>
                        </w:r>
                        <w:r>
                          <w:rPr>
                            <w:lang w:val="zh-CN"/>
                          </w:rPr>
                          <w:t>8</w:t>
                        </w:r>
                        <w:r>
                          <w:fldChar w:fldCharType="end"/>
                        </w:r>
                      </w:p>
                    </w:sdtContent>
                  </w:sdt>
                  <w:p>
                    <w:pPr>
                      <w:pStyle w:val="8"/>
                    </w:pPr>
                  </w:p>
                </w:txbxContent>
              </v:textbox>
            </v:shape>
          </w:pict>
        </mc:Fallback>
      </mc:AlternateContent>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4"/>
                                <w:jc w:val="center"/>
                              </w:pPr>
                              <w:r>
                                <w:fldChar w:fldCharType="begin"/>
                              </w:r>
                              <w:r>
                                <w:instrText xml:space="preserve">PAGE   \* MERGEFORMAT</w:instrText>
                              </w:r>
                              <w:r>
                                <w:fldChar w:fldCharType="separate"/>
                              </w:r>
                              <w:r>
                                <w:rPr>
                                  <w:lang w:val="zh-CN"/>
                                </w:rPr>
                                <w:t>8</w:t>
                              </w:r>
                              <w:r>
                                <w:fldChar w:fldCharType="end"/>
                              </w:r>
                            </w:p>
                          </w:sdtContent>
                        </w:sdt>
                        <w:p>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sdt>
                    <w:sdtPr>
                      <w:id w:val="-1994781956"/>
                    </w:sdtPr>
                    <w:sdtContent>
                      <w:p>
                        <w:pPr>
                          <w:pStyle w:val="14"/>
                          <w:jc w:val="center"/>
                        </w:pPr>
                        <w:r>
                          <w:fldChar w:fldCharType="begin"/>
                        </w:r>
                        <w:r>
                          <w:instrText xml:space="preserve">PAGE   \* MERGEFORMAT</w:instrText>
                        </w:r>
                        <w:r>
                          <w:fldChar w:fldCharType="separate"/>
                        </w:r>
                        <w:r>
                          <w:rPr>
                            <w:lang w:val="zh-CN"/>
                          </w:rPr>
                          <w:t>8</w:t>
                        </w:r>
                        <w:r>
                          <w:fldChar w:fldCharType="end"/>
                        </w:r>
                      </w:p>
                    </w:sdtContent>
                  </w:sdt>
                  <w:p>
                    <w:pPr>
                      <w:pStyle w:val="8"/>
                    </w:pPr>
                  </w:p>
                </w:txbxContent>
              </v:textbox>
            </v:shape>
          </w:pict>
        </mc:Fallback>
      </mc:AlternateContent>
    </w:r>
  </w:p>
  <w:p>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24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E794925"/>
    <w:multiLevelType w:val="singleLevel"/>
    <w:tmpl w:val="3E794925"/>
    <w:lvl w:ilvl="0" w:tentative="0">
      <w:start w:val="3"/>
      <w:numFmt w:val="chineseCounting"/>
      <w:suff w:val="nothing"/>
      <w:lvlText w:val="（%1）"/>
      <w:lvlJc w:val="left"/>
      <w:rPr>
        <w:rFonts w:hint="eastAsia"/>
      </w:rPr>
    </w:lvl>
  </w:abstractNum>
  <w:abstractNum w:abstractNumId="4">
    <w:nsid w:val="4DE2FA0B"/>
    <w:multiLevelType w:val="singleLevel"/>
    <w:tmpl w:val="4DE2FA0B"/>
    <w:lvl w:ilvl="0" w:tentative="0">
      <w:start w:val="1"/>
      <w:numFmt w:val="decimal"/>
      <w:lvlText w:val="%1."/>
      <w:lvlJc w:val="left"/>
      <w:pPr>
        <w:tabs>
          <w:tab w:val="left" w:pos="312"/>
        </w:tabs>
      </w:pPr>
    </w:lvl>
  </w:abstractNum>
  <w:abstractNum w:abstractNumId="5">
    <w:nsid w:val="5B63281F"/>
    <w:multiLevelType w:val="multilevel"/>
    <w:tmpl w:val="5B63281F"/>
    <w:lvl w:ilvl="0" w:tentative="0">
      <w:start w:val="1"/>
      <w:numFmt w:val="decimal"/>
      <w:pStyle w:val="46"/>
      <w:suff w:val="nothing"/>
      <w:lvlText w:val="%1."/>
      <w:lvlJc w:val="left"/>
      <w:pPr>
        <w:ind w:left="0" w:firstLine="635"/>
      </w:pPr>
      <w:rPr>
        <w:rFonts w:hint="eastAsia"/>
      </w:rPr>
    </w:lvl>
    <w:lvl w:ilvl="1" w:tentative="0">
      <w:start w:val="1"/>
      <w:numFmt w:val="lowerLetter"/>
      <w:lvlText w:val="%2)"/>
      <w:lvlJc w:val="left"/>
      <w:pPr>
        <w:ind w:left="1475" w:hanging="420"/>
      </w:pPr>
    </w:lvl>
    <w:lvl w:ilvl="2" w:tentative="0">
      <w:start w:val="1"/>
      <w:numFmt w:val="lowerRoman"/>
      <w:lvlText w:val="%3."/>
      <w:lvlJc w:val="right"/>
      <w:pPr>
        <w:ind w:left="1895" w:hanging="420"/>
      </w:pPr>
    </w:lvl>
    <w:lvl w:ilvl="3" w:tentative="0">
      <w:start w:val="1"/>
      <w:numFmt w:val="decimal"/>
      <w:lvlText w:val="%4."/>
      <w:lvlJc w:val="left"/>
      <w:pPr>
        <w:ind w:left="2315" w:hanging="420"/>
      </w:pPr>
    </w:lvl>
    <w:lvl w:ilvl="4" w:tentative="0">
      <w:start w:val="1"/>
      <w:numFmt w:val="lowerLetter"/>
      <w:lvlText w:val="%5)"/>
      <w:lvlJc w:val="left"/>
      <w:pPr>
        <w:ind w:left="2735" w:hanging="420"/>
      </w:pPr>
    </w:lvl>
    <w:lvl w:ilvl="5" w:tentative="0">
      <w:start w:val="1"/>
      <w:numFmt w:val="lowerRoman"/>
      <w:lvlText w:val="%6."/>
      <w:lvlJc w:val="right"/>
      <w:pPr>
        <w:ind w:left="3155" w:hanging="420"/>
      </w:pPr>
    </w:lvl>
    <w:lvl w:ilvl="6" w:tentative="0">
      <w:start w:val="1"/>
      <w:numFmt w:val="decimal"/>
      <w:lvlText w:val="%7."/>
      <w:lvlJc w:val="left"/>
      <w:pPr>
        <w:ind w:left="3575" w:hanging="420"/>
      </w:pPr>
    </w:lvl>
    <w:lvl w:ilvl="7" w:tentative="0">
      <w:start w:val="1"/>
      <w:numFmt w:val="lowerLetter"/>
      <w:lvlText w:val="%8)"/>
      <w:lvlJc w:val="left"/>
      <w:pPr>
        <w:ind w:left="3995" w:hanging="420"/>
      </w:pPr>
    </w:lvl>
    <w:lvl w:ilvl="8" w:tentative="0">
      <w:start w:val="1"/>
      <w:numFmt w:val="lowerRoman"/>
      <w:lvlText w:val="%9."/>
      <w:lvlJc w:val="right"/>
      <w:pPr>
        <w:ind w:left="4415" w:hanging="420"/>
      </w:pPr>
    </w:lvl>
  </w:abstractNum>
  <w:abstractNum w:abstractNumId="6">
    <w:nsid w:val="6F035666"/>
    <w:multiLevelType w:val="singleLevel"/>
    <w:tmpl w:val="6F035666"/>
    <w:lvl w:ilvl="0" w:tentative="0">
      <w:start w:val="1"/>
      <w:numFmt w:val="decimal"/>
      <w:lvlText w:val="%1."/>
      <w:lvlJc w:val="left"/>
      <w:pPr>
        <w:tabs>
          <w:tab w:val="left" w:pos="312"/>
        </w:tabs>
        <w:ind w:left="-13"/>
      </w:pPr>
    </w:lvl>
  </w:abstractNum>
  <w:abstractNum w:abstractNumId="7">
    <w:nsid w:val="7EE55BF3"/>
    <w:multiLevelType w:val="multilevel"/>
    <w:tmpl w:val="7EE55BF3"/>
    <w:lvl w:ilvl="0" w:tentative="0">
      <w:start w:val="1"/>
      <w:numFmt w:val="chineseCountingThousand"/>
      <w:pStyle w:val="50"/>
      <w:suff w:val="nothing"/>
      <w:lvlText w:val="（%1）"/>
      <w:lvlJc w:val="left"/>
      <w:pPr>
        <w:ind w:left="5" w:firstLine="635"/>
      </w:pPr>
      <w:rPr>
        <w:rFonts w:hint="eastAsia"/>
      </w:rPr>
    </w:lvl>
    <w:lvl w:ilvl="1" w:tentative="0">
      <w:start w:val="1"/>
      <w:numFmt w:val="decimal"/>
      <w:lvlText w:val="%2."/>
      <w:lvlJc w:val="left"/>
      <w:pPr>
        <w:ind w:left="985" w:hanging="360"/>
      </w:pPr>
      <w:rPr>
        <w:rFonts w:hint="default"/>
      </w:rPr>
    </w:lvl>
    <w:lvl w:ilvl="2" w:tentative="0">
      <w:start w:val="1"/>
      <w:numFmt w:val="lowerRoman"/>
      <w:lvlText w:val="%3."/>
      <w:lvlJc w:val="right"/>
      <w:pPr>
        <w:ind w:left="1465" w:hanging="420"/>
      </w:pPr>
    </w:lvl>
    <w:lvl w:ilvl="3" w:tentative="0">
      <w:start w:val="1"/>
      <w:numFmt w:val="decimal"/>
      <w:lvlText w:val="%4."/>
      <w:lvlJc w:val="left"/>
      <w:pPr>
        <w:ind w:left="1885" w:hanging="420"/>
      </w:pPr>
    </w:lvl>
    <w:lvl w:ilvl="4" w:tentative="0">
      <w:start w:val="1"/>
      <w:numFmt w:val="lowerLetter"/>
      <w:lvlText w:val="%5)"/>
      <w:lvlJc w:val="left"/>
      <w:pPr>
        <w:ind w:left="2305" w:hanging="420"/>
      </w:pPr>
    </w:lvl>
    <w:lvl w:ilvl="5" w:tentative="0">
      <w:start w:val="1"/>
      <w:numFmt w:val="lowerRoman"/>
      <w:lvlText w:val="%6."/>
      <w:lvlJc w:val="right"/>
      <w:pPr>
        <w:ind w:left="2725" w:hanging="420"/>
      </w:pPr>
    </w:lvl>
    <w:lvl w:ilvl="6" w:tentative="0">
      <w:start w:val="1"/>
      <w:numFmt w:val="decimal"/>
      <w:lvlText w:val="%7."/>
      <w:lvlJc w:val="left"/>
      <w:pPr>
        <w:ind w:left="3145" w:hanging="420"/>
      </w:pPr>
    </w:lvl>
    <w:lvl w:ilvl="7" w:tentative="0">
      <w:start w:val="1"/>
      <w:numFmt w:val="lowerLetter"/>
      <w:lvlText w:val="%8)"/>
      <w:lvlJc w:val="left"/>
      <w:pPr>
        <w:ind w:left="3565" w:hanging="420"/>
      </w:pPr>
    </w:lvl>
    <w:lvl w:ilvl="8" w:tentative="0">
      <w:start w:val="1"/>
      <w:numFmt w:val="lowerRoman"/>
      <w:lvlText w:val="%9."/>
      <w:lvlJc w:val="right"/>
      <w:pPr>
        <w:ind w:left="3985" w:hanging="420"/>
      </w:pPr>
    </w:lvl>
  </w:abstractNum>
  <w:num w:numId="1">
    <w:abstractNumId w:val="5"/>
  </w:num>
  <w:num w:numId="2">
    <w:abstractNumId w:val="7"/>
  </w:num>
  <w:num w:numId="3">
    <w:abstractNumId w:val="2"/>
  </w:num>
  <w:num w:numId="4">
    <w:abstractNumId w:val="6"/>
  </w:num>
  <w:num w:numId="5">
    <w:abstractNumId w:val="0"/>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xMmRlNDk4ODNlZTIwMTI0MTRiMThjZGM5NThlYTA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3366"/>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32078"/>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29E"/>
    <w:rsid w:val="00A237D8"/>
    <w:rsid w:val="00A268C4"/>
    <w:rsid w:val="00A307CD"/>
    <w:rsid w:val="00A331C8"/>
    <w:rsid w:val="00A40A00"/>
    <w:rsid w:val="00A4142F"/>
    <w:rsid w:val="00A422EB"/>
    <w:rsid w:val="00A45BB7"/>
    <w:rsid w:val="00A56D7D"/>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41F92"/>
    <w:rsid w:val="0116312F"/>
    <w:rsid w:val="01963029"/>
    <w:rsid w:val="02C10E79"/>
    <w:rsid w:val="02C132B2"/>
    <w:rsid w:val="033B1FDD"/>
    <w:rsid w:val="0379691B"/>
    <w:rsid w:val="0388769C"/>
    <w:rsid w:val="03DD612A"/>
    <w:rsid w:val="03F37758"/>
    <w:rsid w:val="049E3777"/>
    <w:rsid w:val="04AA7785"/>
    <w:rsid w:val="04E24654"/>
    <w:rsid w:val="04F73202"/>
    <w:rsid w:val="057A40CC"/>
    <w:rsid w:val="05CA131B"/>
    <w:rsid w:val="063A5C93"/>
    <w:rsid w:val="064A5629"/>
    <w:rsid w:val="06EF5D92"/>
    <w:rsid w:val="09405AF0"/>
    <w:rsid w:val="09475E50"/>
    <w:rsid w:val="09BC4137"/>
    <w:rsid w:val="09DA6CC4"/>
    <w:rsid w:val="09F00E3B"/>
    <w:rsid w:val="09F2092F"/>
    <w:rsid w:val="0A1C3478"/>
    <w:rsid w:val="0A2032A3"/>
    <w:rsid w:val="0A8303C0"/>
    <w:rsid w:val="0B64718D"/>
    <w:rsid w:val="0B8A37D8"/>
    <w:rsid w:val="0BB3106B"/>
    <w:rsid w:val="0BE133C4"/>
    <w:rsid w:val="0C050C47"/>
    <w:rsid w:val="0C730B7E"/>
    <w:rsid w:val="0CC36E72"/>
    <w:rsid w:val="0D0A2536"/>
    <w:rsid w:val="0D0F753F"/>
    <w:rsid w:val="0D5825D8"/>
    <w:rsid w:val="0DFA6539"/>
    <w:rsid w:val="0E2741A7"/>
    <w:rsid w:val="0E4312DC"/>
    <w:rsid w:val="0EC87D19"/>
    <w:rsid w:val="0F115C3A"/>
    <w:rsid w:val="0F2F1911"/>
    <w:rsid w:val="0F386966"/>
    <w:rsid w:val="101A6FC1"/>
    <w:rsid w:val="107D1E45"/>
    <w:rsid w:val="10BF33E1"/>
    <w:rsid w:val="10C055FF"/>
    <w:rsid w:val="10CD3161"/>
    <w:rsid w:val="111B4A43"/>
    <w:rsid w:val="11327891"/>
    <w:rsid w:val="118107EC"/>
    <w:rsid w:val="11835A46"/>
    <w:rsid w:val="11DD6519"/>
    <w:rsid w:val="11E3021C"/>
    <w:rsid w:val="11ED3D46"/>
    <w:rsid w:val="133B475F"/>
    <w:rsid w:val="13573257"/>
    <w:rsid w:val="1461411A"/>
    <w:rsid w:val="151D2886"/>
    <w:rsid w:val="15973CBB"/>
    <w:rsid w:val="159919E7"/>
    <w:rsid w:val="15D57614"/>
    <w:rsid w:val="15F92A9C"/>
    <w:rsid w:val="163A4802"/>
    <w:rsid w:val="16BB723D"/>
    <w:rsid w:val="171B4F84"/>
    <w:rsid w:val="172E6071"/>
    <w:rsid w:val="1785593F"/>
    <w:rsid w:val="18015F3F"/>
    <w:rsid w:val="181D0DEF"/>
    <w:rsid w:val="18503A79"/>
    <w:rsid w:val="186407F9"/>
    <w:rsid w:val="18EA2E6C"/>
    <w:rsid w:val="190527C4"/>
    <w:rsid w:val="19131F69"/>
    <w:rsid w:val="19C07D61"/>
    <w:rsid w:val="1A070F90"/>
    <w:rsid w:val="1A1C2996"/>
    <w:rsid w:val="1AD83CA9"/>
    <w:rsid w:val="1AF220BF"/>
    <w:rsid w:val="1B07682A"/>
    <w:rsid w:val="1B216501"/>
    <w:rsid w:val="1B230658"/>
    <w:rsid w:val="1B271851"/>
    <w:rsid w:val="1BE8440E"/>
    <w:rsid w:val="1BF978A3"/>
    <w:rsid w:val="1C406787"/>
    <w:rsid w:val="1CEC75AC"/>
    <w:rsid w:val="1CFA3641"/>
    <w:rsid w:val="1D083E1C"/>
    <w:rsid w:val="1D155CEE"/>
    <w:rsid w:val="1DE13B46"/>
    <w:rsid w:val="1DE303E5"/>
    <w:rsid w:val="1DE55F0B"/>
    <w:rsid w:val="1DEF5CBE"/>
    <w:rsid w:val="1E0A7720"/>
    <w:rsid w:val="1E1F1F35"/>
    <w:rsid w:val="1EA23279"/>
    <w:rsid w:val="1F0C7DD5"/>
    <w:rsid w:val="1F5C3A06"/>
    <w:rsid w:val="1F6C7CD0"/>
    <w:rsid w:val="20507353"/>
    <w:rsid w:val="20601E9B"/>
    <w:rsid w:val="20C75D9C"/>
    <w:rsid w:val="20F57F95"/>
    <w:rsid w:val="21001F34"/>
    <w:rsid w:val="21022533"/>
    <w:rsid w:val="216E39D3"/>
    <w:rsid w:val="21812F54"/>
    <w:rsid w:val="22B14EDE"/>
    <w:rsid w:val="230E1876"/>
    <w:rsid w:val="23136BA8"/>
    <w:rsid w:val="23201DC1"/>
    <w:rsid w:val="23FF584D"/>
    <w:rsid w:val="240371BF"/>
    <w:rsid w:val="240A1236"/>
    <w:rsid w:val="25911713"/>
    <w:rsid w:val="25AE3087"/>
    <w:rsid w:val="25C741E6"/>
    <w:rsid w:val="267E6EFD"/>
    <w:rsid w:val="27842671"/>
    <w:rsid w:val="27971291"/>
    <w:rsid w:val="27CB2786"/>
    <w:rsid w:val="27F21ACC"/>
    <w:rsid w:val="27FB1565"/>
    <w:rsid w:val="28373AC7"/>
    <w:rsid w:val="286A4887"/>
    <w:rsid w:val="28B529D3"/>
    <w:rsid w:val="28CD495B"/>
    <w:rsid w:val="293661E3"/>
    <w:rsid w:val="29B14490"/>
    <w:rsid w:val="29FD04D3"/>
    <w:rsid w:val="2A1619F8"/>
    <w:rsid w:val="2A793611"/>
    <w:rsid w:val="2ABE7A3E"/>
    <w:rsid w:val="2AD413FE"/>
    <w:rsid w:val="2AE1376C"/>
    <w:rsid w:val="2AE8703B"/>
    <w:rsid w:val="2AF31337"/>
    <w:rsid w:val="2B326508"/>
    <w:rsid w:val="2B8C3E5A"/>
    <w:rsid w:val="2BC91C74"/>
    <w:rsid w:val="2BEE4F32"/>
    <w:rsid w:val="2C624BCB"/>
    <w:rsid w:val="2C714E0E"/>
    <w:rsid w:val="2D083BC1"/>
    <w:rsid w:val="2D7A2F0F"/>
    <w:rsid w:val="2DCA6ECC"/>
    <w:rsid w:val="2DDE0A7D"/>
    <w:rsid w:val="2DFD4BAB"/>
    <w:rsid w:val="2E33681F"/>
    <w:rsid w:val="2EC85B96"/>
    <w:rsid w:val="2EFA178C"/>
    <w:rsid w:val="2FB46C73"/>
    <w:rsid w:val="2FE36023"/>
    <w:rsid w:val="2FEE7CF0"/>
    <w:rsid w:val="2FF95846"/>
    <w:rsid w:val="30142680"/>
    <w:rsid w:val="30B46D73"/>
    <w:rsid w:val="30E8696A"/>
    <w:rsid w:val="31121BFA"/>
    <w:rsid w:val="316A7D7E"/>
    <w:rsid w:val="317E6DE0"/>
    <w:rsid w:val="319F7F4E"/>
    <w:rsid w:val="31CF4AB1"/>
    <w:rsid w:val="327E0568"/>
    <w:rsid w:val="32B67C92"/>
    <w:rsid w:val="32FE3BF1"/>
    <w:rsid w:val="3327408D"/>
    <w:rsid w:val="333E2383"/>
    <w:rsid w:val="338D39DC"/>
    <w:rsid w:val="33DE5B77"/>
    <w:rsid w:val="3454129D"/>
    <w:rsid w:val="34BF7626"/>
    <w:rsid w:val="352E2138"/>
    <w:rsid w:val="356B4B00"/>
    <w:rsid w:val="357061C7"/>
    <w:rsid w:val="35D07686"/>
    <w:rsid w:val="36414C4A"/>
    <w:rsid w:val="36892A2D"/>
    <w:rsid w:val="36A952BD"/>
    <w:rsid w:val="36B3674F"/>
    <w:rsid w:val="36C546D4"/>
    <w:rsid w:val="36C8200D"/>
    <w:rsid w:val="370D1D9C"/>
    <w:rsid w:val="37523789"/>
    <w:rsid w:val="375E2879"/>
    <w:rsid w:val="37645C9B"/>
    <w:rsid w:val="379548CF"/>
    <w:rsid w:val="37A4253C"/>
    <w:rsid w:val="3892494B"/>
    <w:rsid w:val="38AE1E66"/>
    <w:rsid w:val="39394E34"/>
    <w:rsid w:val="399E647D"/>
    <w:rsid w:val="39AE70AB"/>
    <w:rsid w:val="39CA6355"/>
    <w:rsid w:val="39F65AB0"/>
    <w:rsid w:val="39FE7232"/>
    <w:rsid w:val="3A1133C3"/>
    <w:rsid w:val="3A39340F"/>
    <w:rsid w:val="3AB40D71"/>
    <w:rsid w:val="3AD9074E"/>
    <w:rsid w:val="3ADB31F3"/>
    <w:rsid w:val="3AE16E59"/>
    <w:rsid w:val="3AE945FA"/>
    <w:rsid w:val="3B181276"/>
    <w:rsid w:val="3B4F3267"/>
    <w:rsid w:val="3B8E32E7"/>
    <w:rsid w:val="3BF05D4F"/>
    <w:rsid w:val="3C074E47"/>
    <w:rsid w:val="3C0C0783"/>
    <w:rsid w:val="3C5436C0"/>
    <w:rsid w:val="3DCB0822"/>
    <w:rsid w:val="3E063608"/>
    <w:rsid w:val="3E1F3EA3"/>
    <w:rsid w:val="3EC207BE"/>
    <w:rsid w:val="3F00324D"/>
    <w:rsid w:val="3F344CBD"/>
    <w:rsid w:val="3F6836EF"/>
    <w:rsid w:val="3F9D5B27"/>
    <w:rsid w:val="3F9F3A96"/>
    <w:rsid w:val="406030D8"/>
    <w:rsid w:val="407F3B46"/>
    <w:rsid w:val="40D96CA1"/>
    <w:rsid w:val="41B77860"/>
    <w:rsid w:val="4213721E"/>
    <w:rsid w:val="42920EC7"/>
    <w:rsid w:val="43455594"/>
    <w:rsid w:val="445578F7"/>
    <w:rsid w:val="44E55E94"/>
    <w:rsid w:val="45F90F00"/>
    <w:rsid w:val="46130FB8"/>
    <w:rsid w:val="465E5CDF"/>
    <w:rsid w:val="46DC43A9"/>
    <w:rsid w:val="479F1711"/>
    <w:rsid w:val="481331A1"/>
    <w:rsid w:val="481B403D"/>
    <w:rsid w:val="482A083B"/>
    <w:rsid w:val="49131136"/>
    <w:rsid w:val="493C27E9"/>
    <w:rsid w:val="496F39ED"/>
    <w:rsid w:val="49FF41D3"/>
    <w:rsid w:val="4B3D0885"/>
    <w:rsid w:val="4B5300A9"/>
    <w:rsid w:val="4B85527F"/>
    <w:rsid w:val="4B95246F"/>
    <w:rsid w:val="4BE068DB"/>
    <w:rsid w:val="4BF6002B"/>
    <w:rsid w:val="4C2537F3"/>
    <w:rsid w:val="4CAB3C98"/>
    <w:rsid w:val="4D147911"/>
    <w:rsid w:val="4D354AD5"/>
    <w:rsid w:val="4D383E18"/>
    <w:rsid w:val="4D754306"/>
    <w:rsid w:val="4D791415"/>
    <w:rsid w:val="4D8B3B2A"/>
    <w:rsid w:val="4D914D6E"/>
    <w:rsid w:val="4DCB7FE7"/>
    <w:rsid w:val="4E1E04FA"/>
    <w:rsid w:val="4E8A0DBC"/>
    <w:rsid w:val="4EAD471B"/>
    <w:rsid w:val="4ECE2238"/>
    <w:rsid w:val="4F2935FA"/>
    <w:rsid w:val="4FCC3F86"/>
    <w:rsid w:val="4FDF5532"/>
    <w:rsid w:val="51410B71"/>
    <w:rsid w:val="519A3325"/>
    <w:rsid w:val="519A3FDB"/>
    <w:rsid w:val="51DB4B86"/>
    <w:rsid w:val="52911EB3"/>
    <w:rsid w:val="52A631B4"/>
    <w:rsid w:val="5310038D"/>
    <w:rsid w:val="53207D15"/>
    <w:rsid w:val="53834017"/>
    <w:rsid w:val="548F29DD"/>
    <w:rsid w:val="55333C3E"/>
    <w:rsid w:val="555C599A"/>
    <w:rsid w:val="555E33DF"/>
    <w:rsid w:val="556810DC"/>
    <w:rsid w:val="557C6707"/>
    <w:rsid w:val="561E0EFD"/>
    <w:rsid w:val="56812E3F"/>
    <w:rsid w:val="56852D09"/>
    <w:rsid w:val="572F00F3"/>
    <w:rsid w:val="57904B6D"/>
    <w:rsid w:val="583312E4"/>
    <w:rsid w:val="5862192B"/>
    <w:rsid w:val="58DE3DB1"/>
    <w:rsid w:val="5A044A98"/>
    <w:rsid w:val="5A2F1813"/>
    <w:rsid w:val="5ACA18CC"/>
    <w:rsid w:val="5B5D52DE"/>
    <w:rsid w:val="5B94004E"/>
    <w:rsid w:val="5BA42E2A"/>
    <w:rsid w:val="5BE865EB"/>
    <w:rsid w:val="5C507542"/>
    <w:rsid w:val="5CC62FD7"/>
    <w:rsid w:val="5D1F603D"/>
    <w:rsid w:val="5D344AC1"/>
    <w:rsid w:val="5D4B5084"/>
    <w:rsid w:val="5ED67A28"/>
    <w:rsid w:val="5F1A6ABC"/>
    <w:rsid w:val="5F5E12A0"/>
    <w:rsid w:val="5FC555D0"/>
    <w:rsid w:val="603C7160"/>
    <w:rsid w:val="60581CAB"/>
    <w:rsid w:val="608A5EC3"/>
    <w:rsid w:val="61EA1A3F"/>
    <w:rsid w:val="61F220AF"/>
    <w:rsid w:val="6235479C"/>
    <w:rsid w:val="62441C88"/>
    <w:rsid w:val="62906686"/>
    <w:rsid w:val="62DC2E62"/>
    <w:rsid w:val="630B1871"/>
    <w:rsid w:val="6320036E"/>
    <w:rsid w:val="63234CF0"/>
    <w:rsid w:val="63974B7F"/>
    <w:rsid w:val="63BE4BDA"/>
    <w:rsid w:val="63CC79FC"/>
    <w:rsid w:val="64C30B76"/>
    <w:rsid w:val="64CA39A1"/>
    <w:rsid w:val="64FF67E8"/>
    <w:rsid w:val="652B6C79"/>
    <w:rsid w:val="65E816C2"/>
    <w:rsid w:val="660F72D8"/>
    <w:rsid w:val="666351EC"/>
    <w:rsid w:val="66AB0CFD"/>
    <w:rsid w:val="67504A61"/>
    <w:rsid w:val="68E656F6"/>
    <w:rsid w:val="690205FA"/>
    <w:rsid w:val="69201F35"/>
    <w:rsid w:val="69251E17"/>
    <w:rsid w:val="697F233D"/>
    <w:rsid w:val="6A850781"/>
    <w:rsid w:val="6A924C64"/>
    <w:rsid w:val="6B2830C1"/>
    <w:rsid w:val="6B2A452A"/>
    <w:rsid w:val="6BA93FD3"/>
    <w:rsid w:val="6BB9765C"/>
    <w:rsid w:val="6C4A05C8"/>
    <w:rsid w:val="6C8D47D0"/>
    <w:rsid w:val="6C994365"/>
    <w:rsid w:val="6CA40852"/>
    <w:rsid w:val="6CB664B5"/>
    <w:rsid w:val="6CF73551"/>
    <w:rsid w:val="6D0820D5"/>
    <w:rsid w:val="6D3330C7"/>
    <w:rsid w:val="6D88378A"/>
    <w:rsid w:val="6DA661AA"/>
    <w:rsid w:val="6E7D0E15"/>
    <w:rsid w:val="6EE430FE"/>
    <w:rsid w:val="6F80024F"/>
    <w:rsid w:val="6F833714"/>
    <w:rsid w:val="6FCA1BDC"/>
    <w:rsid w:val="70687B40"/>
    <w:rsid w:val="7071519B"/>
    <w:rsid w:val="70844B58"/>
    <w:rsid w:val="714C44A7"/>
    <w:rsid w:val="71997D14"/>
    <w:rsid w:val="72326261"/>
    <w:rsid w:val="72734D90"/>
    <w:rsid w:val="72D92DF3"/>
    <w:rsid w:val="73572DF1"/>
    <w:rsid w:val="73793D13"/>
    <w:rsid w:val="73C848E1"/>
    <w:rsid w:val="74275AAB"/>
    <w:rsid w:val="7447614D"/>
    <w:rsid w:val="74D07EF1"/>
    <w:rsid w:val="74F05E58"/>
    <w:rsid w:val="75AA6994"/>
    <w:rsid w:val="76073707"/>
    <w:rsid w:val="7609022B"/>
    <w:rsid w:val="762713D4"/>
    <w:rsid w:val="767B46B5"/>
    <w:rsid w:val="76DB582E"/>
    <w:rsid w:val="77E67A2B"/>
    <w:rsid w:val="78000AED"/>
    <w:rsid w:val="78341C48"/>
    <w:rsid w:val="792C6E5F"/>
    <w:rsid w:val="794B7302"/>
    <w:rsid w:val="79881F57"/>
    <w:rsid w:val="79921F40"/>
    <w:rsid w:val="79D65C49"/>
    <w:rsid w:val="79E7B28D"/>
    <w:rsid w:val="7A1A1C0E"/>
    <w:rsid w:val="7B3B61F4"/>
    <w:rsid w:val="7B421039"/>
    <w:rsid w:val="7B9F23CB"/>
    <w:rsid w:val="7BAE4231"/>
    <w:rsid w:val="7CEF4A90"/>
    <w:rsid w:val="7D08140F"/>
    <w:rsid w:val="7D2E7EAA"/>
    <w:rsid w:val="7D3D1E9B"/>
    <w:rsid w:val="7D733B0F"/>
    <w:rsid w:val="7D821FA4"/>
    <w:rsid w:val="7D9B3F7A"/>
    <w:rsid w:val="7DC9403A"/>
    <w:rsid w:val="7DC97FEE"/>
    <w:rsid w:val="7DEB2DBF"/>
    <w:rsid w:val="7E3E236F"/>
    <w:rsid w:val="7E6D4A02"/>
    <w:rsid w:val="7E7A0C20"/>
    <w:rsid w:val="7EC10CE9"/>
    <w:rsid w:val="7ECA53B7"/>
    <w:rsid w:val="7EDA196C"/>
    <w:rsid w:val="7F343772"/>
    <w:rsid w:val="7F466FDA"/>
    <w:rsid w:val="7F7122D0"/>
    <w:rsid w:val="7F971C6A"/>
    <w:rsid w:val="7F9F20EE"/>
    <w:rsid w:val="7FC25586"/>
    <w:rsid w:val="7FEF0525"/>
    <w:rsid w:val="7FF11F9E"/>
    <w:rsid w:val="9E3A10E2"/>
    <w:rsid w:val="F2E1F9D4"/>
    <w:rsid w:val="F78808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qFormat="1"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41"/>
    <w:unhideWhenUsed/>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图表目录1"/>
    <w:basedOn w:val="3"/>
    <w:next w:val="1"/>
    <w:qFormat/>
    <w:uiPriority w:val="0"/>
    <w:pPr>
      <w:ind w:left="200" w:leftChars="200" w:hanging="200" w:hangingChars="200"/>
    </w:pPr>
    <w:rPr>
      <w:rFonts w:eastAsia="仿宋_GB2312"/>
      <w:sz w:val="32"/>
      <w:szCs w:val="24"/>
    </w:rPr>
  </w:style>
  <w:style w:type="paragraph" w:customStyle="1" w:styleId="3">
    <w:name w:val="Normal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styleId="7">
    <w:name w:val="Normal Indent"/>
    <w:basedOn w:val="1"/>
    <w:qFormat/>
    <w:uiPriority w:val="0"/>
    <w:pPr>
      <w:ind w:firstLine="420" w:firstLineChars="200"/>
    </w:pPr>
  </w:style>
  <w:style w:type="paragraph" w:styleId="8">
    <w:name w:val="Salutation"/>
    <w:basedOn w:val="1"/>
    <w:next w:val="1"/>
    <w:qFormat/>
    <w:uiPriority w:val="0"/>
  </w:style>
  <w:style w:type="paragraph" w:styleId="9">
    <w:name w:val="Body Text"/>
    <w:basedOn w:val="1"/>
    <w:next w:val="1"/>
    <w:link w:val="34"/>
    <w:qFormat/>
    <w:uiPriority w:val="99"/>
    <w:pPr>
      <w:spacing w:beforeLines="30"/>
    </w:pPr>
    <w:rPr>
      <w:rFonts w:ascii="仿宋_GB2312" w:eastAsia="仿宋_GB2312"/>
      <w:kern w:val="0"/>
      <w:sz w:val="30"/>
    </w:rPr>
  </w:style>
  <w:style w:type="paragraph" w:styleId="10">
    <w:name w:val="Body Text Indent"/>
    <w:basedOn w:val="1"/>
    <w:qFormat/>
    <w:uiPriority w:val="99"/>
    <w:pPr>
      <w:ind w:left="420" w:leftChars="200"/>
    </w:pPr>
  </w:style>
  <w:style w:type="paragraph" w:styleId="11">
    <w:name w:val="toc 3"/>
    <w:basedOn w:val="1"/>
    <w:next w:val="1"/>
    <w:unhideWhenUsed/>
    <w:qFormat/>
    <w:uiPriority w:val="39"/>
    <w:pPr>
      <w:tabs>
        <w:tab w:val="right" w:leader="dot" w:pos="8296"/>
      </w:tabs>
      <w:ind w:left="840" w:leftChars="400"/>
    </w:pPr>
  </w:style>
  <w:style w:type="paragraph" w:styleId="12">
    <w:name w:val="Plain Text"/>
    <w:basedOn w:val="1"/>
    <w:qFormat/>
    <w:uiPriority w:val="99"/>
    <w:rPr>
      <w:rFonts w:ascii="宋体" w:hAnsi="Courier New" w:eastAsia="宋体"/>
      <w:szCs w:val="21"/>
    </w:rPr>
  </w:style>
  <w:style w:type="paragraph" w:styleId="13">
    <w:name w:val="Balloon Text"/>
    <w:basedOn w:val="1"/>
    <w:link w:val="40"/>
    <w:semiHidden/>
    <w:unhideWhenUsed/>
    <w:qFormat/>
    <w:uiPriority w:val="99"/>
    <w:rPr>
      <w:sz w:val="18"/>
      <w:szCs w:val="18"/>
    </w:rPr>
  </w:style>
  <w:style w:type="paragraph" w:styleId="14">
    <w:name w:val="footer"/>
    <w:basedOn w:val="1"/>
    <w:link w:val="32"/>
    <w:qFormat/>
    <w:uiPriority w:val="99"/>
    <w:pPr>
      <w:tabs>
        <w:tab w:val="center" w:pos="4153"/>
        <w:tab w:val="right" w:pos="8306"/>
      </w:tabs>
      <w:snapToGrid w:val="0"/>
      <w:jc w:val="left"/>
    </w:pPr>
    <w:rPr>
      <w:rFonts w:ascii="Calibri" w:hAnsi="Calibri"/>
      <w:kern w:val="0"/>
      <w:sz w:val="18"/>
      <w:szCs w:val="18"/>
    </w:rPr>
  </w:style>
  <w:style w:type="paragraph" w:styleId="15">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7">
    <w:name w:val="table of figures"/>
    <w:basedOn w:val="1"/>
    <w:next w:val="1"/>
    <w:unhideWhenUsed/>
    <w:qFormat/>
    <w:uiPriority w:val="99"/>
    <w:pPr>
      <w:ind w:left="200" w:leftChars="200" w:hanging="200" w:hangingChars="200"/>
    </w:pPr>
    <w:rPr>
      <w:rFonts w:ascii="Times New Roman" w:eastAsia="仿宋_GB2312"/>
      <w:sz w:val="32"/>
      <w:szCs w:val="24"/>
    </w:rPr>
  </w:style>
  <w:style w:type="paragraph" w:styleId="18">
    <w:name w:val="toc 2"/>
    <w:basedOn w:val="1"/>
    <w:next w:val="1"/>
    <w:unhideWhenUsed/>
    <w:qFormat/>
    <w:uiPriority w:val="39"/>
    <w:pPr>
      <w:tabs>
        <w:tab w:val="right" w:leader="dot" w:pos="8296"/>
      </w:tabs>
      <w:ind w:left="420" w:leftChars="200"/>
    </w:pPr>
  </w:style>
  <w:style w:type="paragraph" w:styleId="1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0">
    <w:name w:val="Title"/>
    <w:basedOn w:val="1"/>
    <w:next w:val="1"/>
    <w:qFormat/>
    <w:uiPriority w:val="0"/>
    <w:pPr>
      <w:spacing w:before="240" w:after="60"/>
      <w:jc w:val="center"/>
      <w:outlineLvl w:val="0"/>
    </w:pPr>
    <w:rPr>
      <w:rFonts w:ascii="Arial" w:hAnsi="Arial" w:cs="Arial"/>
      <w:b/>
      <w:bCs/>
      <w:szCs w:val="32"/>
    </w:rPr>
  </w:style>
  <w:style w:type="paragraph" w:styleId="21">
    <w:name w:val="Body Text First Indent"/>
    <w:basedOn w:val="9"/>
    <w:unhideWhenUsed/>
    <w:qFormat/>
    <w:uiPriority w:val="99"/>
    <w:pPr>
      <w:ind w:firstLine="420" w:firstLineChars="100"/>
    </w:pPr>
  </w:style>
  <w:style w:type="paragraph" w:styleId="22">
    <w:name w:val="Body Text First Indent 2"/>
    <w:basedOn w:val="10"/>
    <w:next w:val="1"/>
    <w:qFormat/>
    <w:uiPriority w:val="99"/>
    <w:pPr>
      <w:ind w:firstLine="420" w:firstLineChars="200"/>
    </w:pPr>
  </w:style>
  <w:style w:type="character" w:styleId="25">
    <w:name w:val="Strong"/>
    <w:basedOn w:val="24"/>
    <w:qFormat/>
    <w:uiPriority w:val="99"/>
    <w:rPr>
      <w:b/>
    </w:rPr>
  </w:style>
  <w:style w:type="character" w:styleId="26">
    <w:name w:val="Emphasis"/>
    <w:basedOn w:val="24"/>
    <w:qFormat/>
    <w:uiPriority w:val="0"/>
    <w:rPr>
      <w:i/>
    </w:rPr>
  </w:style>
  <w:style w:type="character" w:styleId="27">
    <w:name w:val="Hyperlink"/>
    <w:basedOn w:val="24"/>
    <w:unhideWhenUsed/>
    <w:qFormat/>
    <w:uiPriority w:val="99"/>
    <w:rPr>
      <w:color w:val="0000FF" w:themeColor="hyperlink"/>
      <w:u w:val="single"/>
      <w14:textFill>
        <w14:solidFill>
          <w14:schemeClr w14:val="hlink"/>
        </w14:solidFill>
      </w14:textFill>
    </w:rPr>
  </w:style>
  <w:style w:type="paragraph" w:customStyle="1" w:styleId="28">
    <w:name w:val="table of figures1"/>
    <w:basedOn w:val="1"/>
    <w:next w:val="1"/>
    <w:qFormat/>
    <w:uiPriority w:val="0"/>
    <w:pPr>
      <w:ind w:left="200" w:leftChars="200" w:hanging="200" w:hangingChars="200"/>
    </w:pPr>
    <w:rPr>
      <w:rFonts w:hint="default" w:ascii="Times New Roman" w:eastAsia="仿宋_GB2312"/>
      <w:sz w:val="32"/>
      <w:szCs w:val="24"/>
    </w:rPr>
  </w:style>
  <w:style w:type="character" w:customStyle="1" w:styleId="29">
    <w:name w:val="Header Char"/>
    <w:basedOn w:val="24"/>
    <w:semiHidden/>
    <w:qFormat/>
    <w:uiPriority w:val="99"/>
    <w:rPr>
      <w:rFonts w:ascii="Times New Roman" w:hAnsi="Times New Roman"/>
      <w:sz w:val="18"/>
      <w:szCs w:val="18"/>
    </w:rPr>
  </w:style>
  <w:style w:type="character" w:customStyle="1" w:styleId="30">
    <w:name w:val="页眉 Char"/>
    <w:link w:val="15"/>
    <w:semiHidden/>
    <w:qFormat/>
    <w:locked/>
    <w:uiPriority w:val="99"/>
    <w:rPr>
      <w:sz w:val="18"/>
    </w:rPr>
  </w:style>
  <w:style w:type="character" w:customStyle="1" w:styleId="31">
    <w:name w:val="Footer Char"/>
    <w:basedOn w:val="24"/>
    <w:semiHidden/>
    <w:qFormat/>
    <w:uiPriority w:val="99"/>
    <w:rPr>
      <w:rFonts w:ascii="Times New Roman" w:hAnsi="Times New Roman"/>
      <w:sz w:val="18"/>
      <w:szCs w:val="18"/>
    </w:rPr>
  </w:style>
  <w:style w:type="character" w:customStyle="1" w:styleId="32">
    <w:name w:val="页脚 Char"/>
    <w:link w:val="14"/>
    <w:qFormat/>
    <w:locked/>
    <w:uiPriority w:val="99"/>
    <w:rPr>
      <w:sz w:val="18"/>
    </w:rPr>
  </w:style>
  <w:style w:type="character" w:customStyle="1" w:styleId="33">
    <w:name w:val="Body Text Char"/>
    <w:basedOn w:val="24"/>
    <w:semiHidden/>
    <w:qFormat/>
    <w:uiPriority w:val="99"/>
    <w:rPr>
      <w:rFonts w:ascii="Times New Roman" w:hAnsi="Times New Roman"/>
      <w:szCs w:val="24"/>
    </w:rPr>
  </w:style>
  <w:style w:type="character" w:customStyle="1" w:styleId="34">
    <w:name w:val="正文文本 Char"/>
    <w:link w:val="9"/>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6">
    <w:name w:val="List Paragraph"/>
    <w:basedOn w:val="1"/>
    <w:qFormat/>
    <w:uiPriority w:val="34"/>
    <w:pPr>
      <w:ind w:firstLine="420" w:firstLineChars="200"/>
    </w:pPr>
  </w:style>
  <w:style w:type="character" w:customStyle="1" w:styleId="37">
    <w:name w:val="标题 1 Char"/>
    <w:basedOn w:val="24"/>
    <w:link w:val="4"/>
    <w:qFormat/>
    <w:uiPriority w:val="9"/>
    <w:rPr>
      <w:rFonts w:ascii="Times New Roman" w:hAnsi="Times New Roman"/>
      <w:b/>
      <w:bCs/>
      <w:kern w:val="44"/>
      <w:sz w:val="44"/>
      <w:szCs w:val="44"/>
    </w:rPr>
  </w:style>
  <w:style w:type="character" w:customStyle="1" w:styleId="38">
    <w:name w:val="标题 2 Char"/>
    <w:basedOn w:val="24"/>
    <w:link w:val="5"/>
    <w:qFormat/>
    <w:uiPriority w:val="9"/>
    <w:rPr>
      <w:rFonts w:asciiTheme="majorHAnsi" w:hAnsiTheme="majorHAnsi" w:eastAsiaTheme="majorEastAsia" w:cstheme="majorBidi"/>
      <w:b/>
      <w:bCs/>
      <w:kern w:val="2"/>
      <w:sz w:val="32"/>
      <w:szCs w:val="32"/>
    </w:rPr>
  </w:style>
  <w:style w:type="paragraph" w:customStyle="1" w:styleId="3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0">
    <w:name w:val="批注框文本 Char"/>
    <w:basedOn w:val="24"/>
    <w:link w:val="13"/>
    <w:semiHidden/>
    <w:qFormat/>
    <w:uiPriority w:val="99"/>
    <w:rPr>
      <w:rFonts w:ascii="Times New Roman" w:hAnsi="Times New Roman"/>
      <w:kern w:val="2"/>
      <w:sz w:val="18"/>
      <w:szCs w:val="18"/>
    </w:rPr>
  </w:style>
  <w:style w:type="character" w:customStyle="1" w:styleId="41">
    <w:name w:val="标题 3 Char"/>
    <w:basedOn w:val="24"/>
    <w:link w:val="6"/>
    <w:qFormat/>
    <w:uiPriority w:val="9"/>
    <w:rPr>
      <w:rFonts w:ascii="Times New Roman" w:hAnsi="Times New Roman"/>
      <w:b/>
      <w:bCs/>
      <w:kern w:val="2"/>
      <w:sz w:val="32"/>
      <w:szCs w:val="32"/>
    </w:rPr>
  </w:style>
  <w:style w:type="paragraph" w:customStyle="1" w:styleId="42">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43">
    <w:name w:val="WPSOffice手动目录 1"/>
    <w:qFormat/>
    <w:uiPriority w:val="0"/>
    <w:pPr>
      <w:ind w:leftChars="0"/>
    </w:pPr>
    <w:rPr>
      <w:rFonts w:ascii="Times New Roman" w:hAnsi="Times New Roman" w:eastAsia="宋体" w:cs="Times New Roman"/>
      <w:sz w:val="20"/>
      <w:szCs w:val="20"/>
    </w:rPr>
  </w:style>
  <w:style w:type="paragraph" w:customStyle="1" w:styleId="44">
    <w:name w:val="WPSOffice手动目录 2"/>
    <w:qFormat/>
    <w:uiPriority w:val="0"/>
    <w:pPr>
      <w:ind w:leftChars="200"/>
    </w:pPr>
    <w:rPr>
      <w:rFonts w:ascii="Times New Roman" w:hAnsi="Times New Roman" w:eastAsia="宋体" w:cs="Times New Roman"/>
      <w:sz w:val="20"/>
      <w:szCs w:val="20"/>
    </w:rPr>
  </w:style>
  <w:style w:type="paragraph" w:customStyle="1" w:styleId="45">
    <w:name w:val="〖C01〗正文"/>
    <w:basedOn w:val="1"/>
    <w:qFormat/>
    <w:uiPriority w:val="0"/>
    <w:pPr>
      <w:topLinePunct/>
      <w:spacing w:line="600" w:lineRule="exact"/>
      <w:ind w:firstLine="640" w:firstLineChars="200"/>
    </w:pPr>
    <w:rPr>
      <w:rFonts w:ascii="仿宋_GB2312" w:hAnsi="Calibri" w:eastAsia="仿宋_GB2312"/>
      <w:sz w:val="32"/>
      <w:szCs w:val="32"/>
    </w:rPr>
  </w:style>
  <w:style w:type="paragraph" w:customStyle="1" w:styleId="46">
    <w:name w:val="〖B03〗三级标题"/>
    <w:basedOn w:val="1"/>
    <w:qFormat/>
    <w:uiPriority w:val="0"/>
    <w:pPr>
      <w:numPr>
        <w:ilvl w:val="0"/>
        <w:numId w:val="1"/>
      </w:numPr>
      <w:topLinePunct/>
      <w:spacing w:line="600" w:lineRule="exact"/>
      <w:outlineLvl w:val="2"/>
    </w:pPr>
    <w:rPr>
      <w:rFonts w:ascii="楷体_GB2312" w:hAnsi="Calibri" w:eastAsia="楷体_GB2312"/>
      <w:sz w:val="32"/>
      <w:szCs w:val="32"/>
    </w:rPr>
  </w:style>
  <w:style w:type="character" w:customStyle="1" w:styleId="47">
    <w:name w:val="NormalCharacter"/>
    <w:semiHidden/>
    <w:qFormat/>
    <w:uiPriority w:val="99"/>
  </w:style>
  <w:style w:type="paragraph" w:styleId="4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9">
    <w:name w:val="font61"/>
    <w:qFormat/>
    <w:uiPriority w:val="0"/>
    <w:rPr>
      <w:rFonts w:hint="default" w:ascii="Times New Roman" w:hAnsi="Times New Roman" w:eastAsia="楷体_GB2312" w:cs="Times New Roman"/>
      <w:sz w:val="32"/>
      <w:szCs w:val="24"/>
    </w:rPr>
  </w:style>
  <w:style w:type="paragraph" w:customStyle="1" w:styleId="50">
    <w:name w:val="〖B02〗二级标题"/>
    <w:next w:val="1"/>
    <w:qFormat/>
    <w:uiPriority w:val="0"/>
    <w:pPr>
      <w:widowControl w:val="0"/>
      <w:numPr>
        <w:ilvl w:val="0"/>
        <w:numId w:val="2"/>
      </w:numPr>
      <w:spacing w:line="600" w:lineRule="exact"/>
      <w:outlineLvl w:val="1"/>
    </w:pPr>
    <w:rPr>
      <w:rFonts w:ascii="楷体_GB2312" w:hAnsi="Calibri" w:eastAsia="楷体_GB2312" w:cs="Times New Roman"/>
      <w:kern w:val="2"/>
      <w:sz w:val="32"/>
      <w:szCs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88146465321395"/>
          <c:y val="0.248939495423086"/>
          <c:w val="0.847975410931445"/>
          <c:h val="0.622996204509935"/>
        </c:manualLayout>
      </c:layout>
      <c:barChart>
        <c:barDir val="col"/>
        <c:grouping val="clustered"/>
        <c:varyColors val="0"/>
        <c:ser>
          <c:idx val="0"/>
          <c:order val="0"/>
          <c:tx>
            <c:strRef>
              <c:f>Sheet1!$B$1</c:f>
              <c:strCache>
                <c:ptCount val="1"/>
                <c:pt idx="0">
                  <c:v>2020</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收入</c:v>
                </c:pt>
                <c:pt idx="1">
                  <c:v>支出</c:v>
                </c:pt>
              </c:strCache>
            </c:strRef>
          </c:cat>
          <c:val>
            <c:numRef>
              <c:f>Sheet1!$B$2:$B$3</c:f>
              <c:numCache>
                <c:formatCode>General</c:formatCode>
                <c:ptCount val="2"/>
                <c:pt idx="0">
                  <c:v>185.13</c:v>
                </c:pt>
                <c:pt idx="1">
                  <c:v>185.13</c:v>
                </c:pt>
              </c:numCache>
            </c:numRef>
          </c:val>
        </c:ser>
        <c:ser>
          <c:idx val="1"/>
          <c:order val="1"/>
          <c:tx>
            <c:strRef>
              <c:f>Sheet1!$C$1</c:f>
              <c:strCache>
                <c:ptCount val="1"/>
                <c:pt idx="0">
                  <c:v>2021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收入</c:v>
                </c:pt>
                <c:pt idx="1">
                  <c:v>支出</c:v>
                </c:pt>
              </c:strCache>
            </c:strRef>
          </c:cat>
          <c:val>
            <c:numRef>
              <c:f>Sheet1!$C$2:$C$3</c:f>
              <c:numCache>
                <c:formatCode>General</c:formatCode>
                <c:ptCount val="2"/>
                <c:pt idx="0">
                  <c:v>106.02</c:v>
                </c:pt>
                <c:pt idx="1">
                  <c:v>106.02</c:v>
                </c:pt>
              </c:numCache>
            </c:numRef>
          </c:val>
        </c:ser>
        <c:dLbls>
          <c:showLegendKey val="0"/>
          <c:showVal val="1"/>
          <c:showCatName val="0"/>
          <c:showSerName val="0"/>
          <c:showPercent val="0"/>
          <c:showBubbleSize val="0"/>
        </c:dLbls>
        <c:gapWidth val="164"/>
        <c:overlap val="-22"/>
        <c:axId val="787059476"/>
        <c:axId val="26589520"/>
      </c:barChart>
      <c:catAx>
        <c:axId val="787059476"/>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589520"/>
        <c:crosses val="autoZero"/>
        <c:auto val="1"/>
        <c:lblAlgn val="ctr"/>
        <c:lblOffset val="100"/>
        <c:noMultiLvlLbl val="0"/>
      </c:catAx>
      <c:valAx>
        <c:axId val="26589520"/>
        <c:scaling>
          <c:orientation val="minMax"/>
        </c:scaling>
        <c:delete val="0"/>
        <c:axPos val="l"/>
        <c:majorGridlines>
          <c:spPr>
            <a:ln>
              <a:solidFill>
                <a:schemeClr val="tx1">
                  <a:lumMod val="15000"/>
                  <a:lumOff val="85000"/>
                </a:schemeClr>
              </a:solidFill>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7059476"/>
        <c:crosses val="autoZero"/>
        <c:crossBetween val="between"/>
      </c:valAx>
      <c:spPr>
        <a:noFill/>
        <a:ln>
          <a:noFill/>
        </a:ln>
        <a:effectLst/>
      </c:spPr>
    </c:plotArea>
    <c:legend>
      <c:legendPos val="r"/>
      <c:layout>
        <c:manualLayout>
          <c:xMode val="edge"/>
          <c:yMode val="edge"/>
          <c:x val="0.473375"/>
          <c:y val="0.89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415278556041"/>
          <c:y val="0.189230103806228"/>
          <c:w val="0.432823505639325"/>
          <c:h val="0.698096389502181"/>
        </c:manualLayout>
      </c:layout>
      <c:pieChart>
        <c:varyColors val="1"/>
        <c:ser>
          <c:idx val="0"/>
          <c:order val="0"/>
          <c:tx>
            <c:strRef>
              <c:f>Sheet1!$B$1</c:f>
              <c:strCache>
                <c:ptCount val="1"/>
                <c:pt idx="0">
                  <c:v>列1</c:v>
                </c:pt>
              </c:strCache>
            </c:strRef>
          </c:tx>
          <c:spPr/>
          <c:explosion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dPt>
          <c:dPt>
            <c:idx val="6"/>
            <c:bubble3D val="0"/>
            <c:spPr>
              <a:pattFill prst="ltUpDiag">
                <a:fgClr>
                  <a:schemeClr val="accent1">
                    <a:lumMod val="60000"/>
                  </a:schemeClr>
                </a:fgClr>
                <a:bgClr>
                  <a:schemeClr val="accent1">
                    <a:lumMod val="60000"/>
                    <a:lumMod val="20000"/>
                    <a:lumOff val="80000"/>
                  </a:schemeClr>
                </a:bgClr>
              </a:pattFill>
              <a:ln w="19050">
                <a:solidFill>
                  <a:schemeClr val="lt1"/>
                </a:solidFill>
              </a:ln>
              <a:effectLst>
                <a:innerShdw blurRad="114300">
                  <a:schemeClr val="accent1">
                    <a:lumMod val="60000"/>
                  </a:schemeClr>
                </a:innerShdw>
              </a:effectLst>
            </c:spPr>
          </c:dPt>
          <c:dPt>
            <c:idx val="7"/>
            <c:bubble3D val="0"/>
            <c:spPr>
              <a:pattFill prst="ltUpDiag">
                <a:fgClr>
                  <a:schemeClr val="accent2">
                    <a:lumMod val="60000"/>
                  </a:schemeClr>
                </a:fgClr>
                <a:bgClr>
                  <a:schemeClr val="accent2">
                    <a:lumMod val="60000"/>
                    <a:lumMod val="20000"/>
                    <a:lumOff val="80000"/>
                  </a:schemeClr>
                </a:bgClr>
              </a:pattFill>
              <a:ln w="19050">
                <a:solidFill>
                  <a:schemeClr val="lt1"/>
                </a:solidFill>
              </a:ln>
              <a:effectLst>
                <a:innerShdw blurRad="114300">
                  <a:schemeClr val="accent2">
                    <a:lumMod val="60000"/>
                  </a:schemeClr>
                </a:innerShdw>
              </a:effectLst>
            </c:spPr>
          </c:dPt>
          <c:dLbls>
            <c:dLbl>
              <c:idx val="1"/>
              <c:layout>
                <c:manualLayout>
                  <c:x val="-0.086125"/>
                  <c:y val="0.0460118056606629"/>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2"/>
              <c:layout>
                <c:manualLayout>
                  <c:x val="0.058375"/>
                  <c:y val="-0.0116513233601841"/>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3"/>
              <c:layout>
                <c:manualLayout>
                  <c:x val="-0.324375"/>
                  <c:y val="0.0544858140309743"/>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4"/>
              <c:layout>
                <c:manualLayout>
                  <c:x val="-0.048125"/>
                  <c:y val="-0.0525028768699655"/>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5"/>
              <c:layout>
                <c:manualLayout>
                  <c:x val="-0.344625"/>
                  <c:y val="0.156936435238073"/>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6"/>
              <c:layout>
                <c:manualLayout>
                  <c:x val="0.17725"/>
                  <c:y val="0.0116513233601841"/>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7"/>
              <c:layout>
                <c:manualLayout>
                  <c:x val="0.179875"/>
                  <c:y val="0.0642980437284235"/>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106.02</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0"/>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415278556041"/>
          <c:y val="0.189230103806228"/>
          <c:w val="0.432823505639325"/>
          <c:h val="0.698096389502181"/>
        </c:manualLayout>
      </c:layout>
      <c:pieChart>
        <c:varyColors val="1"/>
        <c:ser>
          <c:idx val="0"/>
          <c:order val="0"/>
          <c:tx>
            <c:strRef>
              <c:f>Sheet1!$B$1</c:f>
              <c:strCache>
                <c:ptCount val="1"/>
                <c:pt idx="0">
                  <c:v>列1</c:v>
                </c:pt>
              </c:strCache>
            </c:strRef>
          </c:tx>
          <c:spPr/>
          <c:explosion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dPt>
          <c:dLbls>
            <c:dLbl>
              <c:idx val="0"/>
              <c:layout>
                <c:manualLayout>
                  <c:x val="-0.295341416719847"/>
                  <c:y val="0.10745320855615"/>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2"/>
              <c:layout>
                <c:manualLayout>
                  <c:x val="0.00472239948947033"/>
                  <c:y val="-0.0626671122994652"/>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3"/>
              <c:layout>
                <c:manualLayout>
                  <c:x val="-0.20293554562859"/>
                  <c:y val="-0.00334224598930481"/>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4"/>
              <c:layout>
                <c:manualLayout>
                  <c:x val="0.117166560306318"/>
                  <c:y val="0"/>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82.32</c:v>
                </c:pt>
                <c:pt idx="1">
                  <c:v>17.4</c:v>
                </c:pt>
                <c:pt idx="2">
                  <c:v>0</c:v>
                </c:pt>
                <c:pt idx="3">
                  <c:v>0</c:v>
                </c:pt>
                <c:pt idx="4">
                  <c:v>0</c:v>
                </c:pt>
              </c:numCache>
            </c:numRef>
          </c:val>
        </c:ser>
        <c:dLbls>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730306477345246"/>
          <c:y val="0.72040953654188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88146465321395"/>
          <c:y val="0.248939495423086"/>
          <c:w val="0.847975410931445"/>
          <c:h val="0.622996204509935"/>
        </c:manualLayout>
      </c:layout>
      <c:barChart>
        <c:barDir val="col"/>
        <c:grouping val="clustered"/>
        <c:varyColors val="0"/>
        <c:ser>
          <c:idx val="0"/>
          <c:order val="0"/>
          <c:tx>
            <c:strRef>
              <c:f>Sheet1!$B$1</c:f>
              <c:strCache>
                <c:ptCount val="1"/>
                <c:pt idx="0">
                  <c:v>2020</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Sheet1!$B$2:$B$3</c:f>
              <c:numCache>
                <c:formatCode>0.00_ </c:formatCode>
                <c:ptCount val="2"/>
                <c:pt idx="0">
                  <c:v>185.13</c:v>
                </c:pt>
                <c:pt idx="1">
                  <c:v>185.13</c:v>
                </c:pt>
              </c:numCache>
            </c:numRef>
          </c:val>
        </c:ser>
        <c:ser>
          <c:idx val="1"/>
          <c:order val="1"/>
          <c:tx>
            <c:strRef>
              <c:f>Sheet1!$C$1</c:f>
              <c:strCache>
                <c:ptCount val="1"/>
                <c:pt idx="0">
                  <c:v>2021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Sheet1!$C$2:$C$3</c:f>
              <c:numCache>
                <c:formatCode>0.00_ </c:formatCode>
                <c:ptCount val="2"/>
                <c:pt idx="0">
                  <c:v>106.02</c:v>
                </c:pt>
                <c:pt idx="1">
                  <c:v>106.02</c:v>
                </c:pt>
              </c:numCache>
            </c:numRef>
          </c:val>
        </c:ser>
        <c:dLbls>
          <c:showLegendKey val="0"/>
          <c:showVal val="1"/>
          <c:showCatName val="0"/>
          <c:showSerName val="0"/>
          <c:showPercent val="0"/>
          <c:showBubbleSize val="0"/>
        </c:dLbls>
        <c:gapWidth val="164"/>
        <c:overlap val="-22"/>
        <c:axId val="787059476"/>
        <c:axId val="26589520"/>
      </c:barChart>
      <c:catAx>
        <c:axId val="787059476"/>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589520"/>
        <c:crosses val="autoZero"/>
        <c:auto val="1"/>
        <c:lblAlgn val="ctr"/>
        <c:lblOffset val="100"/>
        <c:noMultiLvlLbl val="0"/>
      </c:catAx>
      <c:valAx>
        <c:axId val="26589520"/>
        <c:scaling>
          <c:orientation val="minMax"/>
        </c:scaling>
        <c:delete val="0"/>
        <c:axPos val="l"/>
        <c:majorGridlines>
          <c:spPr>
            <a:ln>
              <a:solidFill>
                <a:schemeClr val="tx1">
                  <a:lumMod val="15000"/>
                  <a:lumOff val="85000"/>
                </a:schemeClr>
              </a:solidFill>
            </a:ln>
            <a:effectLst/>
          </c:spPr>
        </c:majorGridlines>
        <c:numFmt formatCode="0.00_ "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7059476"/>
        <c:crosses val="autoZero"/>
        <c:crossBetween val="between"/>
      </c:valAx>
      <c:spPr>
        <a:noFill/>
        <a:ln>
          <a:noFill/>
        </a:ln>
        <a:effectLst/>
      </c:spPr>
    </c:plotArea>
    <c:legend>
      <c:legendPos val="r"/>
      <c:layout>
        <c:manualLayout>
          <c:xMode val="edge"/>
          <c:yMode val="edge"/>
          <c:x val="0.473375"/>
          <c:y val="0.89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88146465321395"/>
          <c:y val="0.248939495423086"/>
          <c:w val="0.847975410931445"/>
          <c:h val="0.622996204509935"/>
        </c:manualLayout>
      </c:layout>
      <c:barChart>
        <c:barDir val="col"/>
        <c:grouping val="clustered"/>
        <c:varyColors val="0"/>
        <c:ser>
          <c:idx val="0"/>
          <c:order val="0"/>
          <c:tx>
            <c:strRef>
              <c:f>Sheet1!$B$1</c:f>
              <c:strCache>
                <c:ptCount val="1"/>
                <c:pt idx="0">
                  <c:v>2020</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c:f>
              <c:strCache>
                <c:ptCount val="1"/>
                <c:pt idx="0">
                  <c:v>一般公共预算财政拨款支出</c:v>
                </c:pt>
              </c:strCache>
            </c:strRef>
          </c:cat>
          <c:val>
            <c:numRef>
              <c:f>Sheet1!$B$2</c:f>
              <c:numCache>
                <c:formatCode>#,##0.00</c:formatCode>
                <c:ptCount val="1"/>
                <c:pt idx="0">
                  <c:v>164.02</c:v>
                </c:pt>
              </c:numCache>
            </c:numRef>
          </c:val>
        </c:ser>
        <c:ser>
          <c:idx val="1"/>
          <c:order val="1"/>
          <c:tx>
            <c:strRef>
              <c:f>Sheet1!$C$1</c:f>
              <c:strCache>
                <c:ptCount val="1"/>
                <c:pt idx="0">
                  <c:v>2021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c:f>
              <c:strCache>
                <c:ptCount val="1"/>
                <c:pt idx="0">
                  <c:v>一般公共预算财政拨款支出</c:v>
                </c:pt>
              </c:strCache>
            </c:strRef>
          </c:cat>
          <c:val>
            <c:numRef>
              <c:f>Sheet1!$C$2</c:f>
              <c:numCache>
                <c:formatCode>0.00_ </c:formatCode>
                <c:ptCount val="1"/>
                <c:pt idx="0">
                  <c:v>99.72</c:v>
                </c:pt>
              </c:numCache>
            </c:numRef>
          </c:val>
        </c:ser>
        <c:dLbls>
          <c:showLegendKey val="0"/>
          <c:showVal val="1"/>
          <c:showCatName val="0"/>
          <c:showSerName val="0"/>
          <c:showPercent val="0"/>
          <c:showBubbleSize val="0"/>
        </c:dLbls>
        <c:gapWidth val="164"/>
        <c:overlap val="-22"/>
        <c:axId val="787059476"/>
        <c:axId val="26589520"/>
      </c:barChart>
      <c:catAx>
        <c:axId val="787059476"/>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589520"/>
        <c:crosses val="autoZero"/>
        <c:auto val="1"/>
        <c:lblAlgn val="ctr"/>
        <c:lblOffset val="100"/>
        <c:noMultiLvlLbl val="0"/>
      </c:catAx>
      <c:valAx>
        <c:axId val="26589520"/>
        <c:scaling>
          <c:orientation val="minMax"/>
        </c:scaling>
        <c:delete val="0"/>
        <c:axPos val="l"/>
        <c:majorGridlines>
          <c:spPr>
            <a:ln>
              <a:solidFill>
                <a:schemeClr val="tx1">
                  <a:lumMod val="15000"/>
                  <a:lumOff val="85000"/>
                </a:schemeClr>
              </a:solidFill>
            </a:ln>
            <a:effectLst/>
          </c:spPr>
        </c:majorGridlines>
        <c:numFmt formatCode="#,##0.00"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7059476"/>
        <c:crosses val="autoZero"/>
        <c:crossBetween val="between"/>
      </c:valAx>
      <c:spPr>
        <a:noFill/>
        <a:ln>
          <a:noFill/>
        </a:ln>
        <a:effectLst/>
      </c:spPr>
    </c:plotArea>
    <c:legend>
      <c:legendPos val="r"/>
      <c:layout>
        <c:manualLayout>
          <c:xMode val="edge"/>
          <c:yMode val="edge"/>
          <c:x val="0.180875"/>
          <c:y val="0.89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415278556041"/>
          <c:y val="0.189230103806228"/>
          <c:w val="0.432823505639325"/>
          <c:h val="0.698096389502181"/>
        </c:manualLayout>
      </c:layout>
      <c:pieChart>
        <c:varyColors val="1"/>
        <c:ser>
          <c:idx val="0"/>
          <c:order val="0"/>
          <c:tx>
            <c:strRef>
              <c:f>Sheet1!$B$1</c:f>
              <c:strCache>
                <c:ptCount val="1"/>
                <c:pt idx="0">
                  <c:v>列1</c:v>
                </c:pt>
              </c:strCache>
            </c:strRef>
          </c:tx>
          <c:spPr/>
          <c:explosion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dPt>
          <c:dLbls>
            <c:dLbl>
              <c:idx val="0"/>
              <c:layout>
                <c:manualLayout>
                  <c:x val="-0.282510219865208"/>
                  <c:y val="-0.00481991224408135"/>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1"/>
              <c:layout>
                <c:manualLayout>
                  <c:x val="-0.13773701800906"/>
                  <c:y val="0.128285273591007"/>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2"/>
              <c:layout>
                <c:manualLayout>
                  <c:x val="-0.11942034029389"/>
                  <c:y val="0.0513236329237169"/>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3"/>
              <c:layout>
                <c:manualLayout>
                  <c:x val="-0.0852944426030273"/>
                  <c:y val="-0.00350765306122449"/>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#,##0.00</c:formatCode>
                <c:ptCount val="4"/>
                <c:pt idx="0">
                  <c:v>85.88</c:v>
                </c:pt>
                <c:pt idx="1" c:formatCode="General">
                  <c:v>5.36</c:v>
                </c:pt>
                <c:pt idx="2" c:formatCode="General">
                  <c:v>2.07</c:v>
                </c:pt>
                <c:pt idx="3" c:formatCode="General">
                  <c:v>6.4</c:v>
                </c:pt>
              </c:numCache>
            </c:numRef>
          </c:val>
        </c:ser>
        <c:dLbls>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741"/>
          <c:y val="0.04990041910667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415278556041"/>
          <c:y val="0.189230103806228"/>
          <c:w val="0.432823505639325"/>
          <c:h val="0.698096389502181"/>
        </c:manualLayout>
      </c:layout>
      <c:pieChart>
        <c:varyColors val="1"/>
        <c:ser>
          <c:idx val="0"/>
          <c:order val="0"/>
          <c:tx>
            <c:strRef>
              <c:f>Sheet1!$B$1</c:f>
              <c:strCache>
                <c:ptCount val="1"/>
                <c:pt idx="0">
                  <c:v>列1</c:v>
                </c:pt>
              </c:strCache>
            </c:strRef>
          </c:tx>
          <c:spPr/>
          <c:explosion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Lbls>
            <c:dLbl>
              <c:idx val="0"/>
              <c:layout>
                <c:manualLayout>
                  <c:x val="0.0671748978013485"/>
                  <c:y val="0.100090802041633"/>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1"/>
              <c:layout>
                <c:manualLayout>
                  <c:x val="-0.13773701800906"/>
                  <c:y val="0.128285273591007"/>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2"/>
              <c:layout>
                <c:manualLayout>
                  <c:x val="-0.11942034029389"/>
                  <c:y val="0.0513236329237169"/>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0.52</c:v>
                </c:pt>
                <c:pt idx="2">
                  <c:v>0.16</c:v>
                </c:pt>
              </c:numCache>
            </c:numRef>
          </c:val>
        </c:ser>
        <c:dLbls>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665009391227489"/>
          <c:y val="0.0499043367346939"/>
          <c:w val="0.327256656723014"/>
          <c:h val="0.15098852040816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39</Pages>
  <Words>13212</Words>
  <Characters>14273</Characters>
  <Lines>61</Lines>
  <Paragraphs>17</Paragraphs>
  <TotalTime>3</TotalTime>
  <ScaleCrop>false</ScaleCrop>
  <LinksUpToDate>false</LinksUpToDate>
  <CharactersWithSpaces>14403</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2022-10-24T08:02:00Z</cp:lastPrinted>
  <dcterms:modified xsi:type="dcterms:W3CDTF">2022-11-28T03:03:59Z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43B119898DAD4F6E8E744DAEC00C7131</vt:lpwstr>
  </property>
</Properties>
</file>