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default" w:ascii="方正小标宋简体" w:hAnsi="宋体" w:eastAsia="方正小标宋简体"/>
          <w:color w:val="auto"/>
          <w:sz w:val="72"/>
          <w:szCs w:val="72"/>
          <w:highlight w:val="none"/>
          <w:lang w:val="en-US" w:eastAsia="zh-CN"/>
        </w:rPr>
      </w:pPr>
      <w:bookmarkStart w:id="0" w:name="_Toc15306267"/>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adjustRightInd w:val="0"/>
        <w:snapToGrid w:val="0"/>
        <w:spacing w:line="360" w:lineRule="auto"/>
        <w:jc w:val="center"/>
        <w:outlineLvl w:val="9"/>
        <w:rPr>
          <w:rFonts w:hint="eastAsia" w:ascii="黑体" w:hAnsi="黑体" w:eastAsia="黑体" w:cs="黑体"/>
          <w:color w:val="auto"/>
          <w:sz w:val="72"/>
          <w:szCs w:val="72"/>
          <w:highlight w:val="none"/>
          <w:lang w:val="en-US" w:eastAsia="zh-CN"/>
        </w:rPr>
      </w:pPr>
      <w:bookmarkStart w:id="1" w:name="_Toc15377193"/>
      <w:bookmarkStart w:id="2" w:name="_Toc15377425"/>
      <w:bookmarkStart w:id="3" w:name="_Toc6854"/>
      <w:bookmarkStart w:id="4" w:name="_Toc32679"/>
      <w:bookmarkStart w:id="5" w:name="_Toc15378441"/>
      <w:bookmarkStart w:id="6" w:name="_Toc15396597"/>
      <w:bookmarkStart w:id="7" w:name="_Toc15396475"/>
      <w:r>
        <w:rPr>
          <w:rFonts w:hint="eastAsia" w:ascii="黑体" w:hAnsi="黑体" w:eastAsia="黑体" w:cs="黑体"/>
          <w:color w:val="auto"/>
          <w:sz w:val="72"/>
          <w:szCs w:val="72"/>
          <w:highlight w:val="none"/>
        </w:rPr>
        <w:t>20</w:t>
      </w:r>
      <w:r>
        <w:rPr>
          <w:rFonts w:hint="eastAsia" w:ascii="黑体" w:hAnsi="黑体" w:eastAsia="黑体" w:cs="黑体"/>
          <w:color w:val="auto"/>
          <w:sz w:val="72"/>
          <w:szCs w:val="72"/>
          <w:highlight w:val="none"/>
          <w:lang w:val="en-US" w:eastAsia="zh-CN"/>
        </w:rPr>
        <w:t>22</w:t>
      </w:r>
      <w:r>
        <w:rPr>
          <w:rFonts w:hint="eastAsia" w:ascii="黑体" w:hAnsi="黑体" w:eastAsia="黑体" w:cs="黑体"/>
          <w:color w:val="auto"/>
          <w:sz w:val="72"/>
          <w:szCs w:val="72"/>
          <w:highlight w:val="none"/>
        </w:rPr>
        <w:t>年度</w:t>
      </w:r>
      <w:bookmarkEnd w:id="1"/>
      <w:bookmarkEnd w:id="2"/>
      <w:bookmarkEnd w:id="3"/>
      <w:bookmarkEnd w:id="4"/>
      <w:bookmarkEnd w:id="5"/>
      <w:bookmarkEnd w:id="6"/>
      <w:bookmarkEnd w:id="7"/>
    </w:p>
    <w:bookmarkEnd w:id="0"/>
    <w:p>
      <w:pPr>
        <w:adjustRightInd w:val="0"/>
        <w:snapToGrid w:val="0"/>
        <w:spacing w:line="360" w:lineRule="auto"/>
        <w:jc w:val="center"/>
        <w:outlineLvl w:val="9"/>
        <w:rPr>
          <w:rFonts w:hint="eastAsia" w:ascii="黑体" w:hAnsi="黑体" w:eastAsia="黑体" w:cs="黑体"/>
          <w:color w:val="auto"/>
          <w:sz w:val="72"/>
          <w:szCs w:val="72"/>
          <w:highlight w:val="none"/>
          <w:lang w:val="en-US" w:eastAsia="zh-CN"/>
        </w:rPr>
      </w:pPr>
      <w:bookmarkStart w:id="8" w:name="_Toc15396476"/>
      <w:bookmarkStart w:id="9" w:name="_Toc15377426"/>
      <w:bookmarkStart w:id="10" w:name="_Toc15378442"/>
      <w:bookmarkStart w:id="11" w:name="_Toc15306268"/>
      <w:bookmarkStart w:id="12" w:name="_Toc16067"/>
      <w:bookmarkStart w:id="13" w:name="_Toc22911"/>
      <w:bookmarkStart w:id="14" w:name="_Toc15396598"/>
      <w:bookmarkStart w:id="15" w:name="_Toc15377194"/>
      <w:r>
        <w:rPr>
          <w:rFonts w:hint="eastAsia" w:ascii="黑体" w:hAnsi="黑体" w:eastAsia="黑体" w:cs="黑体"/>
          <w:color w:val="auto"/>
          <w:sz w:val="72"/>
          <w:szCs w:val="72"/>
          <w:highlight w:val="none"/>
          <w:lang w:val="en-US" w:eastAsia="zh-CN"/>
        </w:rPr>
        <w:t>中共乐山市沙湾区委统一战线工作部</w:t>
      </w:r>
      <w:bookmarkEnd w:id="8"/>
      <w:bookmarkEnd w:id="9"/>
      <w:bookmarkEnd w:id="10"/>
      <w:bookmarkEnd w:id="11"/>
      <w:bookmarkEnd w:id="12"/>
      <w:bookmarkEnd w:id="13"/>
      <w:bookmarkEnd w:id="14"/>
      <w:bookmarkEnd w:id="15"/>
      <w:r>
        <w:rPr>
          <w:rFonts w:hint="eastAsia" w:ascii="黑体" w:hAnsi="黑体" w:eastAsia="黑体" w:cs="黑体"/>
          <w:b w:val="0"/>
          <w:bCs w:val="0"/>
          <w:color w:val="auto"/>
          <w:sz w:val="72"/>
          <w:szCs w:val="72"/>
          <w:highlight w:val="none"/>
          <w:lang w:val="en-US" w:eastAsia="zh-CN"/>
        </w:rPr>
        <w:t>部门决算</w:t>
      </w:r>
    </w:p>
    <w:p>
      <w:pPr>
        <w:spacing w:before="0" w:beforeLines="0" w:after="0" w:afterLines="0" w:line="240" w:lineRule="auto"/>
        <w:ind w:left="0" w:leftChars="0" w:right="0" w:rightChars="0" w:firstLine="0" w:firstLineChars="0"/>
        <w:jc w:val="center"/>
        <w:rPr>
          <w:rFonts w:hint="eastAsia" w:ascii="黑体" w:hAnsi="黑体" w:eastAsia="黑体" w:cs="黑体"/>
          <w:kern w:val="2"/>
          <w:sz w:val="18"/>
          <w:szCs w:val="21"/>
          <w:lang w:val="en-US" w:eastAsia="zh-CN" w:bidi="ar-SA"/>
        </w:rPr>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6" w:name="_Toc15396599"/>
      <w:bookmarkStart w:id="17" w:name="_Toc15377196"/>
    </w:p>
    <w:p>
      <w:pPr>
        <w:tabs>
          <w:tab w:val="center" w:pos="4213"/>
          <w:tab w:val="left" w:pos="6043"/>
        </w:tabs>
        <w:spacing w:before="0" w:beforeLines="0" w:after="0" w:afterLines="0" w:line="240" w:lineRule="auto"/>
        <w:ind w:left="0" w:leftChars="0" w:right="0" w:rightChars="0" w:firstLine="0" w:firstLineChars="0"/>
        <w:jc w:val="center"/>
        <w:rPr>
          <w:rFonts w:hint="eastAsia" w:ascii="宋体" w:hAnsi="宋体" w:cs="Times New Roman"/>
          <w:kern w:val="2"/>
          <w:sz w:val="15"/>
          <w:szCs w:val="18"/>
          <w:lang w:val="en-US" w:eastAsia="zh-CN" w:bidi="ar-SA"/>
        </w:rPr>
      </w:pPr>
      <w:r>
        <w:rPr>
          <w:rFonts w:hint="eastAsia" w:ascii="宋体" w:hAnsi="宋体" w:cs="Times New Roman"/>
          <w:kern w:val="2"/>
          <w:sz w:val="15"/>
          <w:szCs w:val="18"/>
          <w:lang w:val="en-US" w:eastAsia="zh-CN" w:bidi="ar-SA"/>
        </w:rPr>
        <w:tab/>
      </w:r>
    </w:p>
    <w:sdt>
      <w:sdtPr>
        <w:rPr>
          <w:rFonts w:ascii="宋体" w:hAnsi="宋体" w:eastAsia="宋体" w:cs="Times New Roman"/>
          <w:kern w:val="2"/>
          <w:sz w:val="15"/>
          <w:szCs w:val="18"/>
          <w:lang w:val="en-US" w:eastAsia="zh-CN" w:bidi="ar-SA"/>
        </w:rPr>
        <w:id w:val="147470373"/>
        <w15:color w:val="DBDBDB"/>
        <w:docPartObj>
          <w:docPartGallery w:val="Table of Contents"/>
          <w:docPartUnique/>
        </w:docPartObj>
      </w:sdtPr>
      <w:sdtEndPr>
        <w:rPr>
          <w:rFonts w:ascii="Times New Roman" w:hAnsi="Times New Roman" w:eastAsia="宋体" w:cs="Times New Roman"/>
          <w:b/>
          <w:kern w:val="2"/>
          <w:sz w:val="21"/>
          <w:szCs w:val="24"/>
          <w:lang w:val="en-US" w:eastAsia="zh-CN" w:bidi="ar-SA"/>
        </w:rPr>
      </w:sdtEndPr>
      <w:sdtContent>
        <w:p>
          <w:pPr>
            <w:tabs>
              <w:tab w:val="center" w:pos="4213"/>
              <w:tab w:val="left" w:pos="6043"/>
            </w:tabs>
            <w:spacing w:before="0" w:beforeLines="0" w:after="0" w:afterLines="0" w:line="240" w:lineRule="auto"/>
            <w:ind w:left="0" w:leftChars="0" w:right="0" w:rightChars="0" w:firstLine="0" w:firstLineChars="0"/>
            <w:jc w:val="center"/>
            <w:rPr>
              <w:rFonts w:hint="eastAsia" w:ascii="黑体" w:hAnsi="黑体" w:eastAsia="黑体"/>
              <w:color w:val="auto"/>
              <w:sz w:val="36"/>
              <w:szCs w:val="36"/>
              <w:highlight w:val="none"/>
              <w:lang w:eastAsia="zh-CN"/>
            </w:rPr>
          </w:pPr>
          <w:r>
            <w:rPr>
              <w:rFonts w:hint="eastAsia" w:ascii="黑体" w:hAnsi="黑体" w:eastAsia="黑体"/>
              <w:color w:val="auto"/>
              <w:sz w:val="36"/>
              <w:szCs w:val="36"/>
              <w:highlight w:val="none"/>
            </w:rPr>
            <w:t>目录</w:t>
          </w:r>
        </w:p>
        <w:p>
          <w:pPr>
            <w:tabs>
              <w:tab w:val="center" w:pos="4213"/>
              <w:tab w:val="left" w:pos="6778"/>
              <w:tab w:val="right" w:leader="dot" w:pos="8296"/>
            </w:tabs>
            <w:jc w:val="center"/>
            <w:rPr>
              <w:rFonts w:ascii="Times New Roman" w:hAnsi="Times New Roman" w:eastAsia="宋体" w:cs="Times New Roman"/>
              <w:kern w:val="2"/>
              <w:sz w:val="21"/>
              <w:szCs w:val="24"/>
              <w:lang w:val="en-US" w:eastAsia="zh-CN" w:bidi="ar-SA"/>
            </w:rPr>
          </w:pPr>
          <w:r>
            <w:rPr>
              <w:rFonts w:hint="eastAsia" w:ascii="仿宋" w:hAnsi="仿宋" w:eastAsia="仿宋" w:cs="仿宋"/>
              <w:color w:val="auto"/>
              <w:sz w:val="24"/>
              <w:szCs w:val="24"/>
              <w:highlight w:val="none"/>
            </w:rPr>
            <w:t>公开时间：20</w:t>
          </w:r>
          <w:r>
            <w:rPr>
              <w:rFonts w:hint="eastAsia" w:ascii="仿宋" w:hAnsi="仿宋" w:eastAsia="仿宋" w:cs="仿宋"/>
              <w:color w:val="auto"/>
              <w:sz w:val="24"/>
              <w:szCs w:val="24"/>
              <w:highlight w:val="none"/>
              <w:lang w:val="en-US" w:eastAsia="zh-CN"/>
            </w:rPr>
            <w:t>23</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26</w:t>
          </w:r>
          <w:r>
            <w:rPr>
              <w:rFonts w:hint="eastAsia" w:ascii="仿宋" w:hAnsi="仿宋" w:eastAsia="仿宋" w:cs="仿宋"/>
              <w:color w:val="auto"/>
              <w:sz w:val="24"/>
              <w:szCs w:val="24"/>
              <w:highlight w:val="none"/>
            </w:rPr>
            <w:t>日</w:t>
          </w:r>
          <w:r>
            <w:rPr>
              <w:rFonts w:hint="eastAsia"/>
              <w:color w:val="auto"/>
              <w:sz w:val="24"/>
              <w:szCs w:val="24"/>
              <w:highlight w:val="none"/>
              <w:lang w:eastAsia="zh-CN"/>
            </w:rPr>
            <w:tab/>
          </w:r>
          <w:r>
            <w:fldChar w:fldCharType="begin"/>
          </w:r>
          <w:r>
            <w:instrText xml:space="preserve">TOC \o "1-2" \h \u </w:instrText>
          </w:r>
          <w:r>
            <w:fldChar w:fldCharType="separate"/>
          </w:r>
        </w:p>
        <w:p>
          <w:pPr>
            <w:pStyle w:val="15"/>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_Toc27318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 xml:space="preserve">第一部分 </w:t>
          </w:r>
          <w:r>
            <w:rPr>
              <w:rFonts w:hint="eastAsia" w:cs="仿宋"/>
              <w:bCs w:val="0"/>
              <w:sz w:val="28"/>
              <w:szCs w:val="28"/>
              <w:highlight w:val="none"/>
              <w:lang w:val="en-US" w:eastAsia="zh-CN"/>
            </w:rPr>
            <w:t>部门</w:t>
          </w:r>
          <w:r>
            <w:rPr>
              <w:rFonts w:hint="eastAsia" w:ascii="仿宋" w:hAnsi="仿宋" w:eastAsia="仿宋" w:cs="仿宋"/>
              <w:bCs w:val="0"/>
              <w:sz w:val="28"/>
              <w:szCs w:val="28"/>
              <w:highlight w:val="none"/>
            </w:rPr>
            <w:t>概况</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_Toc27318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_Toc25415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一、</w:t>
          </w:r>
          <w:r>
            <w:rPr>
              <w:rFonts w:hint="eastAsia" w:ascii="仿宋" w:hAnsi="仿宋" w:eastAsia="仿宋" w:cs="仿宋"/>
              <w:sz w:val="28"/>
              <w:szCs w:val="28"/>
              <w:highlight w:val="none"/>
              <w:lang w:val="en-US" w:eastAsia="zh-CN"/>
            </w:rPr>
            <w:t>部门职责</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_Toc25415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_Toc6935 </w:instrText>
          </w:r>
          <w:r>
            <w:rPr>
              <w:rFonts w:hint="eastAsia" w:ascii="仿宋" w:hAnsi="仿宋" w:eastAsia="仿宋" w:cs="仿宋"/>
              <w:sz w:val="28"/>
              <w:szCs w:val="28"/>
            </w:rPr>
            <w:fldChar w:fldCharType="separate"/>
          </w:r>
          <w:r>
            <w:rPr>
              <w:rFonts w:hint="eastAsia" w:ascii="仿宋" w:hAnsi="仿宋" w:eastAsia="仿宋" w:cs="仿宋"/>
              <w:bCs w:val="0"/>
              <w:sz w:val="28"/>
              <w:szCs w:val="28"/>
              <w:highlight w:val="none"/>
            </w:rPr>
            <w:t>二、机构设置</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_Toc6935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5"/>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_Toc1354 </w:instrText>
          </w:r>
          <w:r>
            <w:rPr>
              <w:rFonts w:hint="eastAsia" w:ascii="仿宋" w:hAnsi="仿宋" w:eastAsia="仿宋" w:cs="仿宋"/>
              <w:sz w:val="28"/>
              <w:szCs w:val="28"/>
            </w:rPr>
            <w:fldChar w:fldCharType="separate"/>
          </w:r>
          <w:r>
            <w:rPr>
              <w:rFonts w:hint="eastAsia" w:ascii="仿宋" w:hAnsi="仿宋" w:eastAsia="仿宋" w:cs="仿宋"/>
              <w:bCs/>
              <w:sz w:val="28"/>
              <w:szCs w:val="28"/>
              <w:highlight w:val="none"/>
            </w:rPr>
            <w:t xml:space="preserve">第二部分 </w:t>
          </w:r>
          <w:r>
            <w:rPr>
              <w:rFonts w:hint="eastAsia" w:ascii="仿宋" w:hAnsi="仿宋" w:eastAsia="仿宋" w:cs="仿宋"/>
              <w:bCs/>
              <w:sz w:val="28"/>
              <w:szCs w:val="28"/>
              <w:highlight w:val="none"/>
              <w:lang w:val="en-US" w:eastAsia="zh-CN"/>
            </w:rPr>
            <w:t>2022年度</w:t>
          </w:r>
          <w:r>
            <w:rPr>
              <w:rFonts w:hint="eastAsia" w:cs="仿宋"/>
              <w:bCs/>
              <w:sz w:val="28"/>
              <w:szCs w:val="28"/>
              <w:highlight w:val="none"/>
              <w:lang w:val="en-US" w:eastAsia="zh-CN"/>
            </w:rPr>
            <w:t>部门决算</w:t>
          </w:r>
          <w:r>
            <w:rPr>
              <w:rFonts w:hint="eastAsia" w:ascii="仿宋" w:hAnsi="仿宋" w:eastAsia="仿宋" w:cs="仿宋"/>
              <w:bCs/>
              <w:sz w:val="28"/>
              <w:szCs w:val="28"/>
              <w:highlight w:val="none"/>
            </w:rPr>
            <w:t>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_Toc1354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_Toc9866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一、 </w:t>
          </w:r>
          <w:r>
            <w:rPr>
              <w:rFonts w:hint="eastAsia" w:ascii="仿宋" w:hAnsi="仿宋" w:eastAsia="仿宋" w:cs="仿宋"/>
              <w:sz w:val="28"/>
              <w:szCs w:val="28"/>
              <w:highlight w:val="none"/>
            </w:rPr>
            <w:t>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_Toc9866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_Toc24885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二、 </w:t>
          </w:r>
          <w:r>
            <w:rPr>
              <w:rFonts w:hint="eastAsia" w:ascii="仿宋" w:hAnsi="仿宋" w:eastAsia="仿宋" w:cs="仿宋"/>
              <w:sz w:val="28"/>
              <w:szCs w:val="28"/>
              <w:highlight w:val="none"/>
            </w:rPr>
            <w:t>收入决算情况说明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_Toc24885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_Toc23584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三、 </w:t>
          </w:r>
          <w:r>
            <w:rPr>
              <w:rFonts w:hint="eastAsia" w:ascii="仿宋" w:hAnsi="仿宋" w:eastAsia="仿宋" w:cs="仿宋"/>
              <w:sz w:val="28"/>
              <w:szCs w:val="28"/>
              <w:highlight w:val="none"/>
            </w:rPr>
            <w:t>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_Toc23584 \h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_Toc6153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四、财政拨款收入支出决算总体情况说明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_Toc6153 \h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_Toc5631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五、一般公共预算财政拨款支出决算情况说明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_Toc5631 \h </w:instrText>
          </w:r>
          <w:r>
            <w:rPr>
              <w:rFonts w:hint="eastAsia" w:ascii="仿宋" w:hAnsi="仿宋" w:eastAsia="仿宋" w:cs="仿宋"/>
              <w:sz w:val="28"/>
              <w:szCs w:val="28"/>
            </w:rPr>
            <w:fldChar w:fldCharType="separate"/>
          </w:r>
          <w:r>
            <w:rPr>
              <w:rFonts w:hint="eastAsia" w:ascii="仿宋" w:hAnsi="仿宋" w:eastAsia="仿宋" w:cs="仿宋"/>
              <w:sz w:val="28"/>
              <w:szCs w:val="28"/>
            </w:rPr>
            <w:t>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_Toc8186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六、一般公共预算财政拨款基本支出决算情况说明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_Toc8186 \h </w:instrText>
          </w:r>
          <w:r>
            <w:rPr>
              <w:rFonts w:hint="eastAsia" w:ascii="仿宋" w:hAnsi="仿宋" w:eastAsia="仿宋" w:cs="仿宋"/>
              <w:sz w:val="28"/>
              <w:szCs w:val="28"/>
            </w:rPr>
            <w:fldChar w:fldCharType="separate"/>
          </w:r>
          <w:r>
            <w:rPr>
              <w:rFonts w:hint="eastAsia" w:ascii="仿宋" w:hAnsi="仿宋" w:eastAsia="仿宋" w:cs="仿宋"/>
              <w:sz w:val="28"/>
              <w:szCs w:val="28"/>
            </w:rPr>
            <w:t>13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_Toc27557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七、</w:t>
          </w:r>
          <w:r>
            <w:rPr>
              <w:rFonts w:hint="eastAsia" w:ascii="仿宋" w:hAnsi="仿宋" w:eastAsia="仿宋" w:cs="仿宋"/>
              <w:sz w:val="28"/>
              <w:szCs w:val="28"/>
            </w:rPr>
            <w:t>财政拨款“三公”经费支出决算情况说明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_Toc27557 \h </w:instrText>
          </w:r>
          <w:r>
            <w:rPr>
              <w:rFonts w:hint="eastAsia" w:ascii="仿宋" w:hAnsi="仿宋" w:eastAsia="仿宋" w:cs="仿宋"/>
              <w:sz w:val="28"/>
              <w:szCs w:val="28"/>
            </w:rPr>
            <w:fldChar w:fldCharType="separate"/>
          </w:r>
          <w:r>
            <w:rPr>
              <w:rFonts w:hint="eastAsia" w:ascii="仿宋" w:hAnsi="仿宋" w:eastAsia="仿宋" w:cs="仿宋"/>
              <w:sz w:val="28"/>
              <w:szCs w:val="28"/>
            </w:rPr>
            <w:t>15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_Toc11326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八、政府性基金预算支出决算情况说明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_Toc11326 \h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_Toc7771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九、 </w:t>
          </w:r>
          <w:r>
            <w:rPr>
              <w:rFonts w:hint="eastAsia" w:ascii="仿宋" w:hAnsi="仿宋" w:eastAsia="仿宋" w:cs="仿宋"/>
              <w:sz w:val="28"/>
              <w:szCs w:val="28"/>
              <w:highlight w:val="none"/>
            </w:rPr>
            <w:t>国有资本经营预算支出决算情况说明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_Toc7771 \h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_Toc4155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十、 </w:t>
          </w:r>
          <w:r>
            <w:rPr>
              <w:rFonts w:hint="eastAsia" w:ascii="仿宋" w:hAnsi="仿宋" w:eastAsia="仿宋" w:cs="仿宋"/>
              <w:sz w:val="28"/>
              <w:szCs w:val="28"/>
              <w:highlight w:val="none"/>
            </w:rPr>
            <w:t>其他重要事项的情况说明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_Toc4155 \h </w:instrText>
          </w:r>
          <w:r>
            <w:rPr>
              <w:rFonts w:hint="eastAsia" w:ascii="仿宋" w:hAnsi="仿宋" w:eastAsia="仿宋" w:cs="仿宋"/>
              <w:sz w:val="28"/>
              <w:szCs w:val="28"/>
            </w:rPr>
            <w:fldChar w:fldCharType="separate"/>
          </w:r>
          <w:r>
            <w:rPr>
              <w:rFonts w:hint="eastAsia" w:ascii="仿宋" w:hAnsi="仿宋" w:eastAsia="仿宋" w:cs="仿宋"/>
              <w:sz w:val="28"/>
              <w:szCs w:val="28"/>
            </w:rPr>
            <w:t>16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5"/>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_Toc30245 </w:instrText>
          </w:r>
          <w:r>
            <w:rPr>
              <w:rFonts w:hint="eastAsia" w:ascii="仿宋" w:hAnsi="仿宋" w:eastAsia="仿宋" w:cs="仿宋"/>
              <w:sz w:val="28"/>
              <w:szCs w:val="28"/>
            </w:rPr>
            <w:fldChar w:fldCharType="separate"/>
          </w:r>
          <w:r>
            <w:rPr>
              <w:rFonts w:hint="eastAsia" w:ascii="仿宋" w:hAnsi="仿宋" w:eastAsia="仿宋" w:cs="仿宋"/>
              <w:sz w:val="28"/>
              <w:szCs w:val="28"/>
            </w:rPr>
            <w:t xml:space="preserve">第三部分 </w:t>
          </w:r>
          <w:r>
            <w:rPr>
              <w:rFonts w:hint="eastAsia" w:ascii="仿宋" w:hAnsi="仿宋" w:eastAsia="仿宋" w:cs="仿宋"/>
              <w:sz w:val="28"/>
              <w:szCs w:val="28"/>
              <w:highlight w:val="none"/>
            </w:rPr>
            <w:t>名词解释</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_Toc30245 \h </w:instrText>
          </w:r>
          <w:r>
            <w:rPr>
              <w:rFonts w:hint="eastAsia" w:ascii="仿宋" w:hAnsi="仿宋" w:eastAsia="仿宋" w:cs="仿宋"/>
              <w:sz w:val="28"/>
              <w:szCs w:val="28"/>
            </w:rPr>
            <w:fldChar w:fldCharType="separate"/>
          </w:r>
          <w:r>
            <w:rPr>
              <w:rFonts w:hint="eastAsia" w:ascii="仿宋" w:hAnsi="仿宋" w:eastAsia="仿宋" w:cs="仿宋"/>
              <w:sz w:val="28"/>
              <w:szCs w:val="28"/>
            </w:rPr>
            <w:t>19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5"/>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_Toc5431 </w:instrText>
          </w:r>
          <w:r>
            <w:rPr>
              <w:rFonts w:hint="eastAsia" w:ascii="仿宋" w:hAnsi="仿宋" w:eastAsia="仿宋" w:cs="仿宋"/>
              <w:sz w:val="28"/>
              <w:szCs w:val="28"/>
            </w:rPr>
            <w:fldChar w:fldCharType="separate"/>
          </w:r>
          <w:r>
            <w:rPr>
              <w:rFonts w:hint="eastAsia" w:ascii="仿宋" w:hAnsi="仿宋" w:eastAsia="仿宋" w:cs="仿宋"/>
              <w:sz w:val="28"/>
              <w:szCs w:val="28"/>
              <w:highlight w:val="none"/>
            </w:rPr>
            <w:t>第四部分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_Toc5431 \h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5"/>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_Toc1564 </w:instrText>
          </w:r>
          <w:r>
            <w:rPr>
              <w:rFonts w:hint="eastAsia" w:ascii="仿宋" w:hAnsi="仿宋" w:eastAsia="仿宋" w:cs="仿宋"/>
              <w:sz w:val="28"/>
              <w:szCs w:val="28"/>
            </w:rPr>
            <w:fldChar w:fldCharType="separate"/>
          </w:r>
          <w:r>
            <w:rPr>
              <w:rFonts w:hint="eastAsia" w:ascii="仿宋" w:hAnsi="仿宋" w:eastAsia="仿宋" w:cs="仿宋"/>
              <w:sz w:val="28"/>
              <w:szCs w:val="28"/>
            </w:rPr>
            <w:t>第五部分 附表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_Toc1564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_Toc16308 </w:instrText>
          </w:r>
          <w:r>
            <w:rPr>
              <w:rFonts w:hint="eastAsia" w:ascii="仿宋" w:hAnsi="仿宋" w:eastAsia="仿宋" w:cs="仿宋"/>
              <w:sz w:val="28"/>
              <w:szCs w:val="28"/>
            </w:rPr>
            <w:fldChar w:fldCharType="separate"/>
          </w:r>
          <w:r>
            <w:rPr>
              <w:rFonts w:hint="eastAsia" w:ascii="仿宋" w:hAnsi="仿宋" w:eastAsia="仿宋" w:cs="仿宋"/>
              <w:sz w:val="28"/>
              <w:szCs w:val="28"/>
            </w:rPr>
            <w:t>一、收</w:t>
          </w:r>
          <w:r>
            <w:rPr>
              <w:rFonts w:hint="eastAsia" w:ascii="仿宋" w:hAnsi="仿宋" w:eastAsia="仿宋" w:cs="仿宋"/>
              <w:bCs w:val="0"/>
              <w:sz w:val="28"/>
              <w:szCs w:val="28"/>
            </w:rPr>
            <w:t>入支出决算总表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_Toc16308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_Toc15139 </w:instrText>
          </w:r>
          <w:r>
            <w:rPr>
              <w:rFonts w:hint="eastAsia" w:ascii="仿宋" w:hAnsi="仿宋" w:eastAsia="仿宋" w:cs="仿宋"/>
              <w:sz w:val="28"/>
              <w:szCs w:val="28"/>
            </w:rPr>
            <w:fldChar w:fldCharType="separate"/>
          </w:r>
          <w:r>
            <w:rPr>
              <w:rFonts w:hint="eastAsia" w:ascii="仿宋" w:hAnsi="仿宋" w:eastAsia="仿宋" w:cs="仿宋"/>
              <w:sz w:val="28"/>
              <w:szCs w:val="28"/>
            </w:rPr>
            <w:t>二、收</w:t>
          </w:r>
          <w:r>
            <w:rPr>
              <w:rFonts w:hint="eastAsia" w:ascii="仿宋" w:hAnsi="仿宋" w:eastAsia="仿宋" w:cs="仿宋"/>
              <w:bCs w:val="0"/>
              <w:sz w:val="28"/>
              <w:szCs w:val="28"/>
            </w:rPr>
            <w:t>入决算表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_Toc15139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_Toc13608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三、</w:t>
          </w:r>
          <w:r>
            <w:rPr>
              <w:rFonts w:hint="eastAsia" w:ascii="仿宋" w:hAnsi="仿宋" w:eastAsia="仿宋" w:cs="仿宋"/>
              <w:sz w:val="28"/>
              <w:szCs w:val="28"/>
            </w:rPr>
            <w:t>支</w:t>
          </w:r>
          <w:r>
            <w:rPr>
              <w:rFonts w:hint="eastAsia" w:ascii="仿宋" w:hAnsi="仿宋" w:eastAsia="仿宋" w:cs="仿宋"/>
              <w:bCs w:val="0"/>
              <w:sz w:val="28"/>
              <w:szCs w:val="28"/>
            </w:rPr>
            <w:t>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_Toc13608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_Toc4944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四、</w:t>
          </w:r>
          <w:r>
            <w:rPr>
              <w:rFonts w:hint="eastAsia" w:ascii="仿宋" w:hAnsi="仿宋" w:eastAsia="仿宋" w:cs="仿宋"/>
              <w:sz w:val="28"/>
              <w:szCs w:val="28"/>
            </w:rPr>
            <w:t>财</w:t>
          </w:r>
          <w:r>
            <w:rPr>
              <w:rFonts w:hint="eastAsia" w:ascii="仿宋" w:hAnsi="仿宋" w:eastAsia="仿宋" w:cs="仿宋"/>
              <w:bCs w:val="0"/>
              <w:sz w:val="28"/>
              <w:szCs w:val="28"/>
            </w:rPr>
            <w:t>政拨款收入支出决算总表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_Toc4944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_Toc8352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五、</w:t>
          </w:r>
          <w:r>
            <w:rPr>
              <w:rFonts w:hint="eastAsia" w:ascii="仿宋" w:hAnsi="仿宋" w:eastAsia="仿宋" w:cs="仿宋"/>
              <w:sz w:val="28"/>
              <w:szCs w:val="28"/>
            </w:rPr>
            <w:t>财</w:t>
          </w:r>
          <w:r>
            <w:rPr>
              <w:rFonts w:hint="eastAsia" w:ascii="仿宋" w:hAnsi="仿宋" w:eastAsia="仿宋" w:cs="仿宋"/>
              <w:bCs w:val="0"/>
              <w:sz w:val="28"/>
              <w:szCs w:val="28"/>
            </w:rPr>
            <w:t>政拨款支出决算明细表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_Toc8352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_Toc7178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六、</w:t>
          </w:r>
          <w:r>
            <w:rPr>
              <w:rFonts w:hint="eastAsia" w:ascii="仿宋" w:hAnsi="仿宋" w:eastAsia="仿宋" w:cs="仿宋"/>
              <w:sz w:val="28"/>
              <w:szCs w:val="28"/>
            </w:rPr>
            <w:t>一</w:t>
          </w:r>
          <w:r>
            <w:rPr>
              <w:rFonts w:hint="eastAsia" w:ascii="仿宋" w:hAnsi="仿宋" w:eastAsia="仿宋" w:cs="仿宋"/>
              <w:bCs w:val="0"/>
              <w:sz w:val="28"/>
              <w:szCs w:val="28"/>
            </w:rPr>
            <w:t>般公共预算财政拨款支出决算表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_Toc7178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_Toc12201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七、</w:t>
          </w:r>
          <w:r>
            <w:rPr>
              <w:rFonts w:hint="eastAsia" w:ascii="仿宋" w:hAnsi="仿宋" w:eastAsia="仿宋" w:cs="仿宋"/>
              <w:sz w:val="28"/>
              <w:szCs w:val="28"/>
            </w:rPr>
            <w:t>一</w:t>
          </w:r>
          <w:r>
            <w:rPr>
              <w:rFonts w:hint="eastAsia" w:ascii="仿宋" w:hAnsi="仿宋" w:eastAsia="仿宋" w:cs="仿宋"/>
              <w:bCs w:val="0"/>
              <w:sz w:val="28"/>
              <w:szCs w:val="28"/>
            </w:rPr>
            <w:t>般公共预算财政拨款支出决算明细表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_Toc12201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_Toc21345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八、</w:t>
          </w:r>
          <w:r>
            <w:rPr>
              <w:rFonts w:hint="eastAsia" w:ascii="仿宋" w:hAnsi="仿宋" w:eastAsia="仿宋" w:cs="仿宋"/>
              <w:sz w:val="28"/>
              <w:szCs w:val="28"/>
            </w:rPr>
            <w:t>一</w:t>
          </w:r>
          <w:r>
            <w:rPr>
              <w:rFonts w:hint="eastAsia" w:ascii="仿宋" w:hAnsi="仿宋" w:eastAsia="仿宋" w:cs="仿宋"/>
              <w:bCs w:val="0"/>
              <w:sz w:val="28"/>
              <w:szCs w:val="28"/>
            </w:rPr>
            <w:t>般公共预算财政拨款基本支出决算表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_Toc21345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_Toc15338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九、</w:t>
          </w:r>
          <w:r>
            <w:rPr>
              <w:rFonts w:hint="eastAsia" w:ascii="仿宋" w:hAnsi="仿宋" w:eastAsia="仿宋" w:cs="仿宋"/>
              <w:sz w:val="28"/>
              <w:szCs w:val="28"/>
            </w:rPr>
            <w:t>一</w:t>
          </w:r>
          <w:r>
            <w:rPr>
              <w:rFonts w:hint="eastAsia" w:ascii="仿宋" w:hAnsi="仿宋" w:eastAsia="仿宋" w:cs="仿宋"/>
              <w:bCs w:val="0"/>
              <w:sz w:val="28"/>
              <w:szCs w:val="28"/>
            </w:rPr>
            <w:t>般公共预算财政拨款项目支出决算表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_Toc15338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_Toc30958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十、</w:t>
          </w:r>
          <w:r>
            <w:rPr>
              <w:rFonts w:hint="eastAsia" w:ascii="仿宋" w:hAnsi="仿宋" w:eastAsia="仿宋" w:cs="仿宋"/>
              <w:sz w:val="28"/>
              <w:szCs w:val="28"/>
            </w:rPr>
            <w:t>政</w:t>
          </w:r>
          <w:r>
            <w:rPr>
              <w:rFonts w:hint="eastAsia" w:ascii="仿宋" w:hAnsi="仿宋" w:eastAsia="仿宋" w:cs="仿宋"/>
              <w:bCs w:val="0"/>
              <w:sz w:val="28"/>
              <w:szCs w:val="28"/>
            </w:rPr>
            <w:t>府性基金预算财政拨款收入支出决算表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_Toc30958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_Toc18680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十一、</w:t>
          </w:r>
          <w:r>
            <w:rPr>
              <w:rFonts w:hint="eastAsia" w:ascii="仿宋" w:hAnsi="仿宋" w:eastAsia="仿宋" w:cs="仿宋"/>
              <w:sz w:val="28"/>
              <w:szCs w:val="28"/>
            </w:rPr>
            <w:t>国</w:t>
          </w:r>
          <w:r>
            <w:rPr>
              <w:rFonts w:hint="eastAsia" w:ascii="仿宋" w:hAnsi="仿宋" w:eastAsia="仿宋" w:cs="仿宋"/>
              <w:bCs w:val="0"/>
              <w:sz w:val="28"/>
              <w:szCs w:val="28"/>
            </w:rPr>
            <w:t>有资本经营预算财政拨款收入支出决算表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_Toc18680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_Toc17095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十二、国有资本经营预算财政拨款支出决算表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_Toc17095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7"/>
            <w:tabs>
              <w:tab w:val="right" w:leader="dot" w:pos="8306"/>
              <w:tab w:val="clear" w:pos="829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_Toc23042 </w:instrText>
          </w:r>
          <w:r>
            <w:rPr>
              <w:rFonts w:hint="eastAsia" w:ascii="仿宋" w:hAnsi="仿宋" w:eastAsia="仿宋" w:cs="仿宋"/>
              <w:sz w:val="28"/>
              <w:szCs w:val="28"/>
            </w:rPr>
            <w:fldChar w:fldCharType="separate"/>
          </w:r>
          <w:r>
            <w:rPr>
              <w:rFonts w:hint="eastAsia" w:ascii="仿宋" w:hAnsi="仿宋" w:eastAsia="仿宋" w:cs="仿宋"/>
              <w:bCs w:val="0"/>
              <w:sz w:val="28"/>
              <w:szCs w:val="28"/>
            </w:rPr>
            <w:t>十三、财政拨款“三公”经费支出决算表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_Toc23042 \h </w:instrText>
          </w:r>
          <w:r>
            <w:rPr>
              <w:rFonts w:hint="eastAsia" w:ascii="仿宋" w:hAnsi="仿宋" w:eastAsia="仿宋" w:cs="仿宋"/>
              <w:sz w:val="28"/>
              <w:szCs w:val="28"/>
            </w:rPr>
            <w:fldChar w:fldCharType="separate"/>
          </w:r>
          <w:r>
            <w:rPr>
              <w:rFonts w:hint="eastAsia" w:ascii="仿宋" w:hAnsi="仿宋" w:eastAsia="仿宋" w:cs="仿宋"/>
              <w:sz w:val="28"/>
              <w:szCs w:val="28"/>
            </w:rPr>
            <w:t>38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15"/>
            <w:rPr>
              <w:rFonts w:hint="eastAsia" w:ascii="黑体" w:hAnsi="黑体" w:eastAsia="黑体"/>
              <w:b w:val="0"/>
              <w:color w:val="auto"/>
              <w:highlight w:val="none"/>
            </w:rPr>
            <w:sectPr>
              <w:footerReference r:id="rId7" w:type="first"/>
              <w:footerReference r:id="rId6" w:type="default"/>
              <w:pgSz w:w="11906" w:h="16838"/>
              <w:pgMar w:top="1440" w:right="1800" w:bottom="1440" w:left="1800" w:header="851" w:footer="992" w:gutter="0"/>
              <w:pgNumType w:start="1"/>
              <w:cols w:space="425" w:num="1"/>
              <w:titlePg/>
              <w:docGrid w:type="lines" w:linePitch="312" w:charSpace="0"/>
            </w:sectPr>
          </w:pPr>
          <w:r>
            <w:fldChar w:fldCharType="end"/>
          </w:r>
        </w:p>
      </w:sdtContent>
    </w:sdt>
    <w:bookmarkEnd w:id="16"/>
    <w:bookmarkEnd w:id="17"/>
    <w:p>
      <w:pPr>
        <w:pStyle w:val="3"/>
        <w:jc w:val="center"/>
        <w:rPr>
          <w:rFonts w:hint="eastAsia" w:ascii="黑体" w:hAnsi="黑体" w:eastAsia="黑体"/>
          <w:b w:val="0"/>
          <w:color w:val="auto"/>
          <w:highlight w:val="none"/>
        </w:rPr>
      </w:pPr>
      <w:bookmarkStart w:id="18" w:name="_Toc27318"/>
      <w:bookmarkStart w:id="19" w:name="_Toc15377197"/>
      <w:bookmarkStart w:id="20" w:name="_Toc15396600"/>
      <w:r>
        <w:rPr>
          <w:rFonts w:hint="eastAsia" w:ascii="黑体" w:hAnsi="黑体" w:eastAsia="黑体"/>
          <w:b w:val="0"/>
          <w:color w:val="auto"/>
          <w:highlight w:val="none"/>
        </w:rPr>
        <w:t xml:space="preserve">第一部分 </w:t>
      </w:r>
      <w:r>
        <w:rPr>
          <w:rFonts w:hint="eastAsia" w:ascii="黑体" w:hAnsi="黑体" w:eastAsia="黑体"/>
          <w:b w:val="0"/>
          <w:color w:val="auto"/>
          <w:highlight w:val="none"/>
          <w:lang w:val="en-US" w:eastAsia="zh-CN"/>
        </w:rPr>
        <w:t>部门</w:t>
      </w:r>
      <w:r>
        <w:rPr>
          <w:rStyle w:val="39"/>
          <w:rFonts w:hint="eastAsia" w:ascii="黑体" w:hAnsi="黑体" w:eastAsia="黑体"/>
          <w:b w:val="0"/>
          <w:bCs w:val="0"/>
          <w:color w:val="auto"/>
          <w:highlight w:val="none"/>
        </w:rPr>
        <w:t>概况</w:t>
      </w:r>
      <w:bookmarkEnd w:id="18"/>
    </w:p>
    <w:p>
      <w:pPr>
        <w:pStyle w:val="4"/>
        <w:rPr>
          <w:rFonts w:hint="eastAsia" w:ascii="黑体" w:hAnsi="黑体" w:eastAsia="黑体"/>
          <w:b w:val="0"/>
          <w:color w:val="auto"/>
          <w:highlight w:val="none"/>
          <w:lang w:val="en-US" w:eastAsia="zh-CN"/>
        </w:rPr>
      </w:pPr>
      <w:bookmarkStart w:id="21" w:name="_Toc25415"/>
      <w:r>
        <w:rPr>
          <w:rFonts w:hint="eastAsia" w:ascii="黑体" w:hAnsi="黑体" w:eastAsia="黑体"/>
          <w:b w:val="0"/>
          <w:color w:val="auto"/>
          <w:highlight w:val="none"/>
        </w:rPr>
        <w:t>一、</w:t>
      </w:r>
      <w:r>
        <w:rPr>
          <w:rFonts w:hint="eastAsia" w:ascii="黑体" w:hAnsi="黑体" w:eastAsia="黑体"/>
          <w:b w:val="0"/>
          <w:color w:val="auto"/>
          <w:highlight w:val="none"/>
          <w:lang w:val="en-US" w:eastAsia="zh-CN"/>
        </w:rPr>
        <w:t>部门职责</w:t>
      </w:r>
      <w:bookmarkEnd w:id="21"/>
    </w:p>
    <w:p>
      <w:pPr>
        <w:rPr>
          <w:rFonts w:hint="eastAsia" w:ascii="仿宋" w:hAnsi="仿宋" w:eastAsia="仿宋" w:cs="仿宋"/>
          <w:lang w:val="en-US" w:eastAsia="zh-CN"/>
        </w:rPr>
      </w:pPr>
      <w:r>
        <w:rPr>
          <w:rFonts w:hint="eastAsia" w:ascii="仿宋" w:hAnsi="仿宋" w:eastAsia="仿宋" w:cs="仿宋"/>
          <w:bCs/>
          <w:color w:val="000000"/>
          <w:sz w:val="32"/>
          <w:szCs w:val="32"/>
        </w:rPr>
        <w:t>（一）主要职能</w:t>
      </w:r>
    </w:p>
    <w:bookmarkEnd w:id="19"/>
    <w:bookmarkEnd w:id="20"/>
    <w:p>
      <w:pPr>
        <w:spacing w:line="600" w:lineRule="exact"/>
        <w:ind w:firstLine="640" w:firstLineChars="200"/>
        <w:rPr>
          <w:rFonts w:hint="eastAsia" w:ascii="仿宋" w:hAnsi="仿宋" w:eastAsia="仿宋" w:cs="Times New Roman"/>
          <w:color w:val="auto"/>
          <w:kern w:val="2"/>
          <w:sz w:val="32"/>
          <w:szCs w:val="32"/>
          <w:highlight w:val="none"/>
          <w:lang w:val="zh-CN" w:eastAsia="zh-CN" w:bidi="ar-SA"/>
        </w:rPr>
      </w:pPr>
      <w:bookmarkStart w:id="22" w:name="_Toc6935"/>
      <w:bookmarkStart w:id="23" w:name="_Toc15396601"/>
      <w:bookmarkStart w:id="24" w:name="_Toc15377200"/>
      <w:bookmarkStart w:id="25" w:name="_Toc15396602"/>
      <w:bookmarkStart w:id="26" w:name="_Toc15377204"/>
      <w:r>
        <w:rPr>
          <w:rFonts w:hint="eastAsia" w:ascii="仿宋" w:hAnsi="仿宋" w:eastAsia="仿宋" w:cs="Times New Roman"/>
          <w:color w:val="auto"/>
          <w:kern w:val="2"/>
          <w:sz w:val="32"/>
          <w:szCs w:val="32"/>
          <w:highlight w:val="none"/>
          <w:lang w:val="zh-CN" w:eastAsia="zh-CN" w:bidi="ar-SA"/>
        </w:rPr>
        <w:t>1.宣传贯彻统一战线的理论、方针、政策，提出开展统战工作的意见建议，协调处理统战工作中的重大问题。</w:t>
      </w:r>
    </w:p>
    <w:p>
      <w:pPr>
        <w:spacing w:line="600" w:lineRule="exact"/>
        <w:ind w:firstLine="640" w:firstLineChars="200"/>
        <w:rPr>
          <w:rFonts w:hint="eastAsia" w:ascii="仿宋" w:hAnsi="仿宋" w:eastAsia="仿宋" w:cs="Times New Roman"/>
          <w:color w:val="auto"/>
          <w:kern w:val="2"/>
          <w:sz w:val="32"/>
          <w:szCs w:val="32"/>
          <w:highlight w:val="none"/>
          <w:lang w:val="zh-CN" w:eastAsia="zh-CN" w:bidi="ar-SA"/>
        </w:rPr>
      </w:pPr>
      <w:r>
        <w:rPr>
          <w:rFonts w:hint="eastAsia" w:ascii="仿宋" w:hAnsi="仿宋" w:eastAsia="仿宋" w:cs="Times New Roman"/>
          <w:color w:val="auto"/>
          <w:kern w:val="2"/>
          <w:sz w:val="32"/>
          <w:szCs w:val="32"/>
          <w:highlight w:val="none"/>
          <w:lang w:val="zh-CN" w:eastAsia="zh-CN" w:bidi="ar-SA"/>
        </w:rPr>
        <w:t>2.联系各民主党派和无党派人士贯彻落实中国共产党领导的多党合作和政治协商制度，选拔、培养优秀代表人士。</w:t>
      </w:r>
    </w:p>
    <w:p>
      <w:pPr>
        <w:spacing w:line="600" w:lineRule="exact"/>
        <w:ind w:firstLine="640" w:firstLineChars="200"/>
        <w:rPr>
          <w:rFonts w:hint="eastAsia" w:ascii="仿宋" w:hAnsi="仿宋" w:eastAsia="仿宋" w:cs="Times New Roman"/>
          <w:color w:val="auto"/>
          <w:kern w:val="2"/>
          <w:sz w:val="32"/>
          <w:szCs w:val="32"/>
          <w:highlight w:val="none"/>
          <w:lang w:val="zh-CN" w:eastAsia="zh-CN" w:bidi="ar-SA"/>
        </w:rPr>
      </w:pPr>
      <w:r>
        <w:rPr>
          <w:rFonts w:hint="eastAsia" w:ascii="仿宋" w:hAnsi="仿宋" w:eastAsia="仿宋" w:cs="Times New Roman"/>
          <w:color w:val="auto"/>
          <w:kern w:val="2"/>
          <w:sz w:val="32"/>
          <w:szCs w:val="32"/>
          <w:highlight w:val="none"/>
          <w:lang w:val="zh-CN" w:eastAsia="zh-CN" w:bidi="ar-SA"/>
        </w:rPr>
        <w:t>3.贯彻执行民族和宗教工作方针、政策，协助有关部门做好少数民族党外干部培养和举荐工作。</w:t>
      </w:r>
    </w:p>
    <w:p>
      <w:pPr>
        <w:spacing w:line="600" w:lineRule="exact"/>
        <w:ind w:firstLine="640" w:firstLineChars="200"/>
        <w:rPr>
          <w:rFonts w:hint="eastAsia" w:ascii="仿宋" w:hAnsi="仿宋" w:eastAsia="仿宋" w:cs="Times New Roman"/>
          <w:color w:val="auto"/>
          <w:kern w:val="2"/>
          <w:sz w:val="32"/>
          <w:szCs w:val="32"/>
          <w:highlight w:val="none"/>
          <w:lang w:val="zh-CN" w:eastAsia="zh-CN" w:bidi="ar-SA"/>
        </w:rPr>
      </w:pPr>
      <w:r>
        <w:rPr>
          <w:rFonts w:hint="eastAsia" w:ascii="仿宋" w:hAnsi="仿宋" w:eastAsia="仿宋" w:cs="Times New Roman"/>
          <w:color w:val="auto"/>
          <w:kern w:val="2"/>
          <w:sz w:val="32"/>
          <w:szCs w:val="32"/>
          <w:highlight w:val="none"/>
          <w:lang w:val="zh-CN" w:eastAsia="zh-CN" w:bidi="ar-SA"/>
        </w:rPr>
        <w:t>4.开展以祖国统一为重点的海外统战工作，做好港、澳、台胞及家属有关工作。</w:t>
      </w:r>
    </w:p>
    <w:p>
      <w:pPr>
        <w:spacing w:line="600" w:lineRule="exact"/>
        <w:ind w:firstLine="640" w:firstLineChars="200"/>
        <w:rPr>
          <w:rFonts w:hint="eastAsia" w:ascii="仿宋" w:hAnsi="仿宋" w:eastAsia="仿宋" w:cs="Times New Roman"/>
          <w:color w:val="auto"/>
          <w:kern w:val="2"/>
          <w:sz w:val="32"/>
          <w:szCs w:val="32"/>
          <w:highlight w:val="none"/>
          <w:lang w:val="zh-CN" w:eastAsia="zh-CN" w:bidi="ar-SA"/>
        </w:rPr>
      </w:pPr>
      <w:r>
        <w:rPr>
          <w:rFonts w:hint="eastAsia" w:ascii="仿宋" w:hAnsi="仿宋" w:eastAsia="仿宋" w:cs="Times New Roman"/>
          <w:color w:val="auto"/>
          <w:kern w:val="2"/>
          <w:sz w:val="32"/>
          <w:szCs w:val="32"/>
          <w:highlight w:val="none"/>
          <w:lang w:val="zh-CN" w:eastAsia="zh-CN" w:bidi="ar-SA"/>
        </w:rPr>
        <w:t>5.做好归侨、侨眷的思想政治工作，团结和带领他们为全面建设小康社会贡献力量。</w:t>
      </w:r>
    </w:p>
    <w:p>
      <w:pPr>
        <w:spacing w:line="600" w:lineRule="exact"/>
        <w:ind w:firstLine="640" w:firstLineChars="200"/>
        <w:rPr>
          <w:rFonts w:hint="eastAsia" w:ascii="仿宋" w:hAnsi="仿宋" w:eastAsia="仿宋" w:cs="Times New Roman"/>
          <w:color w:val="auto"/>
          <w:kern w:val="2"/>
          <w:sz w:val="32"/>
          <w:szCs w:val="32"/>
          <w:highlight w:val="none"/>
          <w:lang w:val="zh-CN" w:eastAsia="zh-CN" w:bidi="ar-SA"/>
        </w:rPr>
      </w:pPr>
      <w:r>
        <w:rPr>
          <w:rFonts w:hint="eastAsia" w:ascii="仿宋" w:hAnsi="仿宋" w:eastAsia="仿宋" w:cs="Times New Roman"/>
          <w:color w:val="auto"/>
          <w:kern w:val="2"/>
          <w:sz w:val="32"/>
          <w:szCs w:val="32"/>
          <w:highlight w:val="none"/>
          <w:lang w:val="zh-CN" w:eastAsia="zh-CN" w:bidi="ar-SA"/>
        </w:rPr>
        <w:t>6.积极联系非公有制经济代表人士，团结、帮助、引导非公有制经济人士，开展好思想政治工作。</w:t>
      </w:r>
    </w:p>
    <w:p>
      <w:pPr>
        <w:rPr>
          <w:rFonts w:hint="eastAsia" w:ascii="仿宋" w:hAnsi="仿宋" w:eastAsia="仿宋" w:cs="仿宋"/>
          <w:bCs/>
          <w:color w:val="000000"/>
          <w:sz w:val="32"/>
          <w:szCs w:val="32"/>
        </w:rPr>
      </w:pPr>
      <w:r>
        <w:rPr>
          <w:rFonts w:hint="eastAsia" w:ascii="仿宋" w:hAnsi="仿宋" w:eastAsia="仿宋" w:cs="仿宋"/>
          <w:bCs/>
          <w:color w:val="000000"/>
          <w:sz w:val="32"/>
          <w:szCs w:val="32"/>
        </w:rPr>
        <w:t>（二）202</w:t>
      </w:r>
      <w:r>
        <w:rPr>
          <w:rFonts w:hint="eastAsia" w:ascii="仿宋" w:hAnsi="仿宋" w:eastAsia="仿宋" w:cs="仿宋"/>
          <w:bCs/>
          <w:color w:val="000000"/>
          <w:sz w:val="32"/>
          <w:szCs w:val="32"/>
          <w:lang w:val="en-US" w:eastAsia="zh-CN"/>
        </w:rPr>
        <w:t>2</w:t>
      </w:r>
      <w:r>
        <w:rPr>
          <w:rFonts w:hint="eastAsia" w:ascii="仿宋" w:hAnsi="仿宋" w:eastAsia="仿宋" w:cs="仿宋"/>
          <w:bCs/>
          <w:color w:val="000000"/>
          <w:sz w:val="32"/>
          <w:szCs w:val="32"/>
        </w:rPr>
        <w:t>年重点工作完成情况</w:t>
      </w:r>
    </w:p>
    <w:p>
      <w:pPr>
        <w:spacing w:line="600" w:lineRule="exact"/>
        <w:ind w:firstLine="640" w:firstLineChars="200"/>
        <w:rPr>
          <w:rFonts w:hint="eastAsia" w:ascii="仿宋" w:hAnsi="仿宋" w:eastAsia="仿宋" w:cs="Times New Roman"/>
          <w:color w:val="auto"/>
          <w:kern w:val="2"/>
          <w:sz w:val="32"/>
          <w:szCs w:val="32"/>
          <w:highlight w:val="none"/>
          <w:lang w:val="en-US" w:eastAsia="zh-CN" w:bidi="ar-SA"/>
        </w:rPr>
      </w:pPr>
      <w:r>
        <w:rPr>
          <w:rFonts w:hint="eastAsia" w:ascii="仿宋" w:hAnsi="仿宋" w:eastAsia="仿宋" w:cs="Times New Roman"/>
          <w:color w:val="auto"/>
          <w:kern w:val="2"/>
          <w:sz w:val="32"/>
          <w:szCs w:val="32"/>
          <w:highlight w:val="none"/>
          <w:lang w:val="en-US" w:eastAsia="zh-CN" w:bidi="ar-SA"/>
        </w:rPr>
        <w:t>一是坚持党的领导，精确把握落实“标线”。将统战工作纳入九届区委巡察内容，完成11个单位专项检查。出台了《各级党委（组）班子成员与党外代表人士共建四个“1+1”工作机制》；严格按程序完成了11名无党派人士政治面貌认定；加强党外干部培养，新提拔党外4人，平级交流2人，选优配强科级及以上党外干部38人。</w:t>
      </w:r>
    </w:p>
    <w:p>
      <w:pPr>
        <w:spacing w:line="600" w:lineRule="exact"/>
        <w:ind w:firstLine="640" w:firstLineChars="200"/>
        <w:rPr>
          <w:rFonts w:hint="eastAsia" w:ascii="仿宋" w:hAnsi="仿宋" w:eastAsia="仿宋" w:cs="Times New Roman"/>
          <w:color w:val="auto"/>
          <w:kern w:val="2"/>
          <w:sz w:val="32"/>
          <w:szCs w:val="32"/>
          <w:highlight w:val="none"/>
          <w:lang w:val="en-US" w:eastAsia="zh-CN" w:bidi="ar-SA"/>
        </w:rPr>
      </w:pPr>
      <w:r>
        <w:rPr>
          <w:rFonts w:hint="eastAsia" w:ascii="仿宋" w:hAnsi="仿宋" w:eastAsia="仿宋" w:cs="Times New Roman"/>
          <w:color w:val="auto"/>
          <w:kern w:val="2"/>
          <w:sz w:val="32"/>
          <w:szCs w:val="32"/>
          <w:highlight w:val="none"/>
          <w:lang w:val="en-US" w:eastAsia="zh-CN" w:bidi="ar-SA"/>
        </w:rPr>
        <w:t>二是筑基培本强根，夯实统战工作“底线”。完成铜河街道“民族之家”项目建设，争取到位省级民族项目发展专项资金60万元用于太平镇罗一村产业路建设；开展宗教活动场所自建房安全隐患排查整治工作，完成天主教爱国会教堂消防安全整治、实施高山寺五观堂房屋安全隐患和佛光寺高压线路安全隐患整治；开展农村民间小庙治理回头看，巩固治理成果。关爱港澳台侨扎实有效，积极选派海外华文教师6名。高标准承办全国无党派人士专项民主监督调研团来乐开展长江生态环境保护考察调研活动；郭沫若故居成功创建为“四川党外知识分子学习教育基地”并隆重进行揭牌仪式，四川知识分子联谊会第四届二次理事会在沙圆满召开，营造了尊重知识和尊重知识分子的良好社会氛围。</w:t>
      </w:r>
    </w:p>
    <w:p>
      <w:pPr>
        <w:spacing w:line="600" w:lineRule="exact"/>
        <w:ind w:firstLine="640" w:firstLineChars="200"/>
        <w:rPr>
          <w:rFonts w:hint="eastAsia" w:ascii="仿宋" w:hAnsi="仿宋" w:eastAsia="仿宋" w:cs="Times New Roman"/>
          <w:color w:val="auto"/>
          <w:kern w:val="2"/>
          <w:sz w:val="32"/>
          <w:szCs w:val="32"/>
          <w:highlight w:val="none"/>
          <w:lang w:val="en-US" w:eastAsia="zh-CN" w:bidi="ar-SA"/>
        </w:rPr>
      </w:pPr>
      <w:r>
        <w:rPr>
          <w:rFonts w:hint="eastAsia" w:ascii="仿宋" w:hAnsi="仿宋" w:eastAsia="仿宋" w:cs="Times New Roman"/>
          <w:color w:val="auto"/>
          <w:kern w:val="2"/>
          <w:sz w:val="32"/>
          <w:szCs w:val="32"/>
          <w:highlight w:val="none"/>
          <w:lang w:val="en-US" w:eastAsia="zh-CN" w:bidi="ar-SA"/>
        </w:rPr>
        <w:t>三是奋力追求创新，赋能发展对标“高线”。出台《乐山市沙湾区民营经济统战工作协调机制》，实施“助企暖企”行动，积极促进民营经济“两个健康”。推进“万企兴万村”促实效。发动10家非公企业与10个行政村进行结对。引导非公企业回报社会，投入“兴村”项目47个，涉及23个村，民营企业32户，投资总额1.19亿元，促进就近就业700余人，通过企业经营活动提高村集体经济收入累计212万元，捐赠物资146万元。积极引导非公企业参与“栋梁工程”行动，捐款7.9余万元。开展“乐山新阶.律动乡村”,发动3名律师与5个村结对，助理乡村振兴。融入沙湾统战元素或创新沙湾统战举措增亮点。牵头编撰《郭沫若与党的统一战线》《墨耀中华一一郭沫若题匾题签通览》《乐山文艺秋刊》《〈沫若新画卷˙礼赞二十大〉》；深化校地合作，与乐山师院签订《校地统战融合创新合作备忘》。</w:t>
      </w:r>
    </w:p>
    <w:p>
      <w:pPr>
        <w:pStyle w:val="4"/>
        <w:rPr>
          <w:rStyle w:val="40"/>
          <w:rFonts w:hint="eastAsia" w:ascii="黑体" w:hAnsi="黑体" w:eastAsia="黑体"/>
          <w:b w:val="0"/>
          <w:bCs w:val="0"/>
          <w:color w:val="auto"/>
          <w:highlight w:val="none"/>
        </w:rPr>
      </w:pPr>
      <w:r>
        <w:rPr>
          <w:rStyle w:val="40"/>
          <w:rFonts w:hint="eastAsia" w:ascii="黑体" w:hAnsi="黑体" w:eastAsia="黑体"/>
          <w:b w:val="0"/>
          <w:bCs w:val="0"/>
          <w:color w:val="auto"/>
          <w:highlight w:val="none"/>
        </w:rPr>
        <w:t>二、机构设置</w:t>
      </w:r>
      <w:bookmarkEnd w:id="22"/>
      <w:bookmarkEnd w:id="23"/>
      <w:bookmarkEnd w:id="24"/>
    </w:p>
    <w:p>
      <w:pPr>
        <w:spacing w:line="600" w:lineRule="exact"/>
        <w:ind w:firstLine="640" w:firstLineChars="200"/>
        <w:rPr>
          <w:rFonts w:hint="eastAsia" w:ascii="仿宋" w:hAnsi="仿宋" w:eastAsia="仿宋" w:cs="Times New Roman"/>
          <w:color w:val="auto"/>
          <w:kern w:val="2"/>
          <w:sz w:val="32"/>
          <w:szCs w:val="32"/>
          <w:highlight w:val="none"/>
          <w:lang w:val="en-US" w:eastAsia="zh-CN" w:bidi="ar-SA"/>
        </w:rPr>
      </w:pPr>
      <w:r>
        <w:rPr>
          <w:rFonts w:hint="eastAsia" w:ascii="仿宋" w:hAnsi="仿宋" w:eastAsia="仿宋" w:cs="Times New Roman"/>
          <w:color w:val="auto"/>
          <w:kern w:val="2"/>
          <w:sz w:val="32"/>
          <w:szCs w:val="32"/>
          <w:highlight w:val="none"/>
          <w:lang w:val="en-US" w:eastAsia="zh-CN" w:bidi="ar-SA"/>
        </w:rPr>
        <w:t>中共乐山市沙湾区委统一战线工作部属于一级预算单位，下属二级预算单位0个，其中行政单位0个，参照公务员法管理的事业单位0个，其他事业单位0个。区侨联为区委领导下的群团组织，归口区委统战部统一管理。</w:t>
      </w:r>
    </w:p>
    <w:p>
      <w:pPr>
        <w:spacing w:line="600" w:lineRule="exact"/>
        <w:ind w:firstLine="640" w:firstLineChars="200"/>
        <w:rPr>
          <w:rFonts w:hint="default"/>
          <w:lang w:val="en-US" w:eastAsia="zh-CN"/>
        </w:rPr>
      </w:pPr>
      <w:r>
        <w:rPr>
          <w:rFonts w:hint="eastAsia" w:ascii="仿宋" w:hAnsi="仿宋" w:eastAsia="仿宋" w:cs="Times New Roman"/>
          <w:color w:val="auto"/>
          <w:kern w:val="2"/>
          <w:sz w:val="32"/>
          <w:szCs w:val="32"/>
          <w:highlight w:val="none"/>
          <w:lang w:val="en-US" w:eastAsia="zh-CN" w:bidi="ar-SA"/>
        </w:rPr>
        <w:t>2022年中共乐山市沙湾区委统一战线工作部共有行政编制6名，实有在职人员总数6名，劳务派遣人员2人。区侨联有事业编制3名，实有在职人员3名。</w:t>
      </w:r>
    </w:p>
    <w:p>
      <w:pPr>
        <w:pStyle w:val="3"/>
        <w:ind w:right="440"/>
        <w:jc w:val="center"/>
        <w:rPr>
          <w:rStyle w:val="39"/>
          <w:rFonts w:ascii="黑体" w:hAnsi="黑体" w:eastAsia="黑体"/>
          <w:b w:val="0"/>
          <w:bCs/>
          <w:color w:val="auto"/>
          <w:highlight w:val="none"/>
        </w:rPr>
      </w:pPr>
      <w:bookmarkStart w:id="27" w:name="_Toc1354"/>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2022年度</w:t>
      </w:r>
      <w:r>
        <w:rPr>
          <w:rStyle w:val="39"/>
          <w:rFonts w:hint="eastAsia" w:ascii="黑体" w:hAnsi="黑体" w:eastAsia="黑体"/>
          <w:b w:val="0"/>
          <w:bCs/>
          <w:color w:val="auto"/>
          <w:highlight w:val="none"/>
          <w:lang w:val="en-US" w:eastAsia="zh-CN"/>
        </w:rPr>
        <w:t>部门决算</w:t>
      </w:r>
      <w:r>
        <w:rPr>
          <w:rStyle w:val="39"/>
          <w:rFonts w:hint="eastAsia" w:ascii="黑体" w:hAnsi="黑体" w:eastAsia="黑体"/>
          <w:b w:val="0"/>
          <w:bCs/>
          <w:color w:val="auto"/>
          <w:highlight w:val="none"/>
        </w:rPr>
        <w:t>情况说明</w:t>
      </w:r>
      <w:bookmarkEnd w:id="25"/>
      <w:bookmarkEnd w:id="26"/>
      <w:bookmarkEnd w:id="27"/>
    </w:p>
    <w:p>
      <w:pPr>
        <w:pStyle w:val="38"/>
        <w:numPr>
          <w:ilvl w:val="0"/>
          <w:numId w:val="3"/>
        </w:numPr>
        <w:spacing w:line="600" w:lineRule="exact"/>
        <w:ind w:firstLineChars="0"/>
        <w:outlineLvl w:val="1"/>
        <w:rPr>
          <w:rStyle w:val="40"/>
          <w:rFonts w:ascii="黑体" w:hAnsi="黑体" w:eastAsia="黑体"/>
          <w:b w:val="0"/>
          <w:color w:val="auto"/>
          <w:highlight w:val="none"/>
        </w:rPr>
      </w:pPr>
      <w:bookmarkStart w:id="28" w:name="_Toc15377205"/>
      <w:bookmarkStart w:id="29" w:name="_Toc9866"/>
      <w:bookmarkStart w:id="30" w:name="_Toc15396603"/>
      <w:r>
        <w:rPr>
          <w:rFonts w:hint="eastAsia" w:ascii="黑体" w:hAnsi="黑体" w:eastAsia="黑体"/>
          <w:color w:val="auto"/>
          <w:sz w:val="32"/>
          <w:szCs w:val="32"/>
          <w:highlight w:val="none"/>
        </w:rPr>
        <w:t>收</w:t>
      </w:r>
      <w:r>
        <w:rPr>
          <w:rStyle w:val="40"/>
          <w:rFonts w:hint="eastAsia" w:ascii="黑体" w:hAnsi="黑体" w:eastAsia="黑体"/>
          <w:b w:val="0"/>
          <w:color w:val="auto"/>
          <w:highlight w:val="none"/>
        </w:rPr>
        <w:t>入支出决算总体情况说明</w:t>
      </w:r>
      <w:bookmarkEnd w:id="28"/>
      <w:bookmarkEnd w:id="29"/>
      <w:bookmarkEnd w:id="30"/>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lang w:eastAsia="zh-CN"/>
        </w:rPr>
        <w:t>2022年度</w:t>
      </w:r>
      <w:r>
        <w:rPr>
          <w:rFonts w:hint="eastAsia" w:ascii="仿宋" w:hAnsi="仿宋" w:eastAsia="仿宋"/>
          <w:color w:val="auto"/>
          <w:sz w:val="32"/>
          <w:szCs w:val="32"/>
          <w:highlight w:val="none"/>
          <w:lang w:val="en-US" w:eastAsia="zh-CN"/>
        </w:rPr>
        <w:t>收支总计均为255.07万元</w:t>
      </w:r>
      <w:r>
        <w:rPr>
          <w:rFonts w:hint="eastAsia" w:ascii="仿宋" w:hAnsi="仿宋" w:eastAsia="仿宋"/>
          <w:color w:val="auto"/>
          <w:sz w:val="32"/>
          <w:szCs w:val="32"/>
          <w:highlight w:val="none"/>
        </w:rPr>
        <w:t>。与</w:t>
      </w:r>
      <w:r>
        <w:rPr>
          <w:rFonts w:hint="eastAsia" w:ascii="仿宋" w:hAnsi="仿宋" w:eastAsia="仿宋"/>
          <w:color w:val="auto"/>
          <w:sz w:val="32"/>
          <w:szCs w:val="32"/>
          <w:highlight w:val="none"/>
          <w:lang w:eastAsia="zh-CN"/>
        </w:rPr>
        <w:t>2021年</w:t>
      </w:r>
      <w:r>
        <w:rPr>
          <w:rFonts w:hint="eastAsia" w:ascii="仿宋" w:hAnsi="仿宋" w:eastAsia="仿宋"/>
          <w:color w:val="auto"/>
          <w:sz w:val="32"/>
          <w:szCs w:val="32"/>
          <w:highlight w:val="none"/>
        </w:rPr>
        <w:t>相比，</w:t>
      </w:r>
      <w:r>
        <w:rPr>
          <w:rFonts w:hint="eastAsia" w:ascii="仿宋" w:hAnsi="仿宋" w:eastAsia="仿宋"/>
          <w:color w:val="auto"/>
          <w:sz w:val="32"/>
          <w:szCs w:val="32"/>
          <w:highlight w:val="none"/>
          <w:lang w:val="en-US" w:eastAsia="zh-CN"/>
        </w:rPr>
        <w:t>收支总计各增加8.91万元，增长3.62%。</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2022年新增了人员，人员经费增加。</w:t>
      </w:r>
    </w:p>
    <w:p>
      <w:pPr>
        <w:spacing w:line="600" w:lineRule="exact"/>
        <w:ind w:firstLine="640" w:firstLineChars="200"/>
        <w:rPr>
          <w:rFonts w:hint="eastAsia" w:ascii="仿宋" w:hAnsi="仿宋" w:eastAsia="仿宋"/>
          <w:color w:val="auto"/>
          <w:sz w:val="32"/>
          <w:szCs w:val="32"/>
          <w:highlight w:val="none"/>
        </w:rPr>
      </w:pPr>
    </w:p>
    <w:p>
      <w:pPr>
        <w:pStyle w:val="8"/>
        <w:jc w:val="center"/>
        <w:rPr>
          <w:rFonts w:hint="eastAsia" w:eastAsia="宋体"/>
          <w:lang w:eastAsia="zh-CN"/>
        </w:rPr>
      </w:pPr>
      <w:r>
        <w:rPr>
          <w:rFonts w:hint="eastAsia" w:eastAsia="宋体"/>
          <w:lang w:eastAsia="zh-CN"/>
        </w:rPr>
        <w:drawing>
          <wp:inline distT="0" distB="0" distL="114300" distR="114300">
            <wp:extent cx="5256530" cy="2988310"/>
            <wp:effectExtent l="5080" t="4445" r="15240" b="55245"/>
            <wp:docPr id="8" name="图表 8" descr="7b0a202020202263686172745265734964223a202232303436393737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w:t>
      </w:r>
    </w:p>
    <w:p>
      <w:pPr>
        <w:pStyle w:val="8"/>
      </w:pPr>
    </w:p>
    <w:p>
      <w:pPr>
        <w:pStyle w:val="38"/>
        <w:numPr>
          <w:ilvl w:val="0"/>
          <w:numId w:val="3"/>
        </w:numPr>
        <w:spacing w:line="600" w:lineRule="exact"/>
        <w:ind w:firstLineChars="0"/>
        <w:outlineLvl w:val="1"/>
        <w:rPr>
          <w:rStyle w:val="40"/>
          <w:rFonts w:ascii="黑体" w:hAnsi="黑体" w:eastAsia="黑体"/>
          <w:b w:val="0"/>
          <w:color w:val="auto"/>
          <w:highlight w:val="none"/>
        </w:rPr>
      </w:pPr>
      <w:bookmarkStart w:id="31" w:name="_Toc24885"/>
      <w:bookmarkStart w:id="32" w:name="_Toc15396604"/>
      <w:bookmarkStart w:id="33" w:name="_Toc15377206"/>
      <w:r>
        <w:rPr>
          <w:rFonts w:hint="eastAsia" w:ascii="黑体" w:hAnsi="黑体" w:eastAsia="黑体"/>
          <w:color w:val="auto"/>
          <w:sz w:val="32"/>
          <w:szCs w:val="32"/>
          <w:highlight w:val="none"/>
        </w:rPr>
        <w:t>收</w:t>
      </w:r>
      <w:r>
        <w:rPr>
          <w:rStyle w:val="40"/>
          <w:rFonts w:hint="eastAsia" w:ascii="黑体" w:hAnsi="黑体" w:eastAsia="黑体"/>
          <w:b w:val="0"/>
          <w:color w:val="auto"/>
          <w:highlight w:val="none"/>
        </w:rPr>
        <w:t>入决算情况说明</w:t>
      </w:r>
      <w:bookmarkEnd w:id="31"/>
      <w:bookmarkEnd w:id="32"/>
      <w:bookmarkEnd w:id="33"/>
    </w:p>
    <w:p>
      <w:pPr>
        <w:spacing w:line="600" w:lineRule="exact"/>
        <w:ind w:firstLine="640" w:firstLineChars="200"/>
        <w:outlineLvl w:val="9"/>
        <w:rPr>
          <w:rFonts w:ascii="仿宋" w:hAnsi="仿宋" w:eastAsia="仿宋"/>
          <w:color w:val="auto"/>
          <w:sz w:val="32"/>
          <w:szCs w:val="32"/>
          <w:highlight w:val="none"/>
        </w:rPr>
      </w:pPr>
      <w:bookmarkStart w:id="34" w:name="_Toc23881"/>
      <w:r>
        <w:rPr>
          <w:rFonts w:hint="eastAsia" w:ascii="仿宋" w:hAnsi="仿宋" w:eastAsia="仿宋"/>
          <w:color w:val="auto"/>
          <w:sz w:val="32"/>
          <w:szCs w:val="32"/>
          <w:highlight w:val="none"/>
          <w:lang w:eastAsia="zh-CN"/>
        </w:rPr>
        <w:t>2022年</w:t>
      </w:r>
      <w:r>
        <w:rPr>
          <w:rFonts w:hint="eastAsia" w:ascii="仿宋" w:hAnsi="仿宋" w:eastAsia="仿宋"/>
          <w:color w:val="auto"/>
          <w:sz w:val="32"/>
          <w:szCs w:val="32"/>
          <w:highlight w:val="none"/>
        </w:rPr>
        <w:t>本年收入合计</w:t>
      </w:r>
      <w:r>
        <w:rPr>
          <w:rFonts w:hint="eastAsia" w:ascii="仿宋" w:hAnsi="仿宋" w:eastAsia="仿宋"/>
          <w:color w:val="auto"/>
          <w:sz w:val="32"/>
          <w:szCs w:val="32"/>
          <w:highlight w:val="none"/>
          <w:lang w:val="en-US" w:eastAsia="zh-CN"/>
        </w:rPr>
        <w:t>234.54</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234.54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34"/>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outlineLvl w:val="9"/>
        <w:rPr>
          <w:rFonts w:hint="eastAsia"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080000" cy="4195445"/>
            <wp:effectExtent l="4445" t="4445" r="20955" b="10160"/>
            <wp:docPr id="3" name="图表 3"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图2：收入决算结构图</w:t>
      </w:r>
    </w:p>
    <w:p>
      <w:pPr>
        <w:pStyle w:val="8"/>
      </w:pPr>
    </w:p>
    <w:p>
      <w:pPr>
        <w:pStyle w:val="38"/>
        <w:numPr>
          <w:ilvl w:val="0"/>
          <w:numId w:val="3"/>
        </w:numPr>
        <w:spacing w:line="600" w:lineRule="exact"/>
        <w:ind w:firstLineChars="0"/>
        <w:outlineLvl w:val="1"/>
        <w:rPr>
          <w:rStyle w:val="40"/>
          <w:rFonts w:ascii="黑体" w:hAnsi="黑体" w:eastAsia="黑体"/>
          <w:b w:val="0"/>
          <w:color w:val="auto"/>
          <w:highlight w:val="none"/>
        </w:rPr>
      </w:pPr>
      <w:bookmarkStart w:id="35" w:name="_Toc15396605"/>
      <w:bookmarkStart w:id="36" w:name="_Toc15377207"/>
      <w:bookmarkStart w:id="37" w:name="_Toc23584"/>
      <w:r>
        <w:rPr>
          <w:rFonts w:hint="eastAsia" w:ascii="黑体" w:hAnsi="黑体" w:eastAsia="黑体"/>
          <w:color w:val="auto"/>
          <w:sz w:val="32"/>
          <w:szCs w:val="32"/>
          <w:highlight w:val="none"/>
        </w:rPr>
        <w:t>支</w:t>
      </w:r>
      <w:r>
        <w:rPr>
          <w:rStyle w:val="40"/>
          <w:rFonts w:hint="eastAsia" w:ascii="黑体" w:hAnsi="黑体" w:eastAsia="黑体"/>
          <w:b w:val="0"/>
          <w:color w:val="auto"/>
          <w:highlight w:val="none"/>
        </w:rPr>
        <w:t>出决算情况说明</w:t>
      </w:r>
      <w:bookmarkEnd w:id="35"/>
      <w:bookmarkEnd w:id="36"/>
      <w:bookmarkEnd w:id="37"/>
    </w:p>
    <w:p>
      <w:pPr>
        <w:spacing w:line="600" w:lineRule="exact"/>
        <w:ind w:firstLine="640" w:firstLineChars="200"/>
        <w:outlineLvl w:val="9"/>
        <w:rPr>
          <w:rFonts w:ascii="仿宋" w:hAnsi="仿宋" w:eastAsia="仿宋"/>
          <w:color w:val="auto"/>
          <w:sz w:val="32"/>
          <w:szCs w:val="32"/>
          <w:highlight w:val="none"/>
        </w:rPr>
      </w:pPr>
      <w:bookmarkStart w:id="38" w:name="_Toc26868"/>
      <w:r>
        <w:rPr>
          <w:rFonts w:hint="eastAsia" w:ascii="仿宋" w:hAnsi="仿宋" w:eastAsia="仿宋"/>
          <w:color w:val="auto"/>
          <w:sz w:val="32"/>
          <w:szCs w:val="32"/>
          <w:highlight w:val="none"/>
          <w:lang w:eastAsia="zh-CN"/>
        </w:rPr>
        <w:t>2022年</w:t>
      </w:r>
      <w:r>
        <w:rPr>
          <w:rFonts w:hint="eastAsia" w:ascii="仿宋" w:hAnsi="仿宋" w:eastAsia="仿宋"/>
          <w:color w:val="auto"/>
          <w:sz w:val="32"/>
          <w:szCs w:val="32"/>
          <w:highlight w:val="none"/>
        </w:rPr>
        <w:t>本年支出合计</w:t>
      </w:r>
      <w:r>
        <w:rPr>
          <w:rFonts w:hint="eastAsia" w:ascii="仿宋" w:hAnsi="仿宋" w:eastAsia="仿宋"/>
          <w:color w:val="auto"/>
          <w:sz w:val="32"/>
          <w:szCs w:val="32"/>
          <w:highlight w:val="none"/>
          <w:lang w:val="en-US" w:eastAsia="zh-CN"/>
        </w:rPr>
        <w:t>255.07</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198.48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77.82</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56.58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22.18</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38"/>
    </w:p>
    <w:p>
      <w:pPr>
        <w:keepNext w:val="0"/>
        <w:keepLines w:val="0"/>
        <w:pageBreakBefore w:val="0"/>
        <w:widowControl w:val="0"/>
        <w:kinsoku/>
        <w:wordWrap/>
        <w:overflowPunct/>
        <w:topLinePunct w:val="0"/>
        <w:autoSpaceDE/>
        <w:autoSpaceDN/>
        <w:bidi w:val="0"/>
        <w:adjustRightInd/>
        <w:snapToGrid/>
        <w:spacing w:line="240" w:lineRule="auto"/>
        <w:ind w:firstLine="641"/>
        <w:jc w:val="center"/>
        <w:textAlignment w:val="auto"/>
        <w:rPr>
          <w:rFonts w:ascii="仿宋" w:hAnsi="仿宋" w:eastAsia="仿宋"/>
          <w:color w:val="auto"/>
          <w:sz w:val="32"/>
          <w:szCs w:val="32"/>
          <w:highlight w:val="none"/>
          <w:shd w:val="pct10" w:color="auto" w:fill="FFFFFF"/>
        </w:rPr>
      </w:pPr>
      <w:r>
        <w:rPr>
          <w:rFonts w:hint="eastAsia" w:ascii="仿宋" w:hAnsi="仿宋" w:eastAsia="仿宋"/>
          <w:color w:val="auto"/>
          <w:sz w:val="32"/>
          <w:szCs w:val="32"/>
          <w:highlight w:val="none"/>
          <w:lang w:eastAsia="zh-CN"/>
        </w:rPr>
        <w:drawing>
          <wp:inline distT="0" distB="0" distL="114300" distR="114300">
            <wp:extent cx="4975225" cy="3799840"/>
            <wp:effectExtent l="4445" t="4445" r="11430" b="5715"/>
            <wp:docPr id="5" name="图表 5"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图3：支出决算结构图</w:t>
      </w:r>
    </w:p>
    <w:p>
      <w:pPr>
        <w:pStyle w:val="8"/>
      </w:pPr>
    </w:p>
    <w:p>
      <w:pPr>
        <w:spacing w:line="600" w:lineRule="exact"/>
        <w:ind w:firstLine="640" w:firstLineChars="200"/>
        <w:outlineLvl w:val="1"/>
        <w:rPr>
          <w:rStyle w:val="40"/>
          <w:rFonts w:ascii="黑体" w:hAnsi="黑体" w:eastAsia="黑体"/>
          <w:b w:val="0"/>
          <w:color w:val="auto"/>
          <w:highlight w:val="none"/>
        </w:rPr>
      </w:pPr>
      <w:bookmarkStart w:id="39" w:name="_Toc15377208"/>
      <w:bookmarkStart w:id="40" w:name="_Toc15396606"/>
      <w:bookmarkStart w:id="41" w:name="_Toc6153"/>
      <w:r>
        <w:rPr>
          <w:rFonts w:hint="eastAsia" w:ascii="黑体" w:hAnsi="黑体" w:eastAsia="黑体"/>
          <w:color w:val="auto"/>
          <w:sz w:val="32"/>
          <w:szCs w:val="32"/>
          <w:highlight w:val="none"/>
        </w:rPr>
        <w:t>四、财</w:t>
      </w:r>
      <w:r>
        <w:rPr>
          <w:rStyle w:val="40"/>
          <w:rFonts w:hint="eastAsia" w:ascii="黑体" w:hAnsi="黑体" w:eastAsia="黑体"/>
          <w:b w:val="0"/>
          <w:color w:val="auto"/>
          <w:highlight w:val="none"/>
        </w:rPr>
        <w:t>政拨款收入支出决算总体情况说明</w:t>
      </w:r>
      <w:bookmarkEnd w:id="39"/>
      <w:bookmarkEnd w:id="40"/>
      <w:bookmarkEnd w:id="41"/>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lang w:eastAsia="zh-CN"/>
        </w:rPr>
        <w:t>2022年度</w:t>
      </w:r>
      <w:r>
        <w:rPr>
          <w:rFonts w:hint="eastAsia" w:ascii="仿宋" w:hAnsi="仿宋" w:eastAsia="仿宋"/>
          <w:color w:val="auto"/>
          <w:sz w:val="32"/>
          <w:szCs w:val="32"/>
          <w:highlight w:val="none"/>
          <w:lang w:val="en-US" w:eastAsia="zh-CN"/>
        </w:rPr>
        <w:t>财政拨款收入、支出均为255.07万元</w:t>
      </w:r>
      <w:r>
        <w:rPr>
          <w:rFonts w:hint="eastAsia" w:ascii="仿宋" w:hAnsi="仿宋" w:eastAsia="仿宋"/>
          <w:color w:val="auto"/>
          <w:sz w:val="32"/>
          <w:szCs w:val="32"/>
          <w:highlight w:val="none"/>
        </w:rPr>
        <w:t>。与</w:t>
      </w:r>
      <w:r>
        <w:rPr>
          <w:rFonts w:hint="eastAsia" w:ascii="仿宋" w:hAnsi="仿宋" w:eastAsia="仿宋"/>
          <w:color w:val="auto"/>
          <w:sz w:val="32"/>
          <w:szCs w:val="32"/>
          <w:highlight w:val="none"/>
          <w:lang w:eastAsia="zh-CN"/>
        </w:rPr>
        <w:t>2021年</w:t>
      </w:r>
      <w:r>
        <w:rPr>
          <w:rFonts w:hint="eastAsia" w:ascii="仿宋" w:hAnsi="仿宋" w:eastAsia="仿宋"/>
          <w:color w:val="auto"/>
          <w:sz w:val="32"/>
          <w:szCs w:val="32"/>
          <w:highlight w:val="none"/>
        </w:rPr>
        <w:t>相比，</w:t>
      </w:r>
      <w:r>
        <w:rPr>
          <w:rFonts w:hint="eastAsia" w:ascii="仿宋" w:hAnsi="仿宋" w:eastAsia="仿宋"/>
          <w:color w:val="auto"/>
          <w:sz w:val="32"/>
          <w:szCs w:val="32"/>
          <w:highlight w:val="none"/>
          <w:lang w:val="en-US" w:eastAsia="zh-CN"/>
        </w:rPr>
        <w:t>财政拨款收入、支出各增加8.91万元，增长3.62%。</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2022年新增了人员，人员经费增加。</w:t>
      </w:r>
    </w:p>
    <w:p>
      <w:pPr>
        <w:spacing w:line="600" w:lineRule="exact"/>
        <w:ind w:firstLine="640" w:firstLineChars="200"/>
        <w:rPr>
          <w:rFonts w:hint="eastAsia" w:ascii="仿宋" w:hAnsi="仿宋" w:eastAsia="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olor w:val="auto"/>
          <w:sz w:val="32"/>
          <w:szCs w:val="32"/>
          <w:highlight w:val="none"/>
          <w:lang w:eastAsia="zh-CN"/>
        </w:rPr>
      </w:pPr>
      <w:bookmarkStart w:id="105" w:name="_GoBack"/>
      <w:r>
        <w:rPr>
          <w:rFonts w:hint="eastAsia" w:ascii="仿宋" w:hAnsi="仿宋" w:eastAsia="仿宋"/>
          <w:color w:val="auto"/>
          <w:sz w:val="32"/>
          <w:szCs w:val="32"/>
          <w:highlight w:val="none"/>
          <w:lang w:eastAsia="zh-CN"/>
        </w:rPr>
        <w:drawing>
          <wp:inline distT="0" distB="0" distL="114300" distR="114300">
            <wp:extent cx="5076190" cy="3023235"/>
            <wp:effectExtent l="4445" t="4445" r="5715" b="58420"/>
            <wp:docPr id="9" name="图表 9" descr="7b0a202020202263686172745265734964223a202232303436393737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105"/>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spacing w:line="600" w:lineRule="exact"/>
        <w:ind w:firstLine="640"/>
        <w:rPr>
          <w:rFonts w:ascii="仿宋" w:hAnsi="仿宋" w:eastAsia="仿宋"/>
          <w:b/>
          <w:color w:val="auto"/>
          <w:sz w:val="32"/>
          <w:szCs w:val="32"/>
          <w:highlight w:val="none"/>
        </w:rPr>
      </w:pPr>
    </w:p>
    <w:p>
      <w:pPr>
        <w:spacing w:line="600" w:lineRule="exact"/>
        <w:ind w:firstLine="640" w:firstLineChars="200"/>
        <w:outlineLvl w:val="1"/>
        <w:rPr>
          <w:rStyle w:val="40"/>
          <w:rFonts w:ascii="黑体" w:hAnsi="黑体" w:eastAsia="黑体"/>
          <w:b w:val="0"/>
          <w:color w:val="auto"/>
          <w:highlight w:val="none"/>
        </w:rPr>
      </w:pPr>
      <w:bookmarkStart w:id="42" w:name="_Toc15377209"/>
      <w:bookmarkStart w:id="43" w:name="_Toc15396607"/>
      <w:bookmarkStart w:id="44" w:name="_Toc5631"/>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40"/>
          <w:rFonts w:hint="eastAsia" w:ascii="黑体" w:hAnsi="黑体" w:eastAsia="黑体"/>
          <w:b w:val="0"/>
          <w:color w:val="auto"/>
          <w:highlight w:val="none"/>
        </w:rPr>
        <w:t>般公共预算财政拨款支出决算情况说明</w:t>
      </w:r>
      <w:bookmarkEnd w:id="42"/>
      <w:bookmarkEnd w:id="43"/>
      <w:bookmarkEnd w:id="44"/>
    </w:p>
    <w:p>
      <w:pPr>
        <w:spacing w:line="600" w:lineRule="exact"/>
        <w:ind w:firstLine="643" w:firstLineChars="200"/>
        <w:outlineLvl w:val="2"/>
        <w:rPr>
          <w:rFonts w:ascii="仿宋" w:hAnsi="仿宋" w:eastAsia="仿宋"/>
          <w:b/>
          <w:color w:val="auto"/>
          <w:sz w:val="32"/>
          <w:szCs w:val="32"/>
          <w:highlight w:val="none"/>
        </w:rPr>
      </w:pPr>
      <w:bookmarkStart w:id="45" w:name="_Toc15377210"/>
      <w:r>
        <w:rPr>
          <w:rFonts w:hint="eastAsia" w:ascii="仿宋" w:hAnsi="仿宋" w:eastAsia="仿宋"/>
          <w:b/>
          <w:color w:val="auto"/>
          <w:sz w:val="32"/>
          <w:szCs w:val="32"/>
          <w:highlight w:val="none"/>
        </w:rPr>
        <w:t>（一）一般公共预算财政拨款支出决算总体情况</w:t>
      </w:r>
      <w:bookmarkEnd w:id="45"/>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lang w:eastAsia="zh-CN"/>
        </w:rPr>
        <w:t>2022年</w:t>
      </w:r>
      <w:r>
        <w:rPr>
          <w:rFonts w:hint="eastAsia" w:ascii="仿宋" w:hAnsi="仿宋" w:eastAsia="仿宋"/>
          <w:color w:val="auto"/>
          <w:sz w:val="32"/>
          <w:szCs w:val="32"/>
          <w:highlight w:val="none"/>
        </w:rPr>
        <w:t>一般公共预算财政拨款支出</w:t>
      </w:r>
      <w:r>
        <w:rPr>
          <w:rFonts w:hint="eastAsia" w:ascii="仿宋" w:hAnsi="仿宋" w:eastAsia="仿宋"/>
          <w:color w:val="auto"/>
          <w:sz w:val="32"/>
          <w:szCs w:val="32"/>
          <w:highlight w:val="none"/>
          <w:lang w:val="en-US" w:eastAsia="zh-CN"/>
        </w:rPr>
        <w:t>255.07</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hint="eastAsia" w:ascii="仿宋" w:hAnsi="仿宋" w:eastAsia="仿宋"/>
          <w:color w:val="auto"/>
          <w:sz w:val="32"/>
          <w:szCs w:val="32"/>
          <w:highlight w:val="none"/>
          <w:lang w:eastAsia="zh-CN"/>
        </w:rPr>
        <w:t>2021年</w:t>
      </w:r>
      <w:r>
        <w:rPr>
          <w:rFonts w:hint="eastAsia" w:ascii="仿宋" w:hAnsi="仿宋" w:eastAsia="仿宋"/>
          <w:color w:val="auto"/>
          <w:sz w:val="32"/>
          <w:szCs w:val="32"/>
          <w:highlight w:val="none"/>
        </w:rPr>
        <w:t>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lang w:val="en-US" w:eastAsia="zh-CN"/>
        </w:rPr>
        <w:t>增加29.44万元，增加13.05%</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2022年新增了人员，人员经费增加。</w:t>
      </w:r>
    </w:p>
    <w:p>
      <w:pPr>
        <w:spacing w:line="600" w:lineRule="exact"/>
        <w:ind w:firstLine="640" w:firstLineChars="200"/>
        <w:rPr>
          <w:rFonts w:hint="eastAsia" w:ascii="仿宋" w:hAnsi="仿宋" w:eastAsia="仿宋"/>
          <w:color w:val="auto"/>
          <w:sz w:val="32"/>
          <w:szCs w:val="32"/>
          <w:highlight w:val="none"/>
        </w:rPr>
      </w:pPr>
    </w:p>
    <w:p>
      <w:pPr>
        <w:pStyle w:val="8"/>
        <w:jc w:val="center"/>
      </w:pPr>
      <w:r>
        <w:rPr>
          <w:rFonts w:hint="eastAsia" w:eastAsia="宋体"/>
          <w:lang w:eastAsia="zh-CN"/>
        </w:rPr>
        <w:drawing>
          <wp:inline distT="0" distB="0" distL="114300" distR="114300">
            <wp:extent cx="5080000" cy="3810000"/>
            <wp:effectExtent l="4445" t="4445" r="20955" b="14605"/>
            <wp:docPr id="7" name="图表 7" descr="7b0a202020202263686172745265734964223a202232303437313133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w:t>
      </w:r>
    </w:p>
    <w:p>
      <w:pPr>
        <w:pStyle w:val="8"/>
      </w:pPr>
    </w:p>
    <w:p>
      <w:pPr>
        <w:spacing w:line="600" w:lineRule="exact"/>
        <w:ind w:firstLine="643" w:firstLineChars="200"/>
        <w:outlineLvl w:val="2"/>
        <w:rPr>
          <w:rFonts w:ascii="仿宋" w:hAnsi="仿宋" w:eastAsia="仿宋"/>
          <w:b/>
          <w:color w:val="auto"/>
          <w:sz w:val="32"/>
          <w:szCs w:val="32"/>
          <w:highlight w:val="none"/>
        </w:rPr>
      </w:pPr>
      <w:bookmarkStart w:id="46" w:name="_Toc15377211"/>
      <w:r>
        <w:rPr>
          <w:rFonts w:hint="eastAsia" w:ascii="仿宋" w:hAnsi="仿宋" w:eastAsia="仿宋"/>
          <w:b/>
          <w:color w:val="auto"/>
          <w:sz w:val="32"/>
          <w:szCs w:val="32"/>
          <w:highlight w:val="none"/>
        </w:rPr>
        <w:t>（二）一般公共预算财政拨款支出决算结构情况</w:t>
      </w:r>
      <w:bookmarkEnd w:id="46"/>
    </w:p>
    <w:p>
      <w:pPr>
        <w:spacing w:line="600" w:lineRule="exact"/>
        <w:ind w:firstLine="64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lang w:eastAsia="zh-CN"/>
        </w:rPr>
        <w:t>2022年</w:t>
      </w:r>
      <w:r>
        <w:rPr>
          <w:rFonts w:hint="eastAsia" w:ascii="仿宋" w:hAnsi="仿宋" w:eastAsia="仿宋"/>
          <w:color w:val="auto"/>
          <w:sz w:val="32"/>
          <w:szCs w:val="32"/>
          <w:highlight w:val="none"/>
        </w:rPr>
        <w:t>一般公共预算财政拨款支出</w:t>
      </w:r>
      <w:r>
        <w:rPr>
          <w:rFonts w:hint="eastAsia" w:ascii="仿宋" w:hAnsi="仿宋" w:eastAsia="仿宋"/>
          <w:color w:val="auto"/>
          <w:sz w:val="32"/>
          <w:szCs w:val="32"/>
          <w:highlight w:val="none"/>
          <w:lang w:val="en-US" w:eastAsia="zh-CN"/>
        </w:rPr>
        <w:t>255.07</w:t>
      </w:r>
      <w:r>
        <w:rPr>
          <w:rFonts w:hint="eastAsia" w:ascii="仿宋" w:hAnsi="仿宋" w:eastAsia="仿宋"/>
          <w:color w:val="auto"/>
          <w:sz w:val="32"/>
          <w:szCs w:val="32"/>
          <w:highlight w:val="none"/>
        </w:rPr>
        <w:t>万元，主要用于以下方面</w:t>
      </w:r>
      <w:r>
        <w:rPr>
          <w:rFonts w:hint="eastAsia" w:ascii="仿宋" w:hAnsi="仿宋" w:eastAsia="仿宋"/>
          <w:b w:val="0"/>
          <w:bCs w:val="0"/>
          <w:color w:val="auto"/>
          <w:sz w:val="32"/>
          <w:szCs w:val="32"/>
          <w:highlight w:val="none"/>
          <w:lang w:eastAsia="zh-CN"/>
        </w:rPr>
        <w:t>：</w:t>
      </w:r>
      <w:r>
        <w:rPr>
          <w:rFonts w:hint="eastAsia" w:ascii="仿宋" w:hAnsi="仿宋" w:eastAsia="仿宋"/>
          <w:color w:val="auto"/>
          <w:sz w:val="32"/>
          <w:szCs w:val="32"/>
          <w:highlight w:val="none"/>
          <w:lang w:val="en-US" w:eastAsia="zh-CN"/>
        </w:rPr>
        <w:t>一般公共服务支出</w:t>
      </w:r>
      <w:r>
        <w:rPr>
          <w:rFonts w:hint="eastAsia" w:ascii="仿宋" w:hAnsi="仿宋" w:eastAsia="仿宋"/>
          <w:color w:val="auto"/>
          <w:sz w:val="32"/>
          <w:szCs w:val="32"/>
          <w:highlight w:val="none"/>
          <w:lang w:eastAsia="zh-CN"/>
        </w:rPr>
        <w:t>（类）支出</w:t>
      </w:r>
      <w:r>
        <w:rPr>
          <w:rFonts w:hint="eastAsia" w:ascii="仿宋" w:hAnsi="仿宋" w:eastAsia="仿宋"/>
          <w:color w:val="auto"/>
          <w:sz w:val="32"/>
          <w:szCs w:val="32"/>
          <w:highlight w:val="none"/>
          <w:lang w:val="en-US" w:eastAsia="zh-CN"/>
        </w:rPr>
        <w:t>200.45</w:t>
      </w:r>
      <w:r>
        <w:rPr>
          <w:rFonts w:hint="eastAsia" w:ascii="仿宋" w:hAnsi="仿宋" w:eastAsia="仿宋"/>
          <w:color w:val="auto"/>
          <w:sz w:val="32"/>
          <w:szCs w:val="32"/>
          <w:highlight w:val="none"/>
          <w:lang w:eastAsia="zh-CN"/>
        </w:rPr>
        <w:t>万元，</w:t>
      </w:r>
      <w:r>
        <w:rPr>
          <w:rFonts w:hint="eastAsia" w:ascii="仿宋" w:hAnsi="仿宋" w:eastAsia="仿宋"/>
          <w:color w:val="auto"/>
          <w:sz w:val="32"/>
          <w:szCs w:val="32"/>
          <w:highlight w:val="none"/>
          <w:lang w:val="en-US" w:eastAsia="zh-CN"/>
        </w:rPr>
        <w:t>占78.59%。</w:t>
      </w:r>
      <w:r>
        <w:rPr>
          <w:rFonts w:hint="eastAsia" w:ascii="仿宋" w:hAnsi="仿宋" w:eastAsia="仿宋"/>
          <w:color w:val="auto"/>
          <w:sz w:val="32"/>
          <w:szCs w:val="32"/>
          <w:highlight w:val="none"/>
          <w:lang w:eastAsia="zh-CN"/>
        </w:rPr>
        <w:t>；外交支出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%；国防支出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%；公共安全支出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%；教育支出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%；科学技术支出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%；文化体育与传媒支出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社会保障和就业支出</w:t>
      </w:r>
      <w:r>
        <w:rPr>
          <w:rFonts w:hint="eastAsia" w:ascii="仿宋" w:hAnsi="仿宋" w:eastAsia="仿宋"/>
          <w:color w:val="auto"/>
          <w:sz w:val="32"/>
          <w:szCs w:val="32"/>
          <w:highlight w:val="none"/>
          <w:lang w:eastAsia="zh-CN"/>
        </w:rPr>
        <w:t>（类）支出</w:t>
      </w:r>
      <w:r>
        <w:rPr>
          <w:rFonts w:hint="eastAsia" w:ascii="仿宋" w:hAnsi="仿宋" w:eastAsia="仿宋"/>
          <w:color w:val="auto"/>
          <w:sz w:val="32"/>
          <w:szCs w:val="32"/>
          <w:highlight w:val="none"/>
          <w:lang w:val="en-US" w:eastAsia="zh-CN"/>
        </w:rPr>
        <w:t>38.58</w:t>
      </w:r>
      <w:r>
        <w:rPr>
          <w:rFonts w:hint="eastAsia" w:ascii="仿宋" w:hAnsi="仿宋" w:eastAsia="仿宋"/>
          <w:color w:val="auto"/>
          <w:sz w:val="32"/>
          <w:szCs w:val="32"/>
          <w:highlight w:val="none"/>
          <w:lang w:eastAsia="zh-CN"/>
        </w:rPr>
        <w:t>万元，</w:t>
      </w:r>
      <w:r>
        <w:rPr>
          <w:rFonts w:hint="eastAsia" w:ascii="仿宋" w:hAnsi="仿宋" w:eastAsia="仿宋"/>
          <w:color w:val="auto"/>
          <w:sz w:val="32"/>
          <w:szCs w:val="32"/>
          <w:highlight w:val="none"/>
          <w:lang w:val="en-US" w:eastAsia="zh-CN"/>
        </w:rPr>
        <w:t>占15.13%。</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卫生健康支出</w:t>
      </w:r>
      <w:r>
        <w:rPr>
          <w:rFonts w:hint="eastAsia" w:ascii="仿宋" w:hAnsi="仿宋" w:eastAsia="仿宋"/>
          <w:color w:val="auto"/>
          <w:sz w:val="32"/>
          <w:szCs w:val="32"/>
          <w:highlight w:val="none"/>
          <w:lang w:eastAsia="zh-CN"/>
        </w:rPr>
        <w:t>（类）支出</w:t>
      </w:r>
      <w:r>
        <w:rPr>
          <w:rFonts w:hint="eastAsia" w:ascii="仿宋" w:hAnsi="仿宋" w:eastAsia="仿宋"/>
          <w:color w:val="auto"/>
          <w:sz w:val="32"/>
          <w:szCs w:val="32"/>
          <w:highlight w:val="none"/>
          <w:lang w:val="en-US" w:eastAsia="zh-CN"/>
        </w:rPr>
        <w:t>3.69</w:t>
      </w:r>
      <w:r>
        <w:rPr>
          <w:rFonts w:hint="eastAsia" w:ascii="仿宋" w:hAnsi="仿宋" w:eastAsia="仿宋"/>
          <w:color w:val="auto"/>
          <w:sz w:val="32"/>
          <w:szCs w:val="32"/>
          <w:highlight w:val="none"/>
          <w:lang w:eastAsia="zh-CN"/>
        </w:rPr>
        <w:t>万元，</w:t>
      </w:r>
      <w:r>
        <w:rPr>
          <w:rFonts w:hint="eastAsia" w:ascii="仿宋" w:hAnsi="仿宋" w:eastAsia="仿宋"/>
          <w:color w:val="auto"/>
          <w:sz w:val="32"/>
          <w:szCs w:val="32"/>
          <w:highlight w:val="none"/>
          <w:lang w:val="en-US" w:eastAsia="zh-CN"/>
        </w:rPr>
        <w:t>占1.45%</w:t>
      </w:r>
      <w:r>
        <w:rPr>
          <w:rFonts w:hint="eastAsia" w:ascii="仿宋" w:hAnsi="仿宋" w:eastAsia="仿宋"/>
          <w:color w:val="auto"/>
          <w:sz w:val="32"/>
          <w:szCs w:val="32"/>
          <w:highlight w:val="none"/>
          <w:lang w:eastAsia="zh-CN"/>
        </w:rPr>
        <w:t>；节能环保支出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%；城乡社区支出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%；农林水支出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%；交通运输支出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%；资源勘探工业信息等支出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%；商业服务业等支出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%；金融支出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%；援助其他地区支出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%；自然资源海洋气象等支出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住房保障支出</w:t>
      </w:r>
      <w:r>
        <w:rPr>
          <w:rFonts w:hint="eastAsia" w:ascii="仿宋" w:hAnsi="仿宋" w:eastAsia="仿宋"/>
          <w:color w:val="auto"/>
          <w:sz w:val="32"/>
          <w:szCs w:val="32"/>
          <w:highlight w:val="none"/>
          <w:lang w:eastAsia="zh-CN"/>
        </w:rPr>
        <w:t>（类）支出</w:t>
      </w:r>
      <w:r>
        <w:rPr>
          <w:rFonts w:hint="eastAsia" w:ascii="仿宋" w:hAnsi="仿宋" w:eastAsia="仿宋"/>
          <w:color w:val="auto"/>
          <w:sz w:val="32"/>
          <w:szCs w:val="32"/>
          <w:highlight w:val="none"/>
          <w:lang w:val="en-US" w:eastAsia="zh-CN"/>
        </w:rPr>
        <w:t>12.34</w:t>
      </w:r>
      <w:r>
        <w:rPr>
          <w:rFonts w:hint="eastAsia" w:ascii="仿宋" w:hAnsi="仿宋" w:eastAsia="仿宋"/>
          <w:color w:val="auto"/>
          <w:sz w:val="32"/>
          <w:szCs w:val="32"/>
          <w:highlight w:val="none"/>
          <w:lang w:eastAsia="zh-CN"/>
        </w:rPr>
        <w:t>万元，</w:t>
      </w:r>
      <w:r>
        <w:rPr>
          <w:rFonts w:hint="eastAsia" w:ascii="仿宋" w:hAnsi="仿宋" w:eastAsia="仿宋"/>
          <w:color w:val="auto"/>
          <w:sz w:val="32"/>
          <w:szCs w:val="32"/>
          <w:highlight w:val="none"/>
          <w:lang w:val="en-US" w:eastAsia="zh-CN"/>
        </w:rPr>
        <w:t>占4.83%</w:t>
      </w:r>
      <w:r>
        <w:rPr>
          <w:rFonts w:hint="eastAsia" w:ascii="仿宋" w:hAnsi="仿宋" w:eastAsia="仿宋"/>
          <w:color w:val="auto"/>
          <w:sz w:val="32"/>
          <w:szCs w:val="32"/>
          <w:highlight w:val="none"/>
          <w:lang w:eastAsia="zh-CN"/>
        </w:rPr>
        <w:t>；粮油物资储备支出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%；国有资本经营预算支出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%；灾害防治及应急管理支出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%；其他支出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%；债务还本支出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%；债务付息支出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%；抗疫特别国债安排的支出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万元，占</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lang w:eastAsia="zh-CN"/>
        </w:rPr>
        <w:t>%。</w:t>
      </w:r>
    </w:p>
    <w:p>
      <w:pPr>
        <w:pStyle w:val="21"/>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drawing>
          <wp:inline distT="0" distB="0" distL="114300" distR="114300">
            <wp:extent cx="5330825" cy="2623185"/>
            <wp:effectExtent l="4445" t="4445" r="17780" b="20320"/>
            <wp:docPr id="4" name="图表 4" descr="7b0a202020202263686172745265734964223a2022323034363938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（饼状图）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47" w:name="_Toc15377212"/>
      <w:r>
        <w:rPr>
          <w:rFonts w:hint="eastAsia" w:ascii="仿宋" w:hAnsi="仿宋" w:eastAsia="仿宋"/>
          <w:b/>
          <w:color w:val="auto"/>
          <w:sz w:val="32"/>
          <w:szCs w:val="32"/>
          <w:highlight w:val="none"/>
        </w:rPr>
        <w:t>（三）一般公共预算财政拨款支出决算具体情况</w:t>
      </w:r>
      <w:bookmarkEnd w:id="47"/>
    </w:p>
    <w:p>
      <w:pPr>
        <w:spacing w:line="600" w:lineRule="exact"/>
        <w:ind w:firstLine="643" w:firstLineChars="200"/>
        <w:outlineLvl w:val="2"/>
        <w:rPr>
          <w:rStyle w:val="25"/>
          <w:rFonts w:hint="eastAsia" w:ascii="仿宋" w:hAnsi="仿宋" w:eastAsia="仿宋"/>
          <w:bCs/>
          <w:color w:val="auto"/>
          <w:sz w:val="32"/>
          <w:szCs w:val="32"/>
          <w:highlight w:val="none"/>
        </w:rPr>
      </w:pPr>
      <w:bookmarkStart w:id="48" w:name="_Toc15378460"/>
      <w:bookmarkStart w:id="49" w:name="_Toc15377444"/>
      <w:bookmarkStart w:id="50" w:name="_Toc15377213"/>
      <w:r>
        <w:rPr>
          <w:rFonts w:hint="eastAsia" w:ascii="仿宋" w:hAnsi="仿宋" w:eastAsia="仿宋"/>
          <w:b/>
          <w:color w:val="auto"/>
          <w:sz w:val="32"/>
          <w:szCs w:val="32"/>
          <w:highlight w:val="none"/>
          <w:lang w:eastAsia="zh-CN"/>
        </w:rPr>
        <w:t>2022年一</w:t>
      </w:r>
      <w:r>
        <w:rPr>
          <w:rFonts w:hint="eastAsia" w:ascii="仿宋" w:hAnsi="仿宋" w:eastAsia="仿宋"/>
          <w:b/>
          <w:color w:val="auto"/>
          <w:sz w:val="32"/>
          <w:szCs w:val="32"/>
          <w:highlight w:val="none"/>
        </w:rPr>
        <w:t>般公共预算</w:t>
      </w:r>
      <w:r>
        <w:rPr>
          <w:rFonts w:hint="eastAsia" w:ascii="仿宋" w:hAnsi="仿宋" w:eastAsia="仿宋"/>
          <w:b/>
          <w:color w:val="auto"/>
          <w:sz w:val="32"/>
          <w:szCs w:val="32"/>
          <w:highlight w:val="none"/>
          <w:lang w:val="en-US" w:eastAsia="zh-CN"/>
        </w:rPr>
        <w:t>全年预算数为255.07万元，</w:t>
      </w:r>
      <w:r>
        <w:rPr>
          <w:rFonts w:hint="eastAsia" w:ascii="仿宋" w:hAnsi="仿宋" w:eastAsia="仿宋"/>
          <w:b/>
          <w:color w:val="auto"/>
          <w:sz w:val="32"/>
          <w:szCs w:val="32"/>
          <w:highlight w:val="none"/>
        </w:rPr>
        <w:t>支出决算数为</w:t>
      </w:r>
      <w:r>
        <w:rPr>
          <w:rFonts w:hint="eastAsia" w:ascii="仿宋" w:hAnsi="仿宋" w:eastAsia="仿宋"/>
          <w:b/>
          <w:color w:val="auto"/>
          <w:sz w:val="32"/>
          <w:szCs w:val="32"/>
          <w:highlight w:val="none"/>
          <w:lang w:val="en-US" w:eastAsia="zh-CN"/>
        </w:rPr>
        <w:t>255.07</w:t>
      </w:r>
      <w:r>
        <w:rPr>
          <w:rFonts w:hint="eastAsia" w:ascii="仿宋" w:hAnsi="仿宋" w:eastAsia="仿宋"/>
          <w:color w:val="auto"/>
          <w:sz w:val="32"/>
          <w:szCs w:val="32"/>
          <w:highlight w:val="none"/>
          <w:lang w:val="en-US" w:eastAsia="zh-CN"/>
        </w:rPr>
        <w:t>万元</w:t>
      </w:r>
      <w:r>
        <w:rPr>
          <w:rFonts w:hint="eastAsia" w:ascii="仿宋" w:hAnsi="仿宋" w:eastAsia="仿宋"/>
          <w:color w:val="auto"/>
          <w:sz w:val="32"/>
          <w:szCs w:val="32"/>
          <w:highlight w:val="none"/>
        </w:rPr>
        <w:t>，</w:t>
      </w:r>
      <w:r>
        <w:rPr>
          <w:rStyle w:val="25"/>
          <w:rFonts w:hint="eastAsia" w:ascii="仿宋" w:hAnsi="仿宋" w:eastAsia="仿宋"/>
          <w:bCs/>
          <w:color w:val="auto"/>
          <w:sz w:val="32"/>
          <w:szCs w:val="32"/>
          <w:highlight w:val="none"/>
        </w:rPr>
        <w:t>完成预算</w:t>
      </w:r>
      <w:r>
        <w:rPr>
          <w:rStyle w:val="25"/>
          <w:rFonts w:hint="eastAsia" w:ascii="仿宋" w:hAnsi="仿宋" w:eastAsia="仿宋"/>
          <w:bCs/>
          <w:color w:val="auto"/>
          <w:sz w:val="32"/>
          <w:szCs w:val="32"/>
          <w:highlight w:val="none"/>
          <w:lang w:val="en-US" w:eastAsia="zh-CN"/>
        </w:rPr>
        <w:t>100</w:t>
      </w:r>
      <w:r>
        <w:rPr>
          <w:rStyle w:val="25"/>
          <w:rFonts w:ascii="仿宋" w:hAnsi="仿宋" w:eastAsia="仿宋"/>
          <w:bCs/>
          <w:color w:val="auto"/>
          <w:sz w:val="32"/>
          <w:szCs w:val="32"/>
          <w:highlight w:val="none"/>
        </w:rPr>
        <w:t>%</w:t>
      </w:r>
      <w:r>
        <w:rPr>
          <w:rStyle w:val="25"/>
          <w:rFonts w:hint="eastAsia" w:ascii="仿宋" w:hAnsi="仿宋" w:eastAsia="仿宋"/>
          <w:bCs/>
          <w:color w:val="auto"/>
          <w:sz w:val="32"/>
          <w:szCs w:val="32"/>
          <w:highlight w:val="none"/>
        </w:rPr>
        <w:t>。其中：</w:t>
      </w:r>
      <w:bookmarkEnd w:id="48"/>
      <w:bookmarkEnd w:id="49"/>
      <w:bookmarkEnd w:id="50"/>
    </w:p>
    <w:p>
      <w:pPr>
        <w:numPr>
          <w:ilvl w:val="0"/>
          <w:numId w:val="4"/>
        </w:numPr>
        <w:spacing w:line="600" w:lineRule="exact"/>
        <w:ind w:left="-13" w:leftChars="0" w:firstLine="643" w:firstLineChars="0"/>
        <w:rPr>
          <w:rFonts w:ascii="仿宋" w:hAnsi="仿宋" w:eastAsia="仿宋"/>
          <w:b/>
          <w:color w:val="auto"/>
          <w:sz w:val="32"/>
          <w:szCs w:val="32"/>
          <w:highlight w:val="none"/>
        </w:rPr>
      </w:pPr>
      <w:r>
        <w:rPr>
          <w:rStyle w:val="25"/>
          <w:rFonts w:hint="eastAsia" w:ascii="仿宋" w:hAnsi="仿宋" w:eastAsia="仿宋"/>
          <w:bCs/>
          <w:color w:val="auto"/>
          <w:sz w:val="32"/>
          <w:szCs w:val="32"/>
          <w:highlight w:val="none"/>
          <w:lang w:val="en-US" w:eastAsia="zh-CN"/>
        </w:rPr>
        <w:t>一般公共服务支出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201</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统战事务</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34</w:t>
      </w:r>
      <w:r>
        <w:rPr>
          <w:rFonts w:hint="eastAsia" w:ascii="仿宋" w:hAnsi="仿宋" w:eastAsia="仿宋"/>
          <w:b/>
          <w:bCs w:val="0"/>
          <w:color w:val="auto"/>
          <w:sz w:val="32"/>
          <w:szCs w:val="32"/>
          <w:lang w:eastAsia="zh-CN"/>
        </w:rPr>
        <w:t>）行政运行（</w:t>
      </w:r>
      <w:r>
        <w:rPr>
          <w:rFonts w:hint="eastAsia" w:ascii="仿宋" w:hAnsi="仿宋" w:eastAsia="仿宋"/>
          <w:b/>
          <w:bCs w:val="0"/>
          <w:color w:val="auto"/>
          <w:sz w:val="32"/>
          <w:szCs w:val="32"/>
          <w:lang w:val="en-US" w:eastAsia="zh-CN"/>
        </w:rPr>
        <w:t>01</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lang w:val="en-US" w:eastAsia="zh-CN"/>
        </w:rPr>
        <w:t>全年预算为111.78万元</w:t>
      </w:r>
      <w:r>
        <w:rPr>
          <w:rStyle w:val="25"/>
          <w:rFonts w:hint="eastAsia" w:ascii="仿宋" w:hAnsi="仿宋" w:eastAsia="仿宋"/>
          <w:b w:val="0"/>
          <w:bCs/>
          <w:color w:val="000000"/>
          <w:sz w:val="32"/>
          <w:szCs w:val="32"/>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111.78</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pPr>
      <w:r>
        <w:rPr>
          <w:rStyle w:val="25"/>
          <w:rFonts w:hint="eastAsia" w:ascii="仿宋" w:hAnsi="仿宋" w:eastAsia="仿宋"/>
          <w:bCs/>
          <w:color w:val="auto"/>
          <w:sz w:val="32"/>
          <w:szCs w:val="32"/>
          <w:highlight w:val="none"/>
          <w:lang w:val="en-US" w:eastAsia="zh-CN"/>
        </w:rPr>
        <w:t>一般公共服务支出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201</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统战事务</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34</w:t>
      </w:r>
      <w:r>
        <w:rPr>
          <w:rFonts w:hint="eastAsia" w:ascii="仿宋" w:hAnsi="仿宋" w:eastAsia="仿宋"/>
          <w:b/>
          <w:bCs w:val="0"/>
          <w:color w:val="auto"/>
          <w:sz w:val="32"/>
          <w:szCs w:val="32"/>
          <w:lang w:eastAsia="zh-CN"/>
        </w:rPr>
        <w:t>）  一般行政管理事务（</w:t>
      </w:r>
      <w:r>
        <w:rPr>
          <w:rFonts w:hint="eastAsia" w:ascii="仿宋" w:hAnsi="仿宋" w:eastAsia="仿宋"/>
          <w:b/>
          <w:bCs w:val="0"/>
          <w:color w:val="auto"/>
          <w:sz w:val="32"/>
          <w:szCs w:val="32"/>
          <w:lang w:val="en-US" w:eastAsia="zh-CN"/>
        </w:rPr>
        <w:t>02</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lang w:val="en-US" w:eastAsia="zh-CN"/>
        </w:rPr>
        <w:t>全年预算</w:t>
      </w:r>
      <w:r>
        <w:rPr>
          <w:rStyle w:val="25"/>
          <w:rFonts w:hint="eastAsia" w:ascii="仿宋" w:hAnsi="仿宋" w:eastAsia="仿宋"/>
          <w:b w:val="0"/>
          <w:bCs/>
          <w:color w:val="auto"/>
          <w:sz w:val="32"/>
          <w:szCs w:val="32"/>
        </w:rPr>
        <w:t>为</w:t>
      </w:r>
      <w:r>
        <w:rPr>
          <w:rStyle w:val="25"/>
          <w:rFonts w:hint="eastAsia" w:ascii="仿宋" w:hAnsi="仿宋" w:eastAsia="仿宋"/>
          <w:b w:val="0"/>
          <w:bCs/>
          <w:color w:val="auto"/>
          <w:sz w:val="32"/>
          <w:szCs w:val="32"/>
          <w:lang w:val="en-US" w:eastAsia="zh-CN"/>
        </w:rPr>
        <w:t>38.72</w:t>
      </w:r>
      <w:r>
        <w:rPr>
          <w:rStyle w:val="25"/>
          <w:rFonts w:hint="eastAsia" w:ascii="仿宋" w:hAnsi="仿宋" w:eastAsia="仿宋"/>
          <w:b w:val="0"/>
          <w:bCs/>
          <w:color w:val="000000"/>
          <w:sz w:val="32"/>
          <w:szCs w:val="32"/>
        </w:rPr>
        <w:t>万元，</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38.72</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Style w:val="25"/>
          <w:rFonts w:hint="eastAsia" w:ascii="仿宋" w:hAnsi="仿宋" w:eastAsia="仿宋"/>
          <w:bCs/>
          <w:color w:val="auto"/>
          <w:sz w:val="32"/>
          <w:szCs w:val="32"/>
          <w:highlight w:val="none"/>
          <w:lang w:val="en-US" w:eastAsia="zh-CN"/>
        </w:rPr>
        <w:t>一般公共服务支出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201</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统战事务</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34</w:t>
      </w:r>
      <w:r>
        <w:rPr>
          <w:rFonts w:hint="eastAsia" w:ascii="仿宋" w:hAnsi="仿宋" w:eastAsia="仿宋"/>
          <w:b/>
          <w:bCs w:val="0"/>
          <w:color w:val="auto"/>
          <w:sz w:val="32"/>
          <w:szCs w:val="32"/>
          <w:lang w:eastAsia="zh-CN"/>
        </w:rPr>
        <w:t>）宗教事务（</w:t>
      </w:r>
      <w:r>
        <w:rPr>
          <w:rFonts w:hint="eastAsia" w:ascii="仿宋" w:hAnsi="仿宋" w:eastAsia="仿宋"/>
          <w:b/>
          <w:bCs w:val="0"/>
          <w:color w:val="auto"/>
          <w:sz w:val="32"/>
          <w:szCs w:val="32"/>
          <w:lang w:val="en-US" w:eastAsia="zh-CN"/>
        </w:rPr>
        <w:t>04</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lang w:val="en-US" w:eastAsia="zh-CN"/>
        </w:rPr>
        <w:t>全年预算为17.17</w:t>
      </w:r>
      <w:r>
        <w:rPr>
          <w:rStyle w:val="25"/>
          <w:rFonts w:hint="eastAsia" w:ascii="仿宋" w:hAnsi="仿宋" w:eastAsia="仿宋"/>
          <w:b w:val="0"/>
          <w:bCs/>
          <w:color w:val="000000"/>
          <w:sz w:val="32"/>
          <w:szCs w:val="32"/>
        </w:rPr>
        <w:t>万元</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17.17</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pStyle w:val="21"/>
      </w:pPr>
    </w:p>
    <w:p>
      <w:pPr>
        <w:numPr>
          <w:ilvl w:val="0"/>
          <w:numId w:val="4"/>
        </w:numPr>
        <w:spacing w:line="600" w:lineRule="exact"/>
        <w:ind w:left="-13" w:leftChars="0" w:firstLine="643" w:firstLineChars="0"/>
      </w:pPr>
      <w:r>
        <w:rPr>
          <w:rStyle w:val="25"/>
          <w:rFonts w:hint="eastAsia" w:ascii="仿宋" w:hAnsi="仿宋" w:eastAsia="仿宋"/>
          <w:bCs/>
          <w:color w:val="auto"/>
          <w:sz w:val="32"/>
          <w:szCs w:val="32"/>
          <w:highlight w:val="none"/>
          <w:lang w:val="en-US" w:eastAsia="zh-CN"/>
        </w:rPr>
        <w:t>一般公共服务支出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201</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统战事务</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34</w:t>
      </w:r>
      <w:r>
        <w:rPr>
          <w:rFonts w:hint="eastAsia" w:ascii="仿宋" w:hAnsi="仿宋" w:eastAsia="仿宋"/>
          <w:b/>
          <w:bCs w:val="0"/>
          <w:color w:val="auto"/>
          <w:sz w:val="32"/>
          <w:szCs w:val="32"/>
          <w:lang w:eastAsia="zh-CN"/>
        </w:rPr>
        <w:t>）华侨事务（</w:t>
      </w:r>
      <w:r>
        <w:rPr>
          <w:rFonts w:hint="eastAsia" w:ascii="仿宋" w:hAnsi="仿宋" w:eastAsia="仿宋"/>
          <w:b/>
          <w:bCs w:val="0"/>
          <w:color w:val="auto"/>
          <w:sz w:val="32"/>
          <w:szCs w:val="32"/>
          <w:lang w:val="en-US" w:eastAsia="zh-CN"/>
        </w:rPr>
        <w:t>05</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lang w:val="en-US" w:eastAsia="zh-CN"/>
        </w:rPr>
        <w:t>全年预算为0.68</w:t>
      </w:r>
      <w:r>
        <w:rPr>
          <w:rStyle w:val="25"/>
          <w:rFonts w:hint="eastAsia" w:ascii="仿宋" w:hAnsi="仿宋" w:eastAsia="仿宋"/>
          <w:b w:val="0"/>
          <w:bCs/>
          <w:color w:val="000000"/>
          <w:sz w:val="32"/>
          <w:szCs w:val="32"/>
        </w:rPr>
        <w:t>万元，</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0.68</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pPr>
      <w:r>
        <w:rPr>
          <w:rStyle w:val="25"/>
          <w:rFonts w:hint="eastAsia" w:ascii="仿宋" w:hAnsi="仿宋" w:eastAsia="仿宋"/>
          <w:bCs/>
          <w:color w:val="auto"/>
          <w:sz w:val="32"/>
          <w:szCs w:val="32"/>
          <w:highlight w:val="none"/>
          <w:lang w:val="en-US" w:eastAsia="zh-CN"/>
        </w:rPr>
        <w:t>一般公共服务支出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201</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统战事务</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34</w:t>
      </w:r>
      <w:r>
        <w:rPr>
          <w:rFonts w:hint="eastAsia" w:ascii="仿宋" w:hAnsi="仿宋" w:eastAsia="仿宋"/>
          <w:b/>
          <w:bCs w:val="0"/>
          <w:color w:val="auto"/>
          <w:sz w:val="32"/>
          <w:szCs w:val="32"/>
          <w:lang w:eastAsia="zh-CN"/>
        </w:rPr>
        <w:t>）  事业运行（</w:t>
      </w:r>
      <w:r>
        <w:rPr>
          <w:rFonts w:hint="eastAsia" w:ascii="仿宋" w:hAnsi="仿宋" w:eastAsia="仿宋"/>
          <w:b/>
          <w:bCs w:val="0"/>
          <w:color w:val="auto"/>
          <w:sz w:val="32"/>
          <w:szCs w:val="32"/>
          <w:lang w:val="en-US" w:eastAsia="zh-CN"/>
        </w:rPr>
        <w:t>50</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32.10</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Style w:val="25"/>
          <w:rFonts w:hint="eastAsia" w:ascii="仿宋" w:hAnsi="仿宋" w:eastAsia="仿宋"/>
          <w:bCs/>
          <w:color w:val="auto"/>
          <w:sz w:val="32"/>
          <w:szCs w:val="32"/>
          <w:highlight w:val="none"/>
          <w:lang w:val="en-US" w:eastAsia="zh-CN"/>
        </w:rPr>
        <w:t>社会保障和就业支出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208</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行政事业单位养老支出</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05</w:t>
      </w:r>
      <w:r>
        <w:rPr>
          <w:rFonts w:hint="eastAsia" w:ascii="仿宋" w:hAnsi="仿宋" w:eastAsia="仿宋"/>
          <w:b/>
          <w:bCs w:val="0"/>
          <w:color w:val="auto"/>
          <w:sz w:val="32"/>
          <w:szCs w:val="32"/>
          <w:lang w:eastAsia="zh-CN"/>
        </w:rPr>
        <w:t>）行政单位离退休（</w:t>
      </w:r>
      <w:r>
        <w:rPr>
          <w:rFonts w:hint="eastAsia" w:ascii="仿宋" w:hAnsi="仿宋" w:eastAsia="仿宋"/>
          <w:b/>
          <w:bCs w:val="0"/>
          <w:color w:val="auto"/>
          <w:sz w:val="32"/>
          <w:szCs w:val="32"/>
          <w:lang w:val="en-US" w:eastAsia="zh-CN"/>
        </w:rPr>
        <w:t>01</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4.76</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Style w:val="25"/>
          <w:rFonts w:hint="eastAsia" w:ascii="仿宋" w:hAnsi="仿宋" w:eastAsia="仿宋"/>
          <w:bCs/>
          <w:color w:val="auto"/>
          <w:sz w:val="32"/>
          <w:szCs w:val="32"/>
          <w:highlight w:val="none"/>
          <w:lang w:val="en-US" w:eastAsia="zh-CN"/>
        </w:rPr>
        <w:t>社会保障和就业支出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208</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行政事业单位养老支出</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05</w:t>
      </w:r>
      <w:r>
        <w:rPr>
          <w:rFonts w:hint="eastAsia" w:ascii="仿宋" w:hAnsi="仿宋" w:eastAsia="仿宋"/>
          <w:b/>
          <w:bCs w:val="0"/>
          <w:color w:val="auto"/>
          <w:sz w:val="32"/>
          <w:szCs w:val="32"/>
          <w:lang w:eastAsia="zh-CN"/>
        </w:rPr>
        <w:t>）离退休人员管理机构（</w:t>
      </w:r>
      <w:r>
        <w:rPr>
          <w:rFonts w:hint="eastAsia" w:ascii="仿宋" w:hAnsi="仿宋" w:eastAsia="仿宋"/>
          <w:b/>
          <w:bCs w:val="0"/>
          <w:color w:val="auto"/>
          <w:sz w:val="32"/>
          <w:szCs w:val="32"/>
          <w:lang w:val="en-US" w:eastAsia="zh-CN"/>
        </w:rPr>
        <w:t>03</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0.45</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Style w:val="25"/>
          <w:rFonts w:hint="eastAsia" w:ascii="仿宋" w:hAnsi="仿宋" w:eastAsia="仿宋"/>
          <w:bCs/>
          <w:color w:val="auto"/>
          <w:sz w:val="32"/>
          <w:szCs w:val="32"/>
          <w:highlight w:val="none"/>
          <w:lang w:val="en-US" w:eastAsia="zh-CN"/>
        </w:rPr>
        <w:t>社会保障和就业支出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208</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行政事业单位养老支出</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05</w:t>
      </w:r>
      <w:r>
        <w:rPr>
          <w:rFonts w:hint="eastAsia" w:ascii="仿宋" w:hAnsi="仿宋" w:eastAsia="仿宋"/>
          <w:b/>
          <w:bCs w:val="0"/>
          <w:color w:val="auto"/>
          <w:sz w:val="32"/>
          <w:szCs w:val="32"/>
          <w:lang w:eastAsia="zh-CN"/>
        </w:rPr>
        <w:t>）机关事业单位基本养老保险缴费支出（</w:t>
      </w:r>
      <w:r>
        <w:rPr>
          <w:rFonts w:hint="eastAsia" w:ascii="仿宋" w:hAnsi="仿宋" w:eastAsia="仿宋"/>
          <w:b/>
          <w:bCs w:val="0"/>
          <w:color w:val="auto"/>
          <w:sz w:val="32"/>
          <w:szCs w:val="32"/>
          <w:lang w:val="en-US" w:eastAsia="zh-CN"/>
        </w:rPr>
        <w:t>05</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9.36</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Style w:val="25"/>
          <w:rFonts w:hint="eastAsia" w:ascii="仿宋" w:hAnsi="仿宋" w:eastAsia="仿宋"/>
          <w:bCs/>
          <w:color w:val="auto"/>
          <w:sz w:val="32"/>
          <w:szCs w:val="32"/>
          <w:highlight w:val="none"/>
          <w:lang w:val="en-US" w:eastAsia="zh-CN"/>
        </w:rPr>
        <w:t>社会保障和就业支出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208</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抚恤</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08</w:t>
      </w:r>
      <w:r>
        <w:rPr>
          <w:rFonts w:hint="eastAsia" w:ascii="仿宋" w:hAnsi="仿宋" w:eastAsia="仿宋"/>
          <w:b/>
          <w:bCs w:val="0"/>
          <w:color w:val="auto"/>
          <w:sz w:val="32"/>
          <w:szCs w:val="32"/>
          <w:lang w:eastAsia="zh-CN"/>
        </w:rPr>
        <w:t>）死亡抚恤（</w:t>
      </w:r>
      <w:r>
        <w:rPr>
          <w:rFonts w:hint="eastAsia" w:ascii="仿宋" w:hAnsi="仿宋" w:eastAsia="仿宋"/>
          <w:b/>
          <w:bCs w:val="0"/>
          <w:color w:val="auto"/>
          <w:sz w:val="32"/>
          <w:szCs w:val="32"/>
          <w:lang w:val="en-US" w:eastAsia="zh-CN"/>
        </w:rPr>
        <w:t>01</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21.89</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pPr>
      <w:r>
        <w:rPr>
          <w:rStyle w:val="25"/>
          <w:rFonts w:hint="eastAsia" w:ascii="仿宋" w:hAnsi="仿宋" w:eastAsia="仿宋"/>
          <w:bCs/>
          <w:color w:val="auto"/>
          <w:sz w:val="32"/>
          <w:szCs w:val="32"/>
          <w:highlight w:val="none"/>
          <w:lang w:val="en-US" w:eastAsia="zh-CN"/>
        </w:rPr>
        <w:t>社会保障和就业支出</w:t>
      </w:r>
      <w:r>
        <w:rPr>
          <w:rStyle w:val="25"/>
          <w:rFonts w:hint="eastAsia" w:ascii="仿宋" w:hAnsi="仿宋" w:eastAsia="仿宋"/>
          <w:bCs/>
          <w:color w:val="auto"/>
          <w:sz w:val="32"/>
          <w:szCs w:val="32"/>
          <w:highlight w:val="none"/>
        </w:rPr>
        <w:t>（</w:t>
      </w:r>
      <w:r>
        <w:rPr>
          <w:rFonts w:hint="eastAsia" w:ascii="仿宋" w:hAnsi="仿宋" w:eastAsia="仿宋"/>
          <w:b/>
          <w:bCs w:val="0"/>
          <w:color w:val="auto"/>
          <w:sz w:val="32"/>
          <w:szCs w:val="32"/>
          <w:lang w:val="en-US" w:eastAsia="zh-CN"/>
        </w:rPr>
        <w:t>208</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其他社会保障和就业支出</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99</w:t>
      </w:r>
      <w:r>
        <w:rPr>
          <w:rFonts w:hint="eastAsia" w:ascii="仿宋" w:hAnsi="仿宋" w:eastAsia="仿宋"/>
          <w:b/>
          <w:bCs w:val="0"/>
          <w:color w:val="auto"/>
          <w:sz w:val="32"/>
          <w:szCs w:val="32"/>
          <w:lang w:eastAsia="zh-CN"/>
        </w:rPr>
        <w:t>）其他社会保障和就业支出（</w:t>
      </w:r>
      <w:r>
        <w:rPr>
          <w:rFonts w:hint="eastAsia" w:ascii="仿宋" w:hAnsi="仿宋" w:eastAsia="仿宋"/>
          <w:b/>
          <w:bCs w:val="0"/>
          <w:color w:val="auto"/>
          <w:sz w:val="32"/>
          <w:szCs w:val="32"/>
          <w:lang w:val="en-US" w:eastAsia="zh-CN"/>
        </w:rPr>
        <w:t>99</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2.12</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Style w:val="25"/>
          <w:rFonts w:hint="eastAsia" w:ascii="仿宋" w:hAnsi="仿宋" w:eastAsia="仿宋"/>
          <w:bCs/>
          <w:color w:val="auto"/>
          <w:sz w:val="32"/>
          <w:szCs w:val="32"/>
          <w:highlight w:val="none"/>
          <w:lang w:val="en-US" w:eastAsia="zh-CN"/>
        </w:rPr>
        <w:t>卫生健康支出</w:t>
      </w:r>
      <w:r>
        <w:rPr>
          <w:rStyle w:val="25"/>
          <w:rFonts w:hint="eastAsia" w:ascii="仿宋" w:hAnsi="仿宋" w:eastAsia="仿宋"/>
          <w:bCs/>
          <w:color w:val="auto"/>
          <w:sz w:val="32"/>
          <w:szCs w:val="32"/>
          <w:highlight w:val="none"/>
        </w:rPr>
        <w:t>（</w:t>
      </w:r>
      <w:r>
        <w:rPr>
          <w:rStyle w:val="25"/>
          <w:rFonts w:hint="eastAsia" w:ascii="仿宋" w:hAnsi="仿宋" w:eastAsia="仿宋"/>
          <w:bCs/>
          <w:color w:val="auto"/>
          <w:sz w:val="32"/>
          <w:szCs w:val="32"/>
          <w:highlight w:val="none"/>
          <w:lang w:val="en-US" w:eastAsia="zh-CN"/>
        </w:rPr>
        <w:t>210</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行政事业单位医疗</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11</w:t>
      </w:r>
      <w:r>
        <w:rPr>
          <w:rFonts w:hint="eastAsia" w:ascii="仿宋" w:hAnsi="仿宋" w:eastAsia="仿宋"/>
          <w:b/>
          <w:bCs w:val="0"/>
          <w:color w:val="auto"/>
          <w:sz w:val="32"/>
          <w:szCs w:val="32"/>
          <w:lang w:eastAsia="zh-CN"/>
        </w:rPr>
        <w:t>）行政单位医疗（</w:t>
      </w:r>
      <w:r>
        <w:rPr>
          <w:rFonts w:hint="eastAsia" w:ascii="仿宋" w:hAnsi="仿宋" w:eastAsia="仿宋"/>
          <w:b/>
          <w:bCs w:val="0"/>
          <w:color w:val="auto"/>
          <w:sz w:val="32"/>
          <w:szCs w:val="32"/>
          <w:lang w:val="en-US" w:eastAsia="zh-CN"/>
        </w:rPr>
        <w:t>01</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3.69</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numPr>
          <w:ilvl w:val="0"/>
          <w:numId w:val="4"/>
        </w:numPr>
        <w:spacing w:line="600" w:lineRule="exact"/>
        <w:ind w:left="-13" w:leftChars="0" w:firstLine="643" w:firstLineChars="0"/>
        <w:rPr>
          <w:rFonts w:ascii="仿宋" w:hAnsi="仿宋" w:eastAsia="仿宋"/>
          <w:b/>
          <w:color w:val="auto"/>
          <w:sz w:val="32"/>
          <w:szCs w:val="32"/>
          <w:highlight w:val="none"/>
        </w:rPr>
      </w:pPr>
      <w:r>
        <w:rPr>
          <w:rStyle w:val="25"/>
          <w:rFonts w:hint="eastAsia" w:ascii="仿宋" w:hAnsi="仿宋" w:eastAsia="仿宋"/>
          <w:bCs/>
          <w:color w:val="auto"/>
          <w:sz w:val="32"/>
          <w:szCs w:val="32"/>
          <w:highlight w:val="none"/>
          <w:lang w:val="en-US" w:eastAsia="zh-CN"/>
        </w:rPr>
        <w:t>住房保障支出</w:t>
      </w:r>
      <w:r>
        <w:rPr>
          <w:rStyle w:val="25"/>
          <w:rFonts w:hint="eastAsia" w:ascii="仿宋" w:hAnsi="仿宋" w:eastAsia="仿宋"/>
          <w:bCs/>
          <w:color w:val="auto"/>
          <w:sz w:val="32"/>
          <w:szCs w:val="32"/>
          <w:highlight w:val="none"/>
        </w:rPr>
        <w:t>（</w:t>
      </w:r>
      <w:r>
        <w:rPr>
          <w:rStyle w:val="25"/>
          <w:rFonts w:hint="eastAsia" w:ascii="仿宋" w:hAnsi="仿宋" w:eastAsia="仿宋"/>
          <w:bCs/>
          <w:color w:val="auto"/>
          <w:sz w:val="32"/>
          <w:szCs w:val="32"/>
          <w:highlight w:val="none"/>
          <w:lang w:val="en-US" w:eastAsia="zh-CN"/>
        </w:rPr>
        <w:t>221</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住房改革支出</w:t>
      </w:r>
      <w:r>
        <w:rPr>
          <w:rFonts w:hint="eastAsia" w:ascii="仿宋" w:hAnsi="仿宋" w:eastAsia="仿宋"/>
          <w:b/>
          <w:bCs w:val="0"/>
          <w:color w:val="auto"/>
          <w:sz w:val="32"/>
          <w:szCs w:val="32"/>
          <w:lang w:eastAsia="zh-CN"/>
        </w:rPr>
        <w:t>（</w:t>
      </w:r>
      <w:r>
        <w:rPr>
          <w:rFonts w:hint="eastAsia" w:ascii="仿宋" w:hAnsi="仿宋" w:eastAsia="仿宋"/>
          <w:b/>
          <w:bCs w:val="0"/>
          <w:color w:val="auto"/>
          <w:sz w:val="32"/>
          <w:szCs w:val="32"/>
          <w:lang w:val="en-US" w:eastAsia="zh-CN"/>
        </w:rPr>
        <w:t>02</w:t>
      </w:r>
      <w:r>
        <w:rPr>
          <w:rFonts w:hint="eastAsia" w:ascii="仿宋" w:hAnsi="仿宋" w:eastAsia="仿宋"/>
          <w:b/>
          <w:bCs w:val="0"/>
          <w:color w:val="auto"/>
          <w:sz w:val="32"/>
          <w:szCs w:val="32"/>
          <w:lang w:eastAsia="zh-CN"/>
        </w:rPr>
        <w:t>）住房公积金（</w:t>
      </w:r>
      <w:r>
        <w:rPr>
          <w:rFonts w:hint="eastAsia" w:ascii="仿宋" w:hAnsi="仿宋" w:eastAsia="仿宋"/>
          <w:b/>
          <w:bCs w:val="0"/>
          <w:color w:val="auto"/>
          <w:sz w:val="32"/>
          <w:szCs w:val="32"/>
          <w:lang w:val="en-US" w:eastAsia="zh-CN"/>
        </w:rPr>
        <w:t>01</w:t>
      </w:r>
      <w:r>
        <w:rPr>
          <w:rFonts w:hint="eastAsia" w:ascii="仿宋" w:hAnsi="仿宋" w:eastAsia="仿宋"/>
          <w:b/>
          <w:bCs w:val="0"/>
          <w:color w:val="auto"/>
          <w:sz w:val="32"/>
          <w:szCs w:val="32"/>
          <w:lang w:eastAsia="zh-CN"/>
        </w:rPr>
        <w:t>）：</w:t>
      </w:r>
      <w:r>
        <w:rPr>
          <w:rStyle w:val="25"/>
          <w:rFonts w:hint="eastAsia" w:ascii="仿宋" w:hAnsi="仿宋" w:eastAsia="仿宋"/>
          <w:b w:val="0"/>
          <w:bCs/>
          <w:color w:val="auto"/>
          <w:sz w:val="32"/>
          <w:szCs w:val="32"/>
        </w:rPr>
        <w:t>支出决算为</w:t>
      </w:r>
      <w:r>
        <w:rPr>
          <w:rStyle w:val="25"/>
          <w:rFonts w:hint="eastAsia" w:ascii="仿宋" w:hAnsi="仿宋" w:eastAsia="仿宋"/>
          <w:b w:val="0"/>
          <w:bCs/>
          <w:color w:val="auto"/>
          <w:sz w:val="32"/>
          <w:szCs w:val="32"/>
          <w:lang w:val="en-US" w:eastAsia="zh-CN"/>
        </w:rPr>
        <w:t>12.34</w:t>
      </w:r>
      <w:r>
        <w:rPr>
          <w:rStyle w:val="25"/>
          <w:rFonts w:hint="eastAsia" w:ascii="仿宋" w:hAnsi="仿宋" w:eastAsia="仿宋"/>
          <w:b w:val="0"/>
          <w:bCs/>
          <w:color w:val="000000"/>
          <w:sz w:val="32"/>
          <w:szCs w:val="32"/>
        </w:rPr>
        <w:t>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lang w:eastAsia="zh-CN"/>
        </w:rPr>
        <w:t>，</w:t>
      </w:r>
      <w:r>
        <w:rPr>
          <w:rStyle w:val="25"/>
          <w:rFonts w:hint="eastAsia" w:ascii="仿宋" w:hAnsi="仿宋" w:eastAsia="仿宋"/>
          <w:b w:val="0"/>
          <w:bCs/>
          <w:color w:val="000000"/>
          <w:sz w:val="32"/>
          <w:szCs w:val="32"/>
          <w:lang w:val="en-US" w:eastAsia="zh-CN"/>
        </w:rPr>
        <w:t>与全年预算数持平</w:t>
      </w:r>
      <w:r>
        <w:rPr>
          <w:rStyle w:val="25"/>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40"/>
          <w:color w:val="auto"/>
          <w:highlight w:val="none"/>
        </w:rPr>
      </w:pPr>
      <w:bookmarkStart w:id="51" w:name="_Toc8186"/>
      <w:bookmarkStart w:id="52" w:name="_Toc15377214"/>
      <w:bookmarkStart w:id="53" w:name="_Toc15396608"/>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40"/>
          <w:rFonts w:hint="eastAsia" w:ascii="黑体" w:hAnsi="黑体" w:eastAsia="黑体"/>
          <w:b w:val="0"/>
          <w:color w:val="auto"/>
          <w:highlight w:val="none"/>
        </w:rPr>
        <w:t>般公共预算财政拨款基本支出决算情况说明</w:t>
      </w:r>
      <w:bookmarkEnd w:id="51"/>
      <w:bookmarkEnd w:id="52"/>
      <w:bookmarkEnd w:id="53"/>
      <w:r>
        <w:rPr>
          <w:rStyle w:val="40"/>
          <w:rFonts w:ascii="黑体" w:hAnsi="黑体" w:eastAsia="黑体"/>
          <w:b w:val="0"/>
          <w:color w:val="auto"/>
          <w:highlight w:val="none"/>
        </w:rPr>
        <w:tab/>
      </w:r>
    </w:p>
    <w:p>
      <w:pPr>
        <w:spacing w:line="600" w:lineRule="exact"/>
        <w:ind w:firstLine="645"/>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2022年</w:t>
      </w:r>
      <w:r>
        <w:rPr>
          <w:rFonts w:hint="eastAsia" w:ascii="仿宋" w:hAnsi="仿宋" w:eastAsia="仿宋" w:cs="仿宋"/>
          <w:color w:val="auto"/>
          <w:sz w:val="32"/>
          <w:szCs w:val="32"/>
          <w:highlight w:val="none"/>
        </w:rPr>
        <w:t>一般公共预算财政拨款基本支出</w:t>
      </w:r>
      <w:r>
        <w:rPr>
          <w:rFonts w:hint="eastAsia" w:ascii="仿宋" w:hAnsi="仿宋" w:eastAsia="仿宋" w:cs="仿宋"/>
          <w:color w:val="auto"/>
          <w:sz w:val="32"/>
          <w:szCs w:val="32"/>
          <w:highlight w:val="none"/>
          <w:lang w:val="en-US" w:eastAsia="zh-CN"/>
        </w:rPr>
        <w:t>198.48</w:t>
      </w:r>
      <w:r>
        <w:rPr>
          <w:rFonts w:hint="eastAsia" w:ascii="仿宋" w:hAnsi="仿宋" w:eastAsia="仿宋" w:cs="仿宋"/>
          <w:color w:val="auto"/>
          <w:sz w:val="32"/>
          <w:szCs w:val="32"/>
          <w:highlight w:val="none"/>
        </w:rPr>
        <w:t>万元，其中：</w:t>
      </w:r>
    </w:p>
    <w:p>
      <w:pPr>
        <w:adjustRightInd w:val="0"/>
        <w:snapToGrid w:val="0"/>
        <w:spacing w:line="576" w:lineRule="exact"/>
        <w:ind w:firstLine="643" w:firstLineChars="200"/>
        <w:rPr>
          <w:rFonts w:hint="eastAsia" w:ascii="仿宋" w:hAnsi="仿宋" w:eastAsia="仿宋" w:cs="仿宋"/>
          <w:color w:val="000000"/>
          <w:sz w:val="32"/>
          <w:szCs w:val="32"/>
        </w:rPr>
      </w:pPr>
      <w:r>
        <w:rPr>
          <w:rFonts w:hint="eastAsia" w:ascii="仿宋" w:hAnsi="仿宋" w:eastAsia="仿宋" w:cs="仿宋"/>
          <w:b/>
          <w:bCs/>
          <w:color w:val="000000"/>
          <w:sz w:val="32"/>
          <w:szCs w:val="32"/>
        </w:rPr>
        <w:t>人员经费</w:t>
      </w:r>
      <w:r>
        <w:rPr>
          <w:rFonts w:hint="eastAsia" w:ascii="仿宋" w:hAnsi="仿宋" w:eastAsia="仿宋" w:cs="仿宋"/>
          <w:color w:val="000000"/>
          <w:sz w:val="32"/>
          <w:szCs w:val="32"/>
          <w:lang w:val="en-US" w:eastAsia="zh-CN"/>
        </w:rPr>
        <w:t>176.89</w:t>
      </w:r>
      <w:r>
        <w:rPr>
          <w:rFonts w:hint="eastAsia" w:ascii="仿宋" w:hAnsi="仿宋" w:eastAsia="仿宋" w:cs="仿宋"/>
          <w:color w:val="000000"/>
          <w:sz w:val="32"/>
          <w:szCs w:val="32"/>
        </w:rPr>
        <w:t>万元，主要包括：基本工资</w:t>
      </w:r>
      <w:r>
        <w:rPr>
          <w:rFonts w:hint="eastAsia" w:ascii="仿宋" w:hAnsi="仿宋" w:eastAsia="仿宋" w:cs="仿宋"/>
          <w:color w:val="000000"/>
          <w:sz w:val="32"/>
          <w:szCs w:val="32"/>
          <w:lang w:val="en-US" w:eastAsia="zh-CN"/>
        </w:rPr>
        <w:t>37.86</w:t>
      </w:r>
      <w:r>
        <w:rPr>
          <w:rFonts w:hint="eastAsia" w:ascii="仿宋" w:hAnsi="仿宋" w:eastAsia="仿宋" w:cs="仿宋"/>
          <w:color w:val="000000"/>
          <w:sz w:val="32"/>
          <w:szCs w:val="32"/>
        </w:rPr>
        <w:t>万元、津贴补贴</w:t>
      </w:r>
      <w:r>
        <w:rPr>
          <w:rFonts w:hint="eastAsia" w:ascii="仿宋" w:hAnsi="仿宋" w:eastAsia="仿宋" w:cs="仿宋"/>
          <w:color w:val="000000"/>
          <w:sz w:val="32"/>
          <w:szCs w:val="32"/>
          <w:lang w:val="en-US" w:eastAsia="zh-CN"/>
        </w:rPr>
        <w:t>16.4</w:t>
      </w:r>
      <w:r>
        <w:rPr>
          <w:rFonts w:hint="eastAsia" w:ascii="仿宋" w:hAnsi="仿宋" w:eastAsia="仿宋" w:cs="仿宋"/>
          <w:color w:val="000000"/>
          <w:sz w:val="32"/>
          <w:szCs w:val="32"/>
        </w:rPr>
        <w:t>万元、奖金</w:t>
      </w:r>
      <w:r>
        <w:rPr>
          <w:rFonts w:hint="eastAsia" w:ascii="仿宋" w:hAnsi="仿宋" w:eastAsia="仿宋" w:cs="仿宋"/>
          <w:color w:val="000000"/>
          <w:sz w:val="32"/>
          <w:szCs w:val="32"/>
          <w:lang w:val="en-US" w:eastAsia="zh-CN"/>
        </w:rPr>
        <w:t>28.5</w:t>
      </w:r>
      <w:r>
        <w:rPr>
          <w:rFonts w:hint="eastAsia" w:ascii="仿宋" w:hAnsi="仿宋" w:eastAsia="仿宋" w:cs="仿宋"/>
          <w:color w:val="000000"/>
          <w:sz w:val="32"/>
          <w:szCs w:val="32"/>
        </w:rPr>
        <w:t>万元、伙食补助费</w:t>
      </w:r>
      <w:r>
        <w:rPr>
          <w:rFonts w:hint="eastAsia" w:ascii="仿宋" w:hAnsi="仿宋" w:eastAsia="仿宋" w:cs="仿宋"/>
          <w:color w:val="000000"/>
          <w:sz w:val="32"/>
          <w:szCs w:val="32"/>
          <w:lang w:val="en-US" w:eastAsia="zh-CN"/>
        </w:rPr>
        <w:t>1.54</w:t>
      </w:r>
      <w:r>
        <w:rPr>
          <w:rFonts w:hint="eastAsia" w:ascii="仿宋" w:hAnsi="仿宋" w:eastAsia="仿宋" w:cs="仿宋"/>
          <w:color w:val="000000"/>
          <w:sz w:val="32"/>
          <w:szCs w:val="32"/>
        </w:rPr>
        <w:t>万元、绩效工资</w:t>
      </w:r>
      <w:r>
        <w:rPr>
          <w:rFonts w:hint="eastAsia" w:ascii="仿宋" w:hAnsi="仿宋" w:eastAsia="仿宋" w:cs="仿宋"/>
          <w:color w:val="000000"/>
          <w:sz w:val="32"/>
          <w:szCs w:val="32"/>
          <w:lang w:val="en-US" w:eastAsia="zh-CN"/>
        </w:rPr>
        <w:t>21.83</w:t>
      </w:r>
      <w:r>
        <w:rPr>
          <w:rFonts w:hint="eastAsia" w:ascii="仿宋" w:hAnsi="仿宋" w:eastAsia="仿宋" w:cs="仿宋"/>
          <w:color w:val="000000"/>
          <w:sz w:val="32"/>
          <w:szCs w:val="32"/>
        </w:rPr>
        <w:t>万元、机关事业单位基本养老保险缴费</w:t>
      </w:r>
      <w:r>
        <w:rPr>
          <w:rFonts w:hint="eastAsia" w:ascii="仿宋" w:hAnsi="仿宋" w:eastAsia="仿宋" w:cs="仿宋"/>
          <w:color w:val="000000"/>
          <w:sz w:val="32"/>
          <w:szCs w:val="32"/>
          <w:lang w:val="en-US" w:eastAsia="zh-CN"/>
        </w:rPr>
        <w:t>9.36</w:t>
      </w:r>
      <w:r>
        <w:rPr>
          <w:rFonts w:hint="eastAsia" w:ascii="仿宋" w:hAnsi="仿宋" w:eastAsia="仿宋" w:cs="仿宋"/>
          <w:color w:val="000000"/>
          <w:sz w:val="32"/>
          <w:szCs w:val="32"/>
        </w:rPr>
        <w:t>万元、职业年金缴费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万元、职工基本医疗保险缴费</w:t>
      </w:r>
      <w:r>
        <w:rPr>
          <w:rFonts w:hint="eastAsia" w:ascii="仿宋" w:hAnsi="仿宋" w:eastAsia="仿宋" w:cs="仿宋"/>
          <w:color w:val="000000"/>
          <w:sz w:val="32"/>
          <w:szCs w:val="32"/>
          <w:lang w:val="en-US" w:eastAsia="zh-CN"/>
        </w:rPr>
        <w:t>3.69</w:t>
      </w:r>
      <w:r>
        <w:rPr>
          <w:rFonts w:hint="eastAsia" w:ascii="仿宋" w:hAnsi="仿宋" w:eastAsia="仿宋" w:cs="仿宋"/>
          <w:color w:val="000000"/>
          <w:sz w:val="32"/>
          <w:szCs w:val="32"/>
        </w:rPr>
        <w:t>万元、公务员医疗补助缴费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万元、其他社会保障缴费</w:t>
      </w:r>
      <w:r>
        <w:rPr>
          <w:rFonts w:hint="eastAsia" w:ascii="仿宋" w:hAnsi="仿宋" w:eastAsia="仿宋" w:cs="仿宋"/>
          <w:color w:val="000000"/>
          <w:sz w:val="32"/>
          <w:szCs w:val="32"/>
          <w:lang w:val="en-US" w:eastAsia="zh-CN"/>
        </w:rPr>
        <w:t>2.12</w:t>
      </w:r>
      <w:r>
        <w:rPr>
          <w:rFonts w:hint="eastAsia" w:ascii="仿宋" w:hAnsi="仿宋" w:eastAsia="仿宋" w:cs="仿宋"/>
          <w:color w:val="000000"/>
          <w:sz w:val="32"/>
          <w:szCs w:val="32"/>
        </w:rPr>
        <w:t>万元、住房公积金</w:t>
      </w:r>
      <w:r>
        <w:rPr>
          <w:rFonts w:hint="eastAsia" w:ascii="仿宋" w:hAnsi="仿宋" w:eastAsia="仿宋" w:cs="仿宋"/>
          <w:color w:val="000000"/>
          <w:sz w:val="32"/>
          <w:szCs w:val="32"/>
          <w:lang w:val="en-US" w:eastAsia="zh-CN"/>
        </w:rPr>
        <w:t>12.34</w:t>
      </w:r>
      <w:r>
        <w:rPr>
          <w:rFonts w:hint="eastAsia" w:ascii="仿宋" w:hAnsi="仿宋" w:eastAsia="仿宋" w:cs="仿宋"/>
          <w:color w:val="000000"/>
          <w:sz w:val="32"/>
          <w:szCs w:val="32"/>
        </w:rPr>
        <w:t>万元、医疗费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万元、其他工资福利支出</w:t>
      </w:r>
      <w:r>
        <w:rPr>
          <w:rFonts w:hint="eastAsia" w:ascii="仿宋" w:hAnsi="仿宋" w:eastAsia="仿宋" w:cs="仿宋"/>
          <w:color w:val="000000"/>
          <w:sz w:val="32"/>
          <w:szCs w:val="32"/>
          <w:lang w:val="en-US" w:eastAsia="zh-CN"/>
        </w:rPr>
        <w:t>11.05</w:t>
      </w:r>
      <w:r>
        <w:rPr>
          <w:rFonts w:hint="eastAsia" w:ascii="仿宋" w:hAnsi="仿宋" w:eastAsia="仿宋" w:cs="仿宋"/>
          <w:color w:val="000000"/>
          <w:sz w:val="32"/>
          <w:szCs w:val="32"/>
        </w:rPr>
        <w:t>万元、离休费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万元、退休费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万元、退职（役）费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万元、抚恤金</w:t>
      </w:r>
      <w:r>
        <w:rPr>
          <w:rFonts w:hint="eastAsia" w:ascii="仿宋" w:hAnsi="仿宋" w:eastAsia="仿宋" w:cs="仿宋"/>
          <w:color w:val="000000"/>
          <w:sz w:val="32"/>
          <w:szCs w:val="32"/>
          <w:lang w:val="en-US" w:eastAsia="zh-CN"/>
        </w:rPr>
        <w:t>21.89</w:t>
      </w:r>
      <w:r>
        <w:rPr>
          <w:rFonts w:hint="eastAsia" w:ascii="仿宋" w:hAnsi="仿宋" w:eastAsia="仿宋" w:cs="仿宋"/>
          <w:color w:val="000000"/>
          <w:sz w:val="32"/>
          <w:szCs w:val="32"/>
        </w:rPr>
        <w:t>万元、生活补助</w:t>
      </w:r>
      <w:r>
        <w:rPr>
          <w:rFonts w:hint="eastAsia" w:ascii="仿宋" w:hAnsi="仿宋" w:eastAsia="仿宋" w:cs="仿宋"/>
          <w:color w:val="000000"/>
          <w:sz w:val="32"/>
          <w:szCs w:val="32"/>
          <w:lang w:val="en-US" w:eastAsia="zh-CN"/>
        </w:rPr>
        <w:t>10.13</w:t>
      </w:r>
      <w:r>
        <w:rPr>
          <w:rFonts w:hint="eastAsia" w:ascii="仿宋" w:hAnsi="仿宋" w:eastAsia="仿宋" w:cs="仿宋"/>
          <w:color w:val="000000"/>
          <w:sz w:val="32"/>
          <w:szCs w:val="32"/>
        </w:rPr>
        <w:t>万元、救济费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万元、医疗费补助</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万元、助学金</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万元、奖励金</w:t>
      </w:r>
      <w:r>
        <w:rPr>
          <w:rFonts w:hint="eastAsia" w:ascii="仿宋" w:hAnsi="仿宋" w:eastAsia="仿宋" w:cs="仿宋"/>
          <w:color w:val="000000"/>
          <w:sz w:val="32"/>
          <w:szCs w:val="32"/>
          <w:lang w:val="en-US" w:eastAsia="zh-CN"/>
        </w:rPr>
        <w:t>0.03</w:t>
      </w:r>
      <w:r>
        <w:rPr>
          <w:rFonts w:hint="eastAsia" w:ascii="仿宋" w:hAnsi="仿宋" w:eastAsia="仿宋" w:cs="仿宋"/>
          <w:color w:val="000000"/>
          <w:sz w:val="32"/>
          <w:szCs w:val="32"/>
        </w:rPr>
        <w:t>万元、个人农业生产补贴</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万元、代缴社会保险</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万元、其他对个人和家庭的补助支出</w:t>
      </w:r>
      <w:r>
        <w:rPr>
          <w:rFonts w:hint="eastAsia" w:ascii="仿宋" w:hAnsi="仿宋" w:eastAsia="仿宋" w:cs="仿宋"/>
          <w:color w:val="000000"/>
          <w:sz w:val="32"/>
          <w:szCs w:val="32"/>
          <w:lang w:val="en-US" w:eastAsia="zh-CN"/>
        </w:rPr>
        <w:t>0.15</w:t>
      </w:r>
      <w:r>
        <w:rPr>
          <w:rFonts w:hint="eastAsia" w:ascii="仿宋" w:hAnsi="仿宋" w:eastAsia="仿宋" w:cs="仿宋"/>
          <w:color w:val="000000"/>
          <w:sz w:val="32"/>
          <w:szCs w:val="32"/>
        </w:rPr>
        <w:t>万元。</w:t>
      </w:r>
    </w:p>
    <w:p>
      <w:pPr>
        <w:adjustRightInd w:val="0"/>
        <w:snapToGrid w:val="0"/>
        <w:spacing w:line="576" w:lineRule="exact"/>
        <w:ind w:firstLine="643" w:firstLineChars="200"/>
        <w:rPr>
          <w:rFonts w:hint="eastAsia" w:ascii="仿宋" w:hAnsi="仿宋" w:eastAsia="仿宋" w:cs="仿宋"/>
          <w:color w:val="000000"/>
          <w:sz w:val="32"/>
          <w:szCs w:val="32"/>
        </w:rPr>
      </w:pPr>
      <w:r>
        <w:rPr>
          <w:rFonts w:hint="eastAsia" w:ascii="仿宋" w:hAnsi="仿宋" w:eastAsia="仿宋" w:cs="仿宋"/>
          <w:b/>
          <w:bCs/>
          <w:color w:val="000000"/>
          <w:sz w:val="32"/>
          <w:szCs w:val="32"/>
        </w:rPr>
        <w:t>公用经费</w:t>
      </w:r>
      <w:r>
        <w:rPr>
          <w:rFonts w:hint="eastAsia" w:ascii="仿宋" w:hAnsi="仿宋" w:eastAsia="仿宋" w:cs="仿宋"/>
          <w:color w:val="000000"/>
          <w:sz w:val="32"/>
          <w:szCs w:val="32"/>
          <w:lang w:val="en-US" w:eastAsia="zh-CN"/>
        </w:rPr>
        <w:t>21.59</w:t>
      </w:r>
      <w:r>
        <w:rPr>
          <w:rFonts w:hint="eastAsia" w:ascii="仿宋" w:hAnsi="仿宋" w:eastAsia="仿宋" w:cs="仿宋"/>
          <w:color w:val="000000"/>
          <w:sz w:val="32"/>
          <w:szCs w:val="32"/>
        </w:rPr>
        <w:t>万元，主要包括：办公费</w:t>
      </w:r>
      <w:r>
        <w:rPr>
          <w:rFonts w:hint="eastAsia" w:ascii="仿宋" w:hAnsi="仿宋" w:eastAsia="仿宋" w:cs="仿宋"/>
          <w:color w:val="000000"/>
          <w:sz w:val="32"/>
          <w:szCs w:val="32"/>
          <w:lang w:val="en-US" w:eastAsia="zh-CN"/>
        </w:rPr>
        <w:t>3.92</w:t>
      </w:r>
      <w:r>
        <w:rPr>
          <w:rFonts w:hint="eastAsia" w:ascii="仿宋" w:hAnsi="仿宋" w:eastAsia="仿宋" w:cs="仿宋"/>
          <w:color w:val="000000"/>
          <w:sz w:val="32"/>
          <w:szCs w:val="32"/>
        </w:rPr>
        <w:t>万元、印刷费</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万元、咨询费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万元、手续费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万元、水费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万元、电费</w:t>
      </w:r>
      <w:r>
        <w:rPr>
          <w:rFonts w:hint="eastAsia" w:ascii="仿宋" w:hAnsi="仿宋" w:eastAsia="仿宋" w:cs="仿宋"/>
          <w:color w:val="000000"/>
          <w:sz w:val="32"/>
          <w:szCs w:val="32"/>
          <w:lang w:val="en-US" w:eastAsia="zh-CN"/>
        </w:rPr>
        <w:t>0.33</w:t>
      </w:r>
      <w:r>
        <w:rPr>
          <w:rFonts w:hint="eastAsia" w:ascii="仿宋" w:hAnsi="仿宋" w:eastAsia="仿宋" w:cs="仿宋"/>
          <w:color w:val="000000"/>
          <w:sz w:val="32"/>
          <w:szCs w:val="32"/>
        </w:rPr>
        <w:t>万元、邮电费</w:t>
      </w:r>
      <w:r>
        <w:rPr>
          <w:rFonts w:hint="eastAsia" w:ascii="仿宋" w:hAnsi="仿宋" w:eastAsia="仿宋" w:cs="仿宋"/>
          <w:color w:val="000000"/>
          <w:sz w:val="32"/>
          <w:szCs w:val="32"/>
          <w:lang w:val="en-US" w:eastAsia="zh-CN"/>
        </w:rPr>
        <w:t>1.44</w:t>
      </w:r>
      <w:r>
        <w:rPr>
          <w:rFonts w:hint="eastAsia" w:ascii="仿宋" w:hAnsi="仿宋" w:eastAsia="仿宋" w:cs="仿宋"/>
          <w:color w:val="000000"/>
          <w:sz w:val="32"/>
          <w:szCs w:val="32"/>
        </w:rPr>
        <w:t>万元、取暖费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万元、物业管理费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万元、差旅费</w:t>
      </w:r>
      <w:r>
        <w:rPr>
          <w:rFonts w:hint="eastAsia" w:ascii="仿宋" w:hAnsi="仿宋" w:eastAsia="仿宋" w:cs="仿宋"/>
          <w:color w:val="000000"/>
          <w:sz w:val="32"/>
          <w:szCs w:val="32"/>
          <w:lang w:val="en-US" w:eastAsia="zh-CN"/>
        </w:rPr>
        <w:t>1.75</w:t>
      </w:r>
      <w:r>
        <w:rPr>
          <w:rFonts w:hint="eastAsia" w:ascii="仿宋" w:hAnsi="仿宋" w:eastAsia="仿宋" w:cs="仿宋"/>
          <w:color w:val="000000"/>
          <w:sz w:val="32"/>
          <w:szCs w:val="32"/>
        </w:rPr>
        <w:t>万元、因公出国（境）费用</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万元、维修（护）费</w:t>
      </w:r>
      <w:r>
        <w:rPr>
          <w:rFonts w:hint="eastAsia" w:ascii="仿宋" w:hAnsi="仿宋" w:eastAsia="仿宋" w:cs="仿宋"/>
          <w:color w:val="000000"/>
          <w:sz w:val="32"/>
          <w:szCs w:val="32"/>
          <w:lang w:val="en-US" w:eastAsia="zh-CN"/>
        </w:rPr>
        <w:t>0.01</w:t>
      </w:r>
      <w:r>
        <w:rPr>
          <w:rFonts w:hint="eastAsia" w:ascii="仿宋" w:hAnsi="仿宋" w:eastAsia="仿宋" w:cs="仿宋"/>
          <w:color w:val="000000"/>
          <w:sz w:val="32"/>
          <w:szCs w:val="32"/>
        </w:rPr>
        <w:t>万元、租赁费</w:t>
      </w:r>
      <w:r>
        <w:rPr>
          <w:rFonts w:hint="eastAsia" w:ascii="仿宋" w:hAnsi="仿宋" w:eastAsia="仿宋" w:cs="仿宋"/>
          <w:color w:val="000000"/>
          <w:sz w:val="32"/>
          <w:szCs w:val="32"/>
          <w:lang w:val="en-US" w:eastAsia="zh-CN"/>
        </w:rPr>
        <w:t>0.78</w:t>
      </w:r>
      <w:r>
        <w:rPr>
          <w:rFonts w:hint="eastAsia" w:ascii="仿宋" w:hAnsi="仿宋" w:eastAsia="仿宋" w:cs="仿宋"/>
          <w:color w:val="000000"/>
          <w:sz w:val="32"/>
          <w:szCs w:val="32"/>
        </w:rPr>
        <w:t>万元、会议费</w:t>
      </w:r>
      <w:r>
        <w:rPr>
          <w:rFonts w:hint="eastAsia" w:ascii="仿宋" w:hAnsi="仿宋" w:eastAsia="仿宋" w:cs="仿宋"/>
          <w:color w:val="000000"/>
          <w:sz w:val="32"/>
          <w:szCs w:val="32"/>
          <w:lang w:val="en-US" w:eastAsia="zh-CN"/>
        </w:rPr>
        <w:t>0.03</w:t>
      </w:r>
      <w:r>
        <w:rPr>
          <w:rFonts w:hint="eastAsia" w:ascii="仿宋" w:hAnsi="仿宋" w:eastAsia="仿宋" w:cs="仿宋"/>
          <w:color w:val="000000"/>
          <w:sz w:val="32"/>
          <w:szCs w:val="32"/>
        </w:rPr>
        <w:t>万元、培训</w:t>
      </w:r>
      <w:r>
        <w:rPr>
          <w:rFonts w:hint="eastAsia" w:ascii="仿宋" w:hAnsi="仿宋" w:eastAsia="仿宋" w:cs="仿宋"/>
          <w:color w:val="000000"/>
          <w:sz w:val="32"/>
          <w:szCs w:val="32"/>
          <w:lang w:val="en-US" w:eastAsia="zh-CN"/>
        </w:rPr>
        <w:t>费0.18</w:t>
      </w:r>
      <w:r>
        <w:rPr>
          <w:rFonts w:hint="eastAsia" w:ascii="仿宋" w:hAnsi="仿宋" w:eastAsia="仿宋" w:cs="仿宋"/>
          <w:color w:val="000000"/>
          <w:sz w:val="32"/>
          <w:szCs w:val="32"/>
        </w:rPr>
        <w:t>万元、公务接待费</w:t>
      </w:r>
      <w:r>
        <w:rPr>
          <w:rFonts w:hint="eastAsia" w:ascii="仿宋" w:hAnsi="仿宋" w:eastAsia="仿宋" w:cs="仿宋"/>
          <w:color w:val="000000"/>
          <w:sz w:val="32"/>
          <w:szCs w:val="32"/>
          <w:lang w:val="en-US" w:eastAsia="zh-CN"/>
        </w:rPr>
        <w:t>0.45</w:t>
      </w:r>
      <w:r>
        <w:rPr>
          <w:rFonts w:hint="eastAsia" w:ascii="仿宋" w:hAnsi="仿宋" w:eastAsia="仿宋" w:cs="仿宋"/>
          <w:color w:val="000000"/>
          <w:sz w:val="32"/>
          <w:szCs w:val="32"/>
        </w:rPr>
        <w:t>万元、专用材料费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万元、被装购置费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万元、专用燃料费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万元、劳务费</w:t>
      </w:r>
      <w:r>
        <w:rPr>
          <w:rFonts w:hint="eastAsia" w:ascii="仿宋" w:hAnsi="仿宋" w:eastAsia="仿宋" w:cs="仿宋"/>
          <w:color w:val="000000"/>
          <w:sz w:val="32"/>
          <w:szCs w:val="32"/>
          <w:lang w:val="en-US" w:eastAsia="zh-CN"/>
        </w:rPr>
        <w:t>0.6</w:t>
      </w:r>
      <w:r>
        <w:rPr>
          <w:rFonts w:hint="eastAsia" w:ascii="仿宋" w:hAnsi="仿宋" w:eastAsia="仿宋" w:cs="仿宋"/>
          <w:color w:val="000000"/>
          <w:sz w:val="32"/>
          <w:szCs w:val="32"/>
        </w:rPr>
        <w:t>万元、委托业务费</w:t>
      </w:r>
      <w:r>
        <w:rPr>
          <w:rFonts w:hint="eastAsia" w:ascii="仿宋" w:hAnsi="仿宋" w:eastAsia="仿宋" w:cs="仿宋"/>
          <w:color w:val="000000"/>
          <w:sz w:val="32"/>
          <w:szCs w:val="32"/>
          <w:lang w:val="en-US" w:eastAsia="zh-CN"/>
        </w:rPr>
        <w:t>0.8</w:t>
      </w:r>
      <w:r>
        <w:rPr>
          <w:rFonts w:hint="eastAsia" w:ascii="仿宋" w:hAnsi="仿宋" w:eastAsia="仿宋" w:cs="仿宋"/>
          <w:color w:val="000000"/>
          <w:sz w:val="32"/>
          <w:szCs w:val="32"/>
        </w:rPr>
        <w:t>万元、工会经费</w:t>
      </w:r>
      <w:r>
        <w:rPr>
          <w:rFonts w:hint="eastAsia" w:ascii="仿宋" w:hAnsi="仿宋" w:eastAsia="仿宋" w:cs="仿宋"/>
          <w:color w:val="000000"/>
          <w:sz w:val="32"/>
          <w:szCs w:val="32"/>
          <w:lang w:val="en-US" w:eastAsia="zh-CN"/>
        </w:rPr>
        <w:t>1.5</w:t>
      </w:r>
      <w:r>
        <w:rPr>
          <w:rFonts w:hint="eastAsia" w:ascii="仿宋" w:hAnsi="仿宋" w:eastAsia="仿宋" w:cs="仿宋"/>
          <w:color w:val="000000"/>
          <w:sz w:val="32"/>
          <w:szCs w:val="32"/>
        </w:rPr>
        <w:t>万元、福利费</w:t>
      </w:r>
      <w:r>
        <w:rPr>
          <w:rFonts w:hint="eastAsia" w:ascii="仿宋" w:hAnsi="仿宋" w:eastAsia="仿宋" w:cs="仿宋"/>
          <w:color w:val="000000"/>
          <w:sz w:val="32"/>
          <w:szCs w:val="32"/>
          <w:lang w:val="en-US" w:eastAsia="zh-CN"/>
        </w:rPr>
        <w:t>1.05</w:t>
      </w:r>
      <w:r>
        <w:rPr>
          <w:rFonts w:hint="eastAsia" w:ascii="仿宋" w:hAnsi="仿宋" w:eastAsia="仿宋" w:cs="仿宋"/>
          <w:color w:val="000000"/>
          <w:sz w:val="32"/>
          <w:szCs w:val="32"/>
        </w:rPr>
        <w:t>万元、公务用车运行维护费</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万元、其他交通费</w:t>
      </w:r>
      <w:r>
        <w:rPr>
          <w:rFonts w:hint="eastAsia" w:ascii="仿宋" w:hAnsi="仿宋" w:eastAsia="仿宋" w:cs="仿宋"/>
          <w:color w:val="000000"/>
          <w:sz w:val="32"/>
          <w:szCs w:val="32"/>
          <w:lang w:val="en-US" w:eastAsia="zh-CN"/>
        </w:rPr>
        <w:t>4.64</w:t>
      </w:r>
      <w:r>
        <w:rPr>
          <w:rFonts w:hint="eastAsia" w:ascii="仿宋" w:hAnsi="仿宋" w:eastAsia="仿宋" w:cs="仿宋"/>
          <w:color w:val="000000"/>
          <w:sz w:val="32"/>
          <w:szCs w:val="32"/>
        </w:rPr>
        <w:t>万元、税金及附加费用</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万元、其他商品和服务支出</w:t>
      </w:r>
      <w:r>
        <w:rPr>
          <w:rFonts w:hint="eastAsia" w:ascii="仿宋" w:hAnsi="仿宋" w:eastAsia="仿宋" w:cs="仿宋"/>
          <w:color w:val="000000"/>
          <w:sz w:val="32"/>
          <w:szCs w:val="32"/>
          <w:lang w:val="en-US" w:eastAsia="zh-CN"/>
        </w:rPr>
        <w:t>3.65</w:t>
      </w:r>
      <w:r>
        <w:rPr>
          <w:rFonts w:hint="eastAsia" w:ascii="仿宋" w:hAnsi="仿宋" w:eastAsia="仿宋" w:cs="仿宋"/>
          <w:color w:val="000000"/>
          <w:sz w:val="32"/>
          <w:szCs w:val="32"/>
        </w:rPr>
        <w:t>万元、国内债务付息</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万元、国外债务付息</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万元、房屋建筑物构建</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万元、办公设备购置</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万元、专用设备购置</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万元、基础设施建设</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万元、大型修缮</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万元、信息网络及软件购置更新</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万元、物资储备</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万元、土地补偿</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万元、安置补助</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万元、地上附着物和青苗补偿</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万元、拆迁补偿</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万元、公务用车购置</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万元、其他交通工具购置</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万元、文物和陈列品购置</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万元、无形资产购置</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万元、其他资本性支出</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万元、国家赔偿费用支出</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万元、对民间非营利组织和群众性自治组织补贴</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万元、经常性赠与</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万元、资本性赠与</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万元、其他支出</w:t>
      </w:r>
      <w:r>
        <w:rPr>
          <w:rFonts w:hint="eastAsia" w:ascii="仿宋" w:hAnsi="仿宋" w:eastAsia="仿宋" w:cs="仿宋"/>
          <w:color w:val="000000"/>
          <w:sz w:val="32"/>
          <w:szCs w:val="32"/>
          <w:lang w:eastAsia="zh-CN"/>
        </w:rPr>
        <w:t>0</w:t>
      </w:r>
      <w:r>
        <w:rPr>
          <w:rFonts w:hint="eastAsia" w:ascii="仿宋" w:hAnsi="仿宋" w:eastAsia="仿宋" w:cs="仿宋"/>
          <w:color w:val="000000"/>
          <w:sz w:val="32"/>
          <w:szCs w:val="32"/>
        </w:rPr>
        <w:t>万元。</w:t>
      </w:r>
    </w:p>
    <w:p>
      <w:pPr>
        <w:pStyle w:val="21"/>
        <w:rPr>
          <w:rFonts w:hint="eastAsia" w:ascii="仿宋" w:hAnsi="仿宋" w:eastAsia="仿宋" w:cs="仿宋"/>
        </w:rPr>
      </w:pPr>
    </w:p>
    <w:p>
      <w:pPr>
        <w:spacing w:line="600" w:lineRule="exact"/>
        <w:ind w:firstLine="640"/>
        <w:outlineLvl w:val="1"/>
        <w:rPr>
          <w:rStyle w:val="40"/>
          <w:rFonts w:ascii="黑体" w:hAnsi="黑体" w:eastAsia="黑体"/>
          <w:b w:val="0"/>
          <w:color w:val="auto"/>
          <w:highlight w:val="none"/>
        </w:rPr>
      </w:pPr>
      <w:bookmarkStart w:id="54" w:name="_Toc15377215"/>
      <w:bookmarkStart w:id="55" w:name="_Toc15396609"/>
      <w:bookmarkStart w:id="56" w:name="_Toc27557"/>
      <w:r>
        <w:rPr>
          <w:rFonts w:hint="eastAsia" w:ascii="黑体" w:eastAsia="黑体"/>
          <w:color w:val="auto"/>
          <w:sz w:val="32"/>
          <w:szCs w:val="32"/>
          <w:highlight w:val="none"/>
        </w:rPr>
        <w:t>七、</w:t>
      </w:r>
      <w:bookmarkEnd w:id="54"/>
      <w:bookmarkEnd w:id="55"/>
      <w:r>
        <w:rPr>
          <w:rStyle w:val="40"/>
          <w:rFonts w:hint="eastAsia" w:ascii="黑体" w:hAnsi="黑体" w:eastAsia="黑体"/>
          <w:b w:val="0"/>
          <w:highlight w:val="none"/>
        </w:rPr>
        <w:t>财政</w:t>
      </w:r>
      <w:r>
        <w:rPr>
          <w:rStyle w:val="40"/>
          <w:rFonts w:hint="eastAsia" w:ascii="黑体" w:hAnsi="黑体" w:eastAsia="黑体"/>
          <w:b w:val="0"/>
        </w:rPr>
        <w:t>拨款</w:t>
      </w:r>
      <w:r>
        <w:rPr>
          <w:rStyle w:val="40"/>
          <w:rFonts w:hint="eastAsia" w:ascii="黑体" w:hAnsi="黑体" w:eastAsia="黑体"/>
        </w:rPr>
        <w:t>“</w:t>
      </w:r>
      <w:r>
        <w:rPr>
          <w:rStyle w:val="40"/>
          <w:rFonts w:hint="eastAsia" w:ascii="黑体" w:hAnsi="黑体" w:eastAsia="黑体"/>
          <w:b w:val="0"/>
        </w:rPr>
        <w:t>三公”经费支出决算情况说明</w:t>
      </w:r>
      <w:bookmarkEnd w:id="56"/>
    </w:p>
    <w:p>
      <w:pPr>
        <w:spacing w:line="600" w:lineRule="exact"/>
        <w:ind w:firstLine="640"/>
        <w:outlineLvl w:val="2"/>
        <w:rPr>
          <w:rFonts w:hint="eastAsia" w:ascii="仿宋" w:hAnsi="仿宋" w:eastAsia="仿宋" w:cs="仿宋"/>
          <w:b/>
          <w:color w:val="auto"/>
          <w:sz w:val="32"/>
          <w:szCs w:val="32"/>
          <w:highlight w:val="none"/>
        </w:rPr>
      </w:pPr>
      <w:bookmarkStart w:id="57" w:name="_Toc15377216"/>
      <w:r>
        <w:rPr>
          <w:rFonts w:hint="eastAsia" w:ascii="仿宋" w:hAnsi="仿宋" w:eastAsia="仿宋" w:cs="仿宋"/>
          <w:b/>
          <w:color w:val="auto"/>
          <w:sz w:val="32"/>
          <w:szCs w:val="32"/>
          <w:highlight w:val="none"/>
        </w:rPr>
        <w:t>（一）“三公”经费财政拨款支出决算总体情况说明</w:t>
      </w:r>
      <w:bookmarkEnd w:id="57"/>
    </w:p>
    <w:p>
      <w:pPr>
        <w:adjustRightInd w:val="0"/>
        <w:snapToGrid w:val="0"/>
        <w:spacing w:line="576"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000000"/>
          <w:sz w:val="32"/>
          <w:szCs w:val="32"/>
        </w:rPr>
        <w:t>2022年“三公”经费财政拨款支出预算为</w:t>
      </w:r>
      <w:r>
        <w:rPr>
          <w:rFonts w:hint="eastAsia" w:ascii="仿宋" w:hAnsi="仿宋" w:eastAsia="仿宋" w:cs="仿宋"/>
          <w:color w:val="000000"/>
          <w:sz w:val="32"/>
          <w:szCs w:val="32"/>
          <w:lang w:val="en-US" w:eastAsia="zh-CN"/>
        </w:rPr>
        <w:t>0.45</w:t>
      </w:r>
      <w:r>
        <w:rPr>
          <w:rFonts w:hint="eastAsia" w:ascii="仿宋" w:hAnsi="仿宋" w:eastAsia="仿宋" w:cs="仿宋"/>
          <w:color w:val="000000"/>
          <w:sz w:val="32"/>
          <w:szCs w:val="32"/>
        </w:rPr>
        <w:t>万元，支出决算为</w:t>
      </w:r>
      <w:r>
        <w:rPr>
          <w:rFonts w:hint="eastAsia" w:ascii="仿宋" w:hAnsi="仿宋" w:eastAsia="仿宋" w:cs="仿宋"/>
          <w:color w:val="000000"/>
          <w:sz w:val="32"/>
          <w:szCs w:val="32"/>
          <w:lang w:val="en-US" w:eastAsia="zh-CN"/>
        </w:rPr>
        <w:t>0.45</w:t>
      </w:r>
      <w:r>
        <w:rPr>
          <w:rFonts w:hint="eastAsia" w:ascii="仿宋" w:hAnsi="仿宋" w:eastAsia="仿宋" w:cs="仿宋"/>
          <w:color w:val="000000"/>
          <w:sz w:val="32"/>
          <w:szCs w:val="32"/>
        </w:rPr>
        <w:t>万元，完成预算的</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%；较上年减少</w:t>
      </w:r>
      <w:r>
        <w:rPr>
          <w:rFonts w:hint="eastAsia" w:ascii="仿宋" w:hAnsi="仿宋" w:eastAsia="仿宋" w:cs="仿宋"/>
          <w:color w:val="000000"/>
          <w:sz w:val="32"/>
          <w:szCs w:val="32"/>
          <w:lang w:val="en-US" w:eastAsia="zh-CN"/>
        </w:rPr>
        <w:t>0.01</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2.19</w:t>
      </w:r>
      <w:r>
        <w:rPr>
          <w:rFonts w:hint="eastAsia" w:ascii="仿宋" w:hAnsi="仿宋" w:eastAsia="仿宋" w:cs="仿宋"/>
          <w:color w:val="000000"/>
          <w:sz w:val="32"/>
          <w:szCs w:val="32"/>
        </w:rPr>
        <w:t>%</w:t>
      </w:r>
      <w:r>
        <w:rPr>
          <w:rFonts w:hint="eastAsia" w:ascii="仿宋" w:hAnsi="仿宋" w:eastAsia="仿宋" w:cs="仿宋"/>
          <w:color w:val="000000"/>
          <w:sz w:val="32"/>
          <w:szCs w:val="32"/>
          <w:highlight w:val="none"/>
        </w:rPr>
        <w:t>。决算数</w:t>
      </w:r>
      <w:r>
        <w:rPr>
          <w:rFonts w:hint="eastAsia" w:ascii="仿宋" w:hAnsi="仿宋" w:eastAsia="仿宋" w:cs="仿宋"/>
          <w:i w:val="0"/>
          <w:iCs w:val="0"/>
          <w:color w:val="000000"/>
          <w:sz w:val="32"/>
          <w:szCs w:val="32"/>
          <w:highlight w:val="none"/>
        </w:rPr>
        <w:t>与预算数持平</w:t>
      </w:r>
      <w:r>
        <w:rPr>
          <w:rFonts w:hint="eastAsia" w:ascii="仿宋" w:hAnsi="仿宋" w:eastAsia="仿宋" w:cs="仿宋"/>
          <w:i/>
          <w:iCs/>
          <w:color w:val="000000"/>
          <w:sz w:val="32"/>
          <w:szCs w:val="32"/>
          <w:highlight w:val="none"/>
          <w:lang w:eastAsia="zh-CN"/>
        </w:rPr>
        <w:t>。</w:t>
      </w:r>
      <w:r>
        <w:rPr>
          <w:rFonts w:hint="eastAsia" w:ascii="仿宋" w:hAnsi="仿宋" w:eastAsia="仿宋" w:cs="仿宋"/>
          <w:color w:val="000000"/>
          <w:sz w:val="32"/>
          <w:szCs w:val="32"/>
          <w:highlight w:val="none"/>
        </w:rPr>
        <w:t>决算数较</w:t>
      </w:r>
      <w:r>
        <w:rPr>
          <w:rFonts w:hint="eastAsia" w:ascii="仿宋" w:hAnsi="仿宋" w:eastAsia="仿宋" w:cs="仿宋"/>
          <w:color w:val="000000"/>
          <w:sz w:val="32"/>
          <w:szCs w:val="32"/>
        </w:rPr>
        <w:t>上年减少的主要原因是</w:t>
      </w:r>
      <w:r>
        <w:rPr>
          <w:rFonts w:hint="eastAsia" w:ascii="仿宋" w:hAnsi="仿宋" w:eastAsia="仿宋" w:cs="仿宋"/>
          <w:color w:val="000000"/>
          <w:sz w:val="32"/>
          <w:szCs w:val="32"/>
          <w:lang w:val="en-US" w:eastAsia="zh-CN"/>
        </w:rPr>
        <w:t>2022年单位厉行节约，公务接待从简。</w:t>
      </w:r>
    </w:p>
    <w:p>
      <w:pPr>
        <w:spacing w:line="600" w:lineRule="exact"/>
        <w:ind w:firstLine="640"/>
        <w:outlineLvl w:val="2"/>
        <w:rPr>
          <w:rFonts w:hint="eastAsia" w:ascii="仿宋" w:hAnsi="仿宋" w:eastAsia="仿宋" w:cs="仿宋"/>
          <w:b/>
          <w:color w:val="auto"/>
          <w:sz w:val="32"/>
          <w:szCs w:val="32"/>
          <w:highlight w:val="none"/>
        </w:rPr>
      </w:pPr>
      <w:bookmarkStart w:id="58" w:name="_Toc15377217"/>
      <w:r>
        <w:rPr>
          <w:rFonts w:hint="eastAsia" w:ascii="仿宋" w:hAnsi="仿宋" w:eastAsia="仿宋" w:cs="仿宋"/>
          <w:b/>
          <w:color w:val="auto"/>
          <w:sz w:val="32"/>
          <w:szCs w:val="32"/>
          <w:highlight w:val="none"/>
        </w:rPr>
        <w:t>（二）“三公”经费财政拨款支出决算具体情况说明</w:t>
      </w:r>
      <w:bookmarkEnd w:id="58"/>
    </w:p>
    <w:p>
      <w:pPr>
        <w:spacing w:line="600" w:lineRule="exact"/>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2022年</w:t>
      </w:r>
      <w:r>
        <w:rPr>
          <w:rFonts w:hint="eastAsia" w:ascii="仿宋" w:hAnsi="仿宋" w:eastAsia="仿宋" w:cs="仿宋"/>
          <w:color w:val="auto"/>
          <w:sz w:val="32"/>
          <w:szCs w:val="32"/>
          <w:highlight w:val="none"/>
        </w:rPr>
        <w:t>“三公”经费财政拨款支出决算中，因公出国（境）费支出决算</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%；公务用车购置及运行维护费支出决算</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%；公务接待费支出决算</w:t>
      </w:r>
      <w:r>
        <w:rPr>
          <w:rFonts w:hint="eastAsia" w:ascii="仿宋" w:hAnsi="仿宋" w:eastAsia="仿宋" w:cs="仿宋"/>
          <w:color w:val="auto"/>
          <w:sz w:val="32"/>
          <w:szCs w:val="32"/>
          <w:highlight w:val="none"/>
          <w:lang w:val="en-US" w:eastAsia="zh-CN"/>
        </w:rPr>
        <w:t>0.45</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%。具体情况如下：</w:t>
      </w:r>
    </w:p>
    <w:p>
      <w:pPr>
        <w:pStyle w:val="21"/>
        <w:ind w:left="0" w:leftChars="0" w:firstLine="0" w:firstLineChars="0"/>
        <w:rPr>
          <w:rFonts w:hint="eastAsia" w:eastAsia="宋体"/>
          <w:lang w:eastAsia="zh-CN"/>
        </w:rPr>
      </w:pPr>
      <w:r>
        <w:rPr>
          <w:rFonts w:hint="eastAsia" w:eastAsia="宋体"/>
          <w:lang w:eastAsia="zh-CN"/>
        </w:rPr>
        <w:drawing>
          <wp:inline distT="0" distB="0" distL="114300" distR="114300">
            <wp:extent cx="5256530" cy="2988310"/>
            <wp:effectExtent l="5080" t="4445" r="1143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（图</w:t>
      </w: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：“三公”经费</w:t>
      </w:r>
      <w:r>
        <w:rPr>
          <w:rFonts w:hint="eastAsia" w:ascii="仿宋" w:hAnsi="仿宋" w:eastAsia="仿宋" w:cs="仿宋"/>
          <w:color w:val="auto"/>
          <w:sz w:val="32"/>
          <w:szCs w:val="32"/>
          <w:highlight w:val="none"/>
          <w:lang w:eastAsia="zh-CN"/>
        </w:rPr>
        <w:t>财政拔款支出</w:t>
      </w:r>
      <w:r>
        <w:rPr>
          <w:rFonts w:hint="eastAsia" w:ascii="仿宋" w:hAnsi="仿宋" w:eastAsia="仿宋" w:cs="仿宋"/>
          <w:color w:val="auto"/>
          <w:sz w:val="32"/>
          <w:szCs w:val="32"/>
          <w:highlight w:val="none"/>
        </w:rPr>
        <w:t>结构</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（饼状图）</w:t>
      </w:r>
    </w:p>
    <w:p>
      <w:pPr>
        <w:pStyle w:val="21"/>
        <w:ind w:left="0" w:leftChars="0" w:firstLine="643" w:firstLineChars="2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1.因公出国（境）经费</w:t>
      </w:r>
      <w:r>
        <w:rPr>
          <w:rFonts w:hint="eastAsia" w:ascii="仿宋" w:hAnsi="仿宋" w:eastAsia="仿宋" w:cs="仿宋"/>
          <w:color w:val="auto"/>
          <w:sz w:val="32"/>
          <w:szCs w:val="32"/>
          <w:highlight w:val="none"/>
          <w:lang w:eastAsia="zh-CN"/>
        </w:rPr>
        <w:t>预算为</w:t>
      </w:r>
      <w:r>
        <w:rPr>
          <w:rFonts w:hint="eastAsia" w:ascii="仿宋" w:hAnsi="仿宋" w:eastAsia="仿宋" w:cs="仿宋"/>
          <w:color w:val="auto"/>
          <w:sz w:val="32"/>
          <w:szCs w:val="32"/>
          <w:highlight w:val="none"/>
          <w:lang w:val="en-US" w:eastAsia="zh-CN"/>
        </w:rPr>
        <w:t>0万元，</w:t>
      </w:r>
      <w:r>
        <w:rPr>
          <w:rFonts w:hint="eastAsia" w:ascii="仿宋" w:hAnsi="仿宋" w:eastAsia="仿宋" w:cs="仿宋"/>
          <w:color w:val="auto"/>
          <w:sz w:val="32"/>
          <w:szCs w:val="32"/>
          <w:highlight w:val="none"/>
        </w:rPr>
        <w:t>支出</w:t>
      </w:r>
      <w:r>
        <w:rPr>
          <w:rFonts w:hint="eastAsia" w:ascii="仿宋" w:hAnsi="仿宋" w:eastAsia="仿宋" w:cs="仿宋"/>
          <w:color w:val="auto"/>
          <w:sz w:val="32"/>
          <w:szCs w:val="32"/>
          <w:highlight w:val="none"/>
          <w:lang w:eastAsia="zh-CN"/>
        </w:rPr>
        <w:t>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Style w:val="25"/>
          <w:rFonts w:hint="eastAsia" w:ascii="仿宋" w:hAnsi="仿宋" w:eastAsia="仿宋" w:cs="仿宋"/>
          <w:b w:val="0"/>
          <w:bCs/>
          <w:color w:val="auto"/>
          <w:sz w:val="32"/>
          <w:szCs w:val="32"/>
          <w:highlight w:val="none"/>
        </w:rPr>
        <w:t>完成预算</w:t>
      </w:r>
      <w:r>
        <w:rPr>
          <w:rFonts w:hint="eastAsia" w:ascii="仿宋" w:hAnsi="仿宋" w:eastAsia="仿宋" w:cs="仿宋"/>
          <w:color w:val="auto"/>
          <w:sz w:val="32"/>
          <w:szCs w:val="32"/>
          <w:highlight w:val="none"/>
          <w:lang w:val="en-US" w:eastAsia="zh-CN"/>
        </w:rPr>
        <w:t>0</w:t>
      </w:r>
      <w:r>
        <w:rPr>
          <w:rStyle w:val="25"/>
          <w:rFonts w:hint="eastAsia" w:ascii="仿宋" w:hAnsi="仿宋" w:eastAsia="仿宋" w:cs="仿宋"/>
          <w:b w:val="0"/>
          <w:bCs/>
          <w:color w:val="auto"/>
          <w:sz w:val="32"/>
          <w:szCs w:val="32"/>
          <w:highlight w:val="none"/>
        </w:rPr>
        <w:t>%。</w:t>
      </w:r>
      <w:r>
        <w:rPr>
          <w:rFonts w:hint="eastAsia" w:ascii="仿宋" w:hAnsi="仿宋" w:eastAsia="仿宋" w:cs="仿宋"/>
          <w:color w:val="auto"/>
          <w:sz w:val="32"/>
          <w:szCs w:val="32"/>
          <w:highlight w:val="none"/>
        </w:rPr>
        <w:t>全年安排因公出国（境）团组</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次，出国（境）</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人。因公出国（境）支出决算</w:t>
      </w:r>
      <w:r>
        <w:rPr>
          <w:rFonts w:hint="eastAsia" w:ascii="仿宋" w:hAnsi="仿宋" w:eastAsia="仿宋" w:cs="仿宋"/>
          <w:color w:val="auto"/>
          <w:sz w:val="32"/>
          <w:szCs w:val="32"/>
          <w:highlight w:val="none"/>
          <w:lang w:val="en-US" w:eastAsia="zh-CN"/>
        </w:rPr>
        <w:t>与</w:t>
      </w:r>
      <w:r>
        <w:rPr>
          <w:rFonts w:hint="eastAsia" w:ascii="仿宋" w:hAnsi="仿宋" w:eastAsia="仿宋" w:cs="仿宋"/>
          <w:color w:val="auto"/>
          <w:sz w:val="32"/>
          <w:szCs w:val="32"/>
          <w:highlight w:val="none"/>
          <w:lang w:eastAsia="zh-CN"/>
        </w:rPr>
        <w:t>2021年</w:t>
      </w:r>
      <w:r>
        <w:rPr>
          <w:rFonts w:hint="eastAsia" w:ascii="仿宋" w:hAnsi="仿宋" w:eastAsia="仿宋" w:cs="仿宋"/>
          <w:color w:val="auto"/>
          <w:sz w:val="32"/>
          <w:szCs w:val="32"/>
          <w:highlight w:val="none"/>
          <w:lang w:val="en-US" w:eastAsia="zh-CN"/>
        </w:rPr>
        <w:t>持平</w:t>
      </w:r>
      <w:r>
        <w:rPr>
          <w:rFonts w:hint="eastAsia" w:ascii="仿宋" w:hAnsi="仿宋" w:eastAsia="仿宋" w:cs="仿宋"/>
          <w:color w:val="auto"/>
          <w:sz w:val="32"/>
          <w:szCs w:val="32"/>
          <w:highlight w:val="none"/>
        </w:rPr>
        <w:t>。</w:t>
      </w:r>
    </w:p>
    <w:p>
      <w:pPr>
        <w:spacing w:line="600" w:lineRule="exact"/>
        <w:ind w:firstLine="64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2.公务用车购置及运行维护费支出</w:t>
      </w:r>
      <w:r>
        <w:rPr>
          <w:rFonts w:hint="eastAsia" w:ascii="仿宋" w:hAnsi="仿宋" w:eastAsia="仿宋" w:cs="仿宋"/>
          <w:color w:val="auto"/>
          <w:sz w:val="32"/>
          <w:szCs w:val="32"/>
          <w:highlight w:val="none"/>
          <w:lang w:eastAsia="zh-CN"/>
        </w:rPr>
        <w:t>预算为</w:t>
      </w:r>
      <w:r>
        <w:rPr>
          <w:rFonts w:hint="eastAsia" w:ascii="仿宋" w:hAnsi="仿宋" w:eastAsia="仿宋" w:cs="仿宋"/>
          <w:color w:val="auto"/>
          <w:sz w:val="32"/>
          <w:szCs w:val="32"/>
          <w:highlight w:val="none"/>
          <w:lang w:val="en-US" w:eastAsia="zh-CN"/>
        </w:rPr>
        <w:t>0万元，</w:t>
      </w:r>
      <w:r>
        <w:rPr>
          <w:rFonts w:hint="eastAsia" w:ascii="仿宋" w:hAnsi="仿宋" w:eastAsia="仿宋" w:cs="仿宋"/>
          <w:color w:val="auto"/>
          <w:sz w:val="32"/>
          <w:szCs w:val="32"/>
          <w:highlight w:val="none"/>
        </w:rPr>
        <w:t>支出</w:t>
      </w:r>
      <w:r>
        <w:rPr>
          <w:rFonts w:hint="eastAsia" w:ascii="仿宋" w:hAnsi="仿宋" w:eastAsia="仿宋" w:cs="仿宋"/>
          <w:color w:val="auto"/>
          <w:sz w:val="32"/>
          <w:szCs w:val="32"/>
          <w:highlight w:val="none"/>
          <w:lang w:eastAsia="zh-CN"/>
        </w:rPr>
        <w:t>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Style w:val="25"/>
          <w:rFonts w:hint="eastAsia" w:ascii="仿宋" w:hAnsi="仿宋" w:eastAsia="仿宋" w:cs="仿宋"/>
          <w:b w:val="0"/>
          <w:bCs/>
          <w:color w:val="auto"/>
          <w:sz w:val="32"/>
          <w:szCs w:val="32"/>
          <w:highlight w:val="none"/>
        </w:rPr>
        <w:t>完成预算</w:t>
      </w:r>
      <w:r>
        <w:rPr>
          <w:rStyle w:val="25"/>
          <w:rFonts w:hint="eastAsia" w:ascii="仿宋" w:hAnsi="仿宋" w:eastAsia="仿宋" w:cs="仿宋"/>
          <w:b w:val="0"/>
          <w:bCs/>
          <w:color w:val="auto"/>
          <w:sz w:val="32"/>
          <w:szCs w:val="32"/>
          <w:highlight w:val="none"/>
          <w:lang w:val="en-US" w:eastAsia="zh-CN"/>
        </w:rPr>
        <w:t>0</w:t>
      </w:r>
      <w:r>
        <w:rPr>
          <w:rStyle w:val="25"/>
          <w:rFonts w:hint="eastAsia" w:ascii="仿宋" w:hAnsi="仿宋" w:eastAsia="仿宋" w:cs="仿宋"/>
          <w:b w:val="0"/>
          <w:bCs/>
          <w:color w:val="auto"/>
          <w:sz w:val="32"/>
          <w:szCs w:val="32"/>
          <w:highlight w:val="none"/>
        </w:rPr>
        <w:t>%</w:t>
      </w:r>
      <w:r>
        <w:rPr>
          <w:rStyle w:val="25"/>
          <w:rFonts w:hint="eastAsia" w:ascii="仿宋" w:hAnsi="仿宋" w:eastAsia="仿宋" w:cs="仿宋"/>
          <w:b w:val="0"/>
          <w:bCs/>
          <w:color w:val="auto"/>
          <w:sz w:val="32"/>
          <w:szCs w:val="32"/>
          <w:highlight w:val="none"/>
          <w:lang w:eastAsia="zh-CN"/>
        </w:rPr>
        <w:t>，</w:t>
      </w:r>
      <w:r>
        <w:rPr>
          <w:rFonts w:hint="eastAsia" w:ascii="仿宋" w:hAnsi="仿宋" w:eastAsia="仿宋" w:cs="仿宋"/>
          <w:color w:val="auto"/>
          <w:sz w:val="32"/>
          <w:szCs w:val="32"/>
          <w:highlight w:val="none"/>
        </w:rPr>
        <w:t>与</w:t>
      </w:r>
      <w:r>
        <w:rPr>
          <w:rFonts w:hint="eastAsia" w:ascii="仿宋" w:hAnsi="仿宋" w:eastAsia="仿宋" w:cs="仿宋"/>
          <w:color w:val="auto"/>
          <w:sz w:val="32"/>
          <w:szCs w:val="32"/>
          <w:highlight w:val="none"/>
          <w:lang w:eastAsia="zh-CN"/>
        </w:rPr>
        <w:t>2021年</w:t>
      </w:r>
      <w:r>
        <w:rPr>
          <w:rFonts w:hint="eastAsia" w:ascii="仿宋" w:hAnsi="仿宋" w:eastAsia="仿宋" w:cs="仿宋"/>
          <w:color w:val="auto"/>
          <w:sz w:val="32"/>
          <w:szCs w:val="32"/>
          <w:highlight w:val="none"/>
          <w:lang w:val="en-US" w:eastAsia="zh-CN"/>
        </w:rPr>
        <w:t>持平</w:t>
      </w:r>
      <w:r>
        <w:rPr>
          <w:rStyle w:val="25"/>
          <w:rFonts w:hint="eastAsia" w:ascii="仿宋" w:hAnsi="仿宋" w:eastAsia="仿宋" w:cs="仿宋"/>
          <w:b w:val="0"/>
          <w:bCs/>
          <w:color w:val="auto"/>
          <w:sz w:val="32"/>
          <w:szCs w:val="32"/>
          <w:highlight w:val="none"/>
        </w:rPr>
        <w:t>。</w:t>
      </w:r>
    </w:p>
    <w:p>
      <w:pPr>
        <w:spacing w:line="600" w:lineRule="exact"/>
        <w:ind w:firstLine="640" w:firstLineChars="200"/>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rPr>
        <w:t>其中：</w:t>
      </w:r>
      <w:r>
        <w:rPr>
          <w:rFonts w:hint="eastAsia" w:ascii="仿宋" w:hAnsi="仿宋" w:eastAsia="仿宋" w:cs="仿宋"/>
          <w:b/>
          <w:color w:val="auto"/>
          <w:sz w:val="32"/>
          <w:szCs w:val="32"/>
          <w:highlight w:val="none"/>
        </w:rPr>
        <w:t>公务用车购置支出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万元。全年按规定更新购置公务用车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辆，其中：轿车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辆、金额</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万元，越野车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辆、金额</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万元，载客汽车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辆、金额</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万元。截至</w:t>
      </w:r>
      <w:r>
        <w:rPr>
          <w:rFonts w:hint="eastAsia" w:ascii="仿宋" w:hAnsi="仿宋" w:eastAsia="仿宋" w:cs="仿宋"/>
          <w:color w:val="auto"/>
          <w:sz w:val="32"/>
          <w:szCs w:val="32"/>
          <w:highlight w:val="none"/>
          <w:lang w:eastAsia="zh-CN"/>
        </w:rPr>
        <w:t>2022年</w:t>
      </w:r>
      <w:r>
        <w:rPr>
          <w:rFonts w:hint="eastAsia" w:ascii="仿宋" w:hAnsi="仿宋" w:eastAsia="仿宋" w:cs="仿宋"/>
          <w:color w:val="auto"/>
          <w:sz w:val="32"/>
          <w:szCs w:val="32"/>
          <w:highlight w:val="none"/>
        </w:rPr>
        <w:t>12月底，单位共有公务用车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辆，其中：轿车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辆、越野车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辆、载客汽车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w:t>
      </w:r>
      <w:r>
        <w:rPr>
          <w:rFonts w:hint="eastAsia" w:ascii="仿宋" w:hAnsi="仿宋" w:eastAsia="仿宋" w:cs="仿宋"/>
          <w:color w:val="auto"/>
          <w:sz w:val="32"/>
          <w:szCs w:val="32"/>
          <w:highlight w:val="none"/>
          <w:lang w:eastAsia="zh-CN"/>
        </w:rPr>
        <w:t>、其他车型</w:t>
      </w:r>
      <w:r>
        <w:rPr>
          <w:rFonts w:hint="eastAsia" w:ascii="仿宋" w:hAnsi="仿宋" w:eastAsia="仿宋" w:cs="仿宋"/>
          <w:color w:val="auto"/>
          <w:sz w:val="32"/>
          <w:szCs w:val="32"/>
          <w:highlight w:val="none"/>
          <w:lang w:val="en-US" w:eastAsia="zh-CN"/>
        </w:rPr>
        <w:t>0辆</w:t>
      </w:r>
      <w:r>
        <w:rPr>
          <w:rFonts w:hint="eastAsia" w:ascii="仿宋" w:hAnsi="仿宋" w:eastAsia="仿宋" w:cs="仿宋"/>
          <w:color w:val="auto"/>
          <w:sz w:val="32"/>
          <w:szCs w:val="32"/>
          <w:highlight w:val="none"/>
        </w:rPr>
        <w:t>。</w:t>
      </w:r>
    </w:p>
    <w:p>
      <w:pPr>
        <w:spacing w:line="600" w:lineRule="exact"/>
        <w:ind w:firstLine="640"/>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公务用车运行维护费支出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p>
    <w:p>
      <w:pPr>
        <w:numPr>
          <w:ilvl w:val="0"/>
          <w:numId w:val="5"/>
        </w:numPr>
        <w:spacing w:line="600" w:lineRule="exact"/>
        <w:ind w:firstLine="640"/>
        <w:rPr>
          <w:rFonts w:hint="eastAsia" w:ascii="仿宋" w:hAnsi="仿宋" w:eastAsia="仿宋" w:cs="仿宋"/>
          <w:color w:val="auto"/>
          <w:sz w:val="32"/>
          <w:szCs w:val="32"/>
          <w:highlight w:val="none"/>
          <w:lang w:eastAsia="zh-CN"/>
        </w:rPr>
      </w:pPr>
      <w:r>
        <w:rPr>
          <w:rFonts w:hint="eastAsia" w:ascii="仿宋" w:hAnsi="仿宋" w:eastAsia="仿宋" w:cs="仿宋"/>
          <w:b/>
          <w:color w:val="auto"/>
          <w:sz w:val="32"/>
          <w:szCs w:val="32"/>
          <w:highlight w:val="none"/>
        </w:rPr>
        <w:t>公务接待费</w:t>
      </w:r>
      <w:r>
        <w:rPr>
          <w:rFonts w:hint="eastAsia" w:ascii="仿宋" w:hAnsi="仿宋" w:eastAsia="仿宋" w:cs="仿宋"/>
          <w:color w:val="auto"/>
          <w:sz w:val="32"/>
          <w:szCs w:val="32"/>
          <w:highlight w:val="none"/>
          <w:lang w:eastAsia="zh-CN"/>
        </w:rPr>
        <w:t>预算为</w:t>
      </w:r>
      <w:r>
        <w:rPr>
          <w:rFonts w:hint="eastAsia" w:ascii="仿宋" w:hAnsi="仿宋" w:eastAsia="仿宋" w:cs="仿宋"/>
          <w:color w:val="auto"/>
          <w:sz w:val="32"/>
          <w:szCs w:val="32"/>
          <w:highlight w:val="none"/>
          <w:lang w:val="en-US" w:eastAsia="zh-CN"/>
        </w:rPr>
        <w:t>0.45万元，</w:t>
      </w:r>
      <w:r>
        <w:rPr>
          <w:rFonts w:hint="eastAsia" w:ascii="仿宋" w:hAnsi="仿宋" w:eastAsia="仿宋" w:cs="仿宋"/>
          <w:color w:val="auto"/>
          <w:sz w:val="32"/>
          <w:szCs w:val="32"/>
          <w:highlight w:val="none"/>
        </w:rPr>
        <w:t>支出</w:t>
      </w:r>
      <w:r>
        <w:rPr>
          <w:rFonts w:hint="eastAsia" w:ascii="仿宋" w:hAnsi="仿宋" w:eastAsia="仿宋" w:cs="仿宋"/>
          <w:color w:val="auto"/>
          <w:sz w:val="32"/>
          <w:szCs w:val="32"/>
          <w:highlight w:val="none"/>
          <w:lang w:eastAsia="zh-CN"/>
        </w:rPr>
        <w:t>决算为</w:t>
      </w:r>
      <w:r>
        <w:rPr>
          <w:rFonts w:hint="eastAsia" w:ascii="仿宋" w:hAnsi="仿宋" w:eastAsia="仿宋" w:cs="仿宋"/>
          <w:color w:val="auto"/>
          <w:sz w:val="32"/>
          <w:szCs w:val="32"/>
          <w:highlight w:val="none"/>
          <w:lang w:val="en-US" w:eastAsia="zh-CN"/>
        </w:rPr>
        <w:t>0.45</w:t>
      </w:r>
      <w:r>
        <w:rPr>
          <w:rFonts w:hint="eastAsia" w:ascii="仿宋" w:hAnsi="仿宋" w:eastAsia="仿宋" w:cs="仿宋"/>
          <w:color w:val="auto"/>
          <w:sz w:val="32"/>
          <w:szCs w:val="32"/>
          <w:highlight w:val="none"/>
        </w:rPr>
        <w:t>万元，</w:t>
      </w:r>
      <w:r>
        <w:rPr>
          <w:rStyle w:val="25"/>
          <w:rFonts w:hint="eastAsia" w:ascii="仿宋" w:hAnsi="仿宋" w:eastAsia="仿宋" w:cs="仿宋"/>
          <w:b w:val="0"/>
          <w:bCs/>
          <w:color w:val="auto"/>
          <w:sz w:val="32"/>
          <w:szCs w:val="32"/>
          <w:highlight w:val="none"/>
        </w:rPr>
        <w:t>完成预算</w:t>
      </w:r>
      <w:r>
        <w:rPr>
          <w:rStyle w:val="25"/>
          <w:rFonts w:hint="eastAsia" w:ascii="仿宋" w:hAnsi="仿宋" w:eastAsia="仿宋" w:cs="仿宋"/>
          <w:b w:val="0"/>
          <w:bCs/>
          <w:color w:val="auto"/>
          <w:sz w:val="32"/>
          <w:szCs w:val="32"/>
          <w:highlight w:val="none"/>
          <w:lang w:val="en-US" w:eastAsia="zh-CN"/>
        </w:rPr>
        <w:t>100</w:t>
      </w:r>
      <w:r>
        <w:rPr>
          <w:rStyle w:val="25"/>
          <w:rFonts w:hint="eastAsia" w:ascii="仿宋" w:hAnsi="仿宋" w:eastAsia="仿宋" w:cs="仿宋"/>
          <w:b w:val="0"/>
          <w:bCs/>
          <w:color w:val="auto"/>
          <w:sz w:val="32"/>
          <w:szCs w:val="32"/>
          <w:highlight w:val="none"/>
        </w:rPr>
        <w:t>%</w:t>
      </w:r>
      <w:r>
        <w:rPr>
          <w:rStyle w:val="25"/>
          <w:rFonts w:hint="eastAsia" w:ascii="仿宋" w:hAnsi="仿宋" w:eastAsia="仿宋" w:cs="仿宋"/>
          <w:b w:val="0"/>
          <w:bCs/>
          <w:color w:val="auto"/>
          <w:sz w:val="32"/>
          <w:szCs w:val="32"/>
          <w:highlight w:val="none"/>
          <w:lang w:eastAsia="zh-CN"/>
        </w:rPr>
        <w:t>，</w:t>
      </w:r>
      <w:r>
        <w:rPr>
          <w:rFonts w:hint="eastAsia" w:ascii="仿宋" w:hAnsi="仿宋" w:eastAsia="仿宋" w:cs="仿宋"/>
          <w:color w:val="auto"/>
          <w:sz w:val="32"/>
          <w:szCs w:val="32"/>
          <w:highlight w:val="none"/>
        </w:rPr>
        <w:t>与</w:t>
      </w:r>
      <w:r>
        <w:rPr>
          <w:rFonts w:hint="eastAsia" w:ascii="仿宋" w:hAnsi="仿宋" w:eastAsia="仿宋" w:cs="仿宋"/>
          <w:color w:val="auto"/>
          <w:sz w:val="32"/>
          <w:szCs w:val="32"/>
          <w:highlight w:val="none"/>
          <w:lang w:eastAsia="zh-CN"/>
        </w:rPr>
        <w:t>2021年</w:t>
      </w:r>
      <w:r>
        <w:rPr>
          <w:rFonts w:hint="eastAsia" w:ascii="仿宋" w:hAnsi="仿宋" w:eastAsia="仿宋" w:cs="仿宋"/>
          <w:color w:val="auto"/>
          <w:sz w:val="32"/>
          <w:szCs w:val="32"/>
          <w:highlight w:val="none"/>
        </w:rPr>
        <w:t>相比，公务接待费</w:t>
      </w:r>
      <w:r>
        <w:rPr>
          <w:rFonts w:hint="eastAsia" w:ascii="仿宋" w:hAnsi="仿宋" w:eastAsia="仿宋" w:cs="仿宋"/>
          <w:color w:val="auto"/>
          <w:sz w:val="32"/>
          <w:szCs w:val="32"/>
          <w:highlight w:val="none"/>
          <w:lang w:eastAsia="zh-CN"/>
        </w:rPr>
        <w:t>支出</w:t>
      </w:r>
      <w:r>
        <w:rPr>
          <w:rFonts w:hint="eastAsia" w:ascii="仿宋" w:hAnsi="仿宋" w:eastAsia="仿宋" w:cs="仿宋"/>
          <w:color w:val="auto"/>
          <w:sz w:val="32"/>
          <w:szCs w:val="32"/>
          <w:highlight w:val="none"/>
          <w:lang w:val="en-US" w:eastAsia="zh-CN"/>
        </w:rPr>
        <w:t>决算比2021年减少0.01</w:t>
      </w:r>
      <w:r>
        <w:rPr>
          <w:rFonts w:hint="eastAsia" w:ascii="仿宋" w:hAnsi="仿宋" w:eastAsia="仿宋" w:cs="仿宋"/>
          <w:color w:val="auto"/>
          <w:sz w:val="32"/>
          <w:szCs w:val="32"/>
          <w:highlight w:val="none"/>
          <w:lang w:eastAsia="zh-CN"/>
        </w:rPr>
        <w:t>万元，</w:t>
      </w:r>
      <w:r>
        <w:rPr>
          <w:rFonts w:hint="eastAsia" w:ascii="仿宋" w:hAnsi="仿宋" w:eastAsia="仿宋" w:cs="仿宋"/>
          <w:color w:val="auto"/>
          <w:sz w:val="32"/>
          <w:szCs w:val="32"/>
          <w:highlight w:val="none"/>
          <w:lang w:val="en-US" w:eastAsia="zh-CN"/>
        </w:rPr>
        <w:t>减少2.19</w:t>
      </w:r>
      <w:r>
        <w:rPr>
          <w:rFonts w:hint="eastAsia" w:ascii="仿宋" w:hAnsi="仿宋" w:eastAsia="仿宋" w:cs="仿宋"/>
          <w:color w:val="auto"/>
          <w:sz w:val="32"/>
          <w:szCs w:val="32"/>
          <w:highlight w:val="none"/>
          <w:lang w:eastAsia="zh-CN"/>
        </w:rPr>
        <w:t>%。主要原因是历行节约，公务接待从简。</w:t>
      </w:r>
    </w:p>
    <w:p>
      <w:pPr>
        <w:numPr>
          <w:ilvl w:val="0"/>
          <w:numId w:val="0"/>
        </w:numPr>
        <w:spacing w:line="600" w:lineRule="exact"/>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lang w:eastAsia="zh-CN"/>
        </w:rPr>
        <w:t>　　</w:t>
      </w:r>
      <w:r>
        <w:rPr>
          <w:rFonts w:hint="eastAsia" w:ascii="仿宋" w:hAnsi="仿宋" w:eastAsia="仿宋" w:cs="仿宋"/>
          <w:b/>
          <w:color w:val="auto"/>
          <w:sz w:val="32"/>
          <w:szCs w:val="32"/>
          <w:highlight w:val="none"/>
        </w:rPr>
        <w:t>国内公务接待支出</w:t>
      </w:r>
      <w:r>
        <w:rPr>
          <w:rFonts w:hint="eastAsia" w:ascii="仿宋" w:hAnsi="仿宋" w:eastAsia="仿宋" w:cs="仿宋"/>
          <w:color w:val="auto"/>
          <w:sz w:val="32"/>
          <w:szCs w:val="32"/>
          <w:highlight w:val="none"/>
          <w:lang w:val="en-US" w:eastAsia="zh-CN"/>
        </w:rPr>
        <w:t>0.45</w:t>
      </w:r>
      <w:r>
        <w:rPr>
          <w:rFonts w:hint="eastAsia" w:ascii="仿宋" w:hAnsi="仿宋" w:eastAsia="仿宋" w:cs="仿宋"/>
          <w:color w:val="auto"/>
          <w:sz w:val="32"/>
          <w:szCs w:val="32"/>
          <w:highlight w:val="none"/>
        </w:rPr>
        <w:t>万元。国内公务接待</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批次，</w:t>
      </w:r>
      <w:r>
        <w:rPr>
          <w:rFonts w:hint="eastAsia" w:ascii="仿宋" w:hAnsi="仿宋" w:eastAsia="仿宋" w:cs="仿宋"/>
          <w:color w:val="auto"/>
          <w:sz w:val="32"/>
          <w:szCs w:val="32"/>
          <w:highlight w:val="none"/>
          <w:lang w:val="en-US" w:eastAsia="zh-CN"/>
        </w:rPr>
        <w:t>43</w:t>
      </w:r>
      <w:r>
        <w:rPr>
          <w:rFonts w:hint="eastAsia" w:ascii="仿宋" w:hAnsi="仿宋" w:eastAsia="仿宋" w:cs="仿宋"/>
          <w:color w:val="auto"/>
          <w:sz w:val="32"/>
          <w:szCs w:val="32"/>
          <w:highlight w:val="none"/>
        </w:rPr>
        <w:t>人次（不包括陪同人员），共计支出</w:t>
      </w:r>
      <w:r>
        <w:rPr>
          <w:rFonts w:hint="eastAsia" w:ascii="仿宋" w:hAnsi="仿宋" w:eastAsia="仿宋" w:cs="仿宋"/>
          <w:color w:val="auto"/>
          <w:sz w:val="32"/>
          <w:szCs w:val="32"/>
          <w:highlight w:val="none"/>
          <w:lang w:val="en-US" w:eastAsia="zh-CN"/>
        </w:rPr>
        <w:t>0.45</w:t>
      </w:r>
      <w:r>
        <w:rPr>
          <w:rFonts w:hint="eastAsia" w:ascii="仿宋" w:hAnsi="仿宋" w:eastAsia="仿宋" w:cs="仿宋"/>
          <w:color w:val="auto"/>
          <w:sz w:val="32"/>
          <w:szCs w:val="32"/>
          <w:highlight w:val="none"/>
        </w:rPr>
        <w:t>万元。</w:t>
      </w:r>
    </w:p>
    <w:p>
      <w:pPr>
        <w:spacing w:line="600" w:lineRule="exact"/>
        <w:ind w:firstLine="643" w:firstLineChars="200"/>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外事接待支出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万元，外事接待</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批次，</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人，共计支出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bookmarkStart w:id="59" w:name="_Toc15396610"/>
      <w:bookmarkStart w:id="60" w:name="_Toc15377218"/>
    </w:p>
    <w:p>
      <w:pPr>
        <w:spacing w:line="600" w:lineRule="exact"/>
        <w:ind w:firstLine="640"/>
        <w:outlineLvl w:val="1"/>
        <w:rPr>
          <w:rStyle w:val="40"/>
          <w:rFonts w:ascii="黑体" w:hAnsi="黑体" w:eastAsia="黑体"/>
          <w:color w:val="auto"/>
          <w:highlight w:val="none"/>
        </w:rPr>
      </w:pPr>
      <w:bookmarkStart w:id="61" w:name="_Toc11326"/>
      <w:r>
        <w:rPr>
          <w:rFonts w:hint="eastAsia" w:ascii="黑体" w:eastAsia="黑体"/>
          <w:color w:val="auto"/>
          <w:sz w:val="32"/>
          <w:szCs w:val="32"/>
          <w:highlight w:val="none"/>
        </w:rPr>
        <w:t>八、</w:t>
      </w:r>
      <w:r>
        <w:rPr>
          <w:rStyle w:val="40"/>
          <w:rFonts w:hint="eastAsia" w:ascii="黑体" w:hAnsi="黑体" w:eastAsia="黑体"/>
          <w:b w:val="0"/>
          <w:color w:val="auto"/>
          <w:highlight w:val="none"/>
        </w:rPr>
        <w:t>政府性基金预算支出决算情况说明</w:t>
      </w:r>
      <w:bookmarkEnd w:id="59"/>
      <w:bookmarkEnd w:id="60"/>
      <w:bookmarkEnd w:id="61"/>
    </w:p>
    <w:p>
      <w:pPr>
        <w:spacing w:line="600" w:lineRule="exact"/>
        <w:ind w:firstLine="640"/>
        <w:rPr>
          <w:rFonts w:ascii="仿宋_GB2312" w:eastAsia="仿宋_GB2312"/>
          <w:color w:val="auto"/>
          <w:sz w:val="32"/>
          <w:szCs w:val="32"/>
          <w:highlight w:val="none"/>
        </w:rPr>
      </w:pPr>
      <w:r>
        <w:rPr>
          <w:rFonts w:hint="eastAsia" w:ascii="仿宋_GB2312" w:eastAsia="仿宋_GB2312"/>
          <w:color w:val="auto"/>
          <w:sz w:val="32"/>
          <w:szCs w:val="32"/>
          <w:highlight w:val="none"/>
          <w:lang w:eastAsia="zh-CN"/>
        </w:rPr>
        <w:t>2022年</w:t>
      </w:r>
      <w:r>
        <w:rPr>
          <w:rFonts w:hint="eastAsia" w:ascii="仿宋_GB2312" w:eastAsia="仿宋_GB2312"/>
          <w:color w:val="auto"/>
          <w:sz w:val="32"/>
          <w:szCs w:val="32"/>
          <w:highlight w:val="none"/>
        </w:rPr>
        <w:t>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numPr>
          <w:ilvl w:val="0"/>
          <w:numId w:val="6"/>
        </w:numPr>
        <w:spacing w:line="600" w:lineRule="exact"/>
        <w:ind w:firstLine="640"/>
        <w:outlineLvl w:val="1"/>
        <w:rPr>
          <w:rStyle w:val="40"/>
          <w:rFonts w:ascii="黑体" w:hAnsi="黑体" w:eastAsia="黑体"/>
          <w:b w:val="0"/>
          <w:color w:val="auto"/>
          <w:highlight w:val="none"/>
        </w:rPr>
      </w:pPr>
      <w:bookmarkStart w:id="62" w:name="_Toc15396611"/>
      <w:bookmarkStart w:id="63" w:name="_Toc15377219"/>
      <w:bookmarkStart w:id="64" w:name="_Toc7771"/>
      <w:r>
        <w:rPr>
          <w:rStyle w:val="40"/>
          <w:rFonts w:hint="eastAsia" w:ascii="黑体" w:hAnsi="黑体" w:eastAsia="黑体"/>
          <w:b w:val="0"/>
          <w:color w:val="auto"/>
          <w:highlight w:val="none"/>
        </w:rPr>
        <w:t>国有资本经营预算支出决算情况说明</w:t>
      </w:r>
      <w:bookmarkEnd w:id="62"/>
      <w:bookmarkEnd w:id="63"/>
      <w:bookmarkEnd w:id="64"/>
    </w:p>
    <w:p>
      <w:pPr>
        <w:spacing w:line="600" w:lineRule="exact"/>
        <w:ind w:firstLine="640"/>
        <w:rPr>
          <w:rFonts w:ascii="方正小标宋简体" w:hAnsi="方正小标宋简体" w:eastAsia="方正小标宋简体" w:cs="方正小标宋简体"/>
          <w:color w:val="auto"/>
          <w:sz w:val="44"/>
          <w:szCs w:val="44"/>
          <w:highlight w:val="none"/>
        </w:rPr>
      </w:pPr>
      <w:r>
        <w:rPr>
          <w:rFonts w:hint="eastAsia" w:ascii="仿宋_GB2312" w:eastAsia="仿宋_GB2312"/>
          <w:color w:val="auto"/>
          <w:sz w:val="32"/>
          <w:szCs w:val="32"/>
          <w:highlight w:val="none"/>
          <w:lang w:eastAsia="zh-CN"/>
        </w:rPr>
        <w:t>2022年</w:t>
      </w:r>
      <w:r>
        <w:rPr>
          <w:rFonts w:hint="eastAsia" w:ascii="仿宋_GB2312" w:eastAsia="仿宋_GB2312"/>
          <w:color w:val="auto"/>
          <w:sz w:val="32"/>
          <w:szCs w:val="32"/>
          <w:highlight w:val="none"/>
        </w:rPr>
        <w:t>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numPr>
          <w:ilvl w:val="0"/>
          <w:numId w:val="6"/>
        </w:numPr>
        <w:spacing w:line="600" w:lineRule="exact"/>
        <w:ind w:firstLine="640"/>
        <w:outlineLvl w:val="1"/>
        <w:rPr>
          <w:rStyle w:val="40"/>
          <w:rFonts w:hint="eastAsia" w:ascii="黑体" w:hAnsi="黑体" w:eastAsia="黑体"/>
          <w:b w:val="0"/>
          <w:color w:val="auto"/>
          <w:highlight w:val="none"/>
        </w:rPr>
      </w:pPr>
      <w:bookmarkStart w:id="65" w:name="_Toc15396612"/>
      <w:bookmarkStart w:id="66" w:name="_Toc4155"/>
      <w:bookmarkStart w:id="67" w:name="_Toc15377221"/>
      <w:r>
        <w:rPr>
          <w:rStyle w:val="40"/>
          <w:rFonts w:hint="eastAsia" w:ascii="黑体" w:hAnsi="黑体" w:eastAsia="黑体"/>
          <w:b w:val="0"/>
          <w:color w:val="auto"/>
          <w:highlight w:val="none"/>
        </w:rPr>
        <w:t>其他重要事项的情况说明</w:t>
      </w:r>
      <w:bookmarkEnd w:id="65"/>
      <w:bookmarkEnd w:id="66"/>
      <w:bookmarkEnd w:id="67"/>
    </w:p>
    <w:p>
      <w:pPr>
        <w:spacing w:line="600" w:lineRule="exact"/>
        <w:ind w:firstLine="643" w:firstLineChars="200"/>
        <w:outlineLvl w:val="2"/>
        <w:rPr>
          <w:rFonts w:hint="eastAsia" w:ascii="仿宋" w:hAnsi="仿宋" w:eastAsia="仿宋" w:cs="仿宋"/>
          <w:color w:val="auto"/>
          <w:sz w:val="32"/>
          <w:szCs w:val="32"/>
          <w:highlight w:val="none"/>
        </w:rPr>
      </w:pPr>
      <w:bookmarkStart w:id="68" w:name="_Toc15377222"/>
      <w:r>
        <w:rPr>
          <w:rFonts w:hint="eastAsia" w:ascii="仿宋" w:hAnsi="仿宋" w:eastAsia="仿宋" w:cs="仿宋"/>
          <w:b/>
          <w:color w:val="auto"/>
          <w:sz w:val="32"/>
          <w:szCs w:val="32"/>
          <w:highlight w:val="none"/>
        </w:rPr>
        <w:t>（一）机关运行经费支出情况</w:t>
      </w:r>
      <w:bookmarkEnd w:id="68"/>
    </w:p>
    <w:p>
      <w:pPr>
        <w:spacing w:line="600" w:lineRule="exact"/>
        <w:ind w:firstLine="640" w:firstLineChars="200"/>
        <w:rPr>
          <w:rFonts w:hint="eastAsia" w:ascii="仿宋" w:hAnsi="仿宋" w:eastAsia="仿宋" w:cs="仿宋"/>
          <w:color w:val="FF0000"/>
          <w:sz w:val="32"/>
          <w:szCs w:val="32"/>
          <w:highlight w:val="none"/>
          <w:lang w:val="en-US" w:eastAsia="zh-CN"/>
        </w:rPr>
      </w:pPr>
      <w:r>
        <w:rPr>
          <w:rFonts w:hint="eastAsia" w:ascii="仿宋" w:hAnsi="仿宋" w:eastAsia="仿宋" w:cs="仿宋"/>
          <w:color w:val="auto"/>
          <w:sz w:val="32"/>
          <w:szCs w:val="32"/>
          <w:highlight w:val="none"/>
          <w:lang w:eastAsia="zh-CN"/>
        </w:rPr>
        <w:t>2022年</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中共乐山市沙湾区委统一战线工作部</w:t>
      </w:r>
      <w:r>
        <w:rPr>
          <w:rFonts w:hint="eastAsia" w:ascii="仿宋" w:hAnsi="仿宋" w:eastAsia="仿宋" w:cs="仿宋"/>
          <w:color w:val="auto"/>
          <w:sz w:val="32"/>
          <w:szCs w:val="32"/>
          <w:highlight w:val="none"/>
        </w:rPr>
        <w:t>机关运行经费支出</w:t>
      </w:r>
      <w:r>
        <w:rPr>
          <w:rFonts w:hint="eastAsia" w:ascii="仿宋" w:hAnsi="仿宋" w:eastAsia="仿宋" w:cs="仿宋"/>
          <w:color w:val="auto"/>
          <w:sz w:val="32"/>
          <w:szCs w:val="32"/>
          <w:highlight w:val="none"/>
          <w:lang w:val="en-US" w:eastAsia="zh-CN"/>
        </w:rPr>
        <w:t>21.59</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较上年增加1.37万元，增长6.78%。主要原因是2022年办公费支出增加。</w:t>
      </w:r>
    </w:p>
    <w:p>
      <w:pPr>
        <w:autoSpaceDE w:val="0"/>
        <w:autoSpaceDN w:val="0"/>
        <w:adjustRightInd w:val="0"/>
        <w:spacing w:line="600" w:lineRule="exact"/>
        <w:ind w:firstLine="643" w:firstLineChars="200"/>
        <w:jc w:val="left"/>
        <w:outlineLvl w:val="2"/>
        <w:rPr>
          <w:rFonts w:hint="eastAsia" w:ascii="仿宋" w:hAnsi="仿宋" w:eastAsia="仿宋" w:cs="仿宋"/>
          <w:b/>
          <w:color w:val="auto"/>
          <w:sz w:val="32"/>
          <w:szCs w:val="32"/>
          <w:highlight w:val="none"/>
        </w:rPr>
      </w:pPr>
      <w:bookmarkStart w:id="69" w:name="_Toc15377223"/>
      <w:r>
        <w:rPr>
          <w:rFonts w:hint="eastAsia" w:ascii="仿宋" w:hAnsi="仿宋" w:eastAsia="仿宋" w:cs="仿宋"/>
          <w:b/>
          <w:color w:val="auto"/>
          <w:sz w:val="32"/>
          <w:szCs w:val="32"/>
          <w:highlight w:val="none"/>
        </w:rPr>
        <w:t>（二）政府采购支出情况</w:t>
      </w:r>
      <w:bookmarkEnd w:id="69"/>
    </w:p>
    <w:p>
      <w:pPr>
        <w:spacing w:line="600" w:lineRule="exact"/>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2022年</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中共乐山市沙湾区委统一战线工作部未发生政府</w:t>
      </w:r>
      <w:r>
        <w:rPr>
          <w:rFonts w:hint="eastAsia" w:ascii="仿宋" w:hAnsi="仿宋" w:eastAsia="仿宋" w:cs="仿宋"/>
          <w:color w:val="auto"/>
          <w:sz w:val="32"/>
          <w:szCs w:val="32"/>
          <w:highlight w:val="none"/>
        </w:rPr>
        <w:t>采购支出</w:t>
      </w:r>
      <w:r>
        <w:rPr>
          <w:rFonts w:hint="eastAsia" w:ascii="仿宋" w:hAnsi="仿宋" w:eastAsia="仿宋" w:cs="仿宋"/>
          <w:color w:val="auto"/>
          <w:sz w:val="32"/>
          <w:szCs w:val="32"/>
          <w:highlight w:val="none"/>
          <w:lang w:eastAsia="zh-CN"/>
        </w:rPr>
        <w:t>。</w:t>
      </w:r>
    </w:p>
    <w:p>
      <w:pPr>
        <w:autoSpaceDE w:val="0"/>
        <w:autoSpaceDN w:val="0"/>
        <w:adjustRightInd w:val="0"/>
        <w:spacing w:line="600" w:lineRule="exact"/>
        <w:ind w:firstLine="643" w:firstLineChars="200"/>
        <w:jc w:val="left"/>
        <w:outlineLvl w:val="2"/>
        <w:rPr>
          <w:rFonts w:hint="eastAsia" w:ascii="仿宋" w:hAnsi="仿宋" w:eastAsia="仿宋" w:cs="仿宋"/>
          <w:b/>
          <w:color w:val="auto"/>
          <w:sz w:val="32"/>
          <w:szCs w:val="32"/>
          <w:highlight w:val="none"/>
        </w:rPr>
      </w:pPr>
      <w:bookmarkStart w:id="70" w:name="_Toc15377224"/>
      <w:r>
        <w:rPr>
          <w:rFonts w:hint="eastAsia" w:ascii="仿宋" w:hAnsi="仿宋" w:eastAsia="仿宋" w:cs="仿宋"/>
          <w:b/>
          <w:color w:val="auto"/>
          <w:sz w:val="32"/>
          <w:szCs w:val="32"/>
          <w:highlight w:val="none"/>
        </w:rPr>
        <w:t>（三）国有资产占有使用情况</w:t>
      </w:r>
      <w:bookmarkEnd w:id="70"/>
    </w:p>
    <w:p>
      <w:pPr>
        <w:autoSpaceDE w:val="0"/>
        <w:autoSpaceDN w:val="0"/>
        <w:adjustRightInd w:val="0"/>
        <w:spacing w:line="600" w:lineRule="exact"/>
        <w:ind w:firstLine="640" w:firstLineChars="20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截至</w:t>
      </w:r>
      <w:r>
        <w:rPr>
          <w:rFonts w:hint="eastAsia" w:ascii="仿宋" w:hAnsi="仿宋" w:eastAsia="仿宋" w:cs="仿宋"/>
          <w:color w:val="auto"/>
          <w:sz w:val="32"/>
          <w:szCs w:val="32"/>
          <w:highlight w:val="none"/>
          <w:lang w:eastAsia="zh-CN"/>
        </w:rPr>
        <w:t>2022年</w:t>
      </w:r>
      <w:r>
        <w:rPr>
          <w:rFonts w:hint="eastAsia" w:ascii="仿宋" w:hAnsi="仿宋" w:eastAsia="仿宋" w:cs="仿宋"/>
          <w:color w:val="auto"/>
          <w:sz w:val="32"/>
          <w:szCs w:val="32"/>
          <w:highlight w:val="none"/>
        </w:rPr>
        <w:t>12月31日，</w:t>
      </w:r>
      <w:r>
        <w:rPr>
          <w:rFonts w:hint="eastAsia" w:ascii="仿宋" w:hAnsi="仿宋" w:eastAsia="仿宋" w:cs="仿宋"/>
          <w:color w:val="auto"/>
          <w:sz w:val="32"/>
          <w:szCs w:val="32"/>
          <w:highlight w:val="none"/>
          <w:lang w:eastAsia="zh-CN"/>
        </w:rPr>
        <w:t>中共乐山市沙湾区委统一战线工作部</w:t>
      </w:r>
      <w:r>
        <w:rPr>
          <w:rFonts w:hint="eastAsia" w:ascii="仿宋" w:hAnsi="仿宋" w:eastAsia="仿宋" w:cs="仿宋"/>
          <w:color w:val="auto"/>
          <w:sz w:val="32"/>
          <w:szCs w:val="32"/>
          <w:highlight w:val="none"/>
        </w:rPr>
        <w:t>共有车辆</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辆，其中：主要领导干部用车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辆、机要通信用车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辆、应急保障用车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辆、执法执勤用车</w:t>
      </w:r>
      <w:r>
        <w:rPr>
          <w:rFonts w:hint="eastAsia" w:ascii="仿宋" w:hAnsi="仿宋" w:eastAsia="仿宋" w:cs="仿宋"/>
          <w:color w:val="auto"/>
          <w:sz w:val="32"/>
          <w:szCs w:val="32"/>
          <w:highlight w:val="none"/>
          <w:lang w:val="en-US" w:eastAsia="zh-CN"/>
        </w:rPr>
        <w:t>0辆，特种专业技术用车0辆，离退休干部用车0辆，</w:t>
      </w:r>
      <w:r>
        <w:rPr>
          <w:rFonts w:hint="eastAsia" w:ascii="仿宋" w:hAnsi="仿宋" w:eastAsia="仿宋" w:cs="仿宋"/>
          <w:color w:val="auto"/>
          <w:sz w:val="32"/>
          <w:szCs w:val="32"/>
          <w:highlight w:val="none"/>
        </w:rPr>
        <w:t>其他用车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单价50万元以上通用设备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台（套），单价100万元以上专用设备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w:t>
      </w:r>
    </w:p>
    <w:p>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根据预算绩效管理要求，</w:t>
      </w:r>
      <w:r>
        <w:rPr>
          <w:rFonts w:hint="eastAsia" w:ascii="仿宋_GB2312" w:hAnsi="仿宋_GB2312" w:eastAsia="仿宋_GB2312" w:cs="仿宋_GB2312"/>
          <w:color w:val="auto"/>
          <w:sz w:val="32"/>
          <w:szCs w:val="32"/>
          <w:highlight w:val="none"/>
          <w:lang w:eastAsia="zh-CN"/>
        </w:rPr>
        <w:t>本部门</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val="en-US" w:eastAsia="zh-CN"/>
        </w:rPr>
        <w:t>2022年度</w:t>
      </w:r>
      <w:r>
        <w:rPr>
          <w:rFonts w:hint="eastAsia" w:ascii="仿宋_GB2312" w:hAnsi="仿宋_GB2312" w:eastAsia="仿宋_GB2312" w:cs="仿宋_GB2312"/>
          <w:color w:val="auto"/>
          <w:sz w:val="32"/>
          <w:szCs w:val="32"/>
          <w:highlight w:val="none"/>
        </w:rPr>
        <w:t>预算编制阶段，组织</w:t>
      </w:r>
      <w:r>
        <w:rPr>
          <w:rFonts w:hint="eastAsia" w:ascii="仿宋_GB2312" w:hAnsi="仿宋_GB2312" w:eastAsia="仿宋_GB2312" w:cs="仿宋_GB2312"/>
          <w:color w:val="auto"/>
          <w:sz w:val="32"/>
          <w:szCs w:val="32"/>
          <w:highlight w:val="none"/>
          <w:lang w:val="en-US" w:eastAsia="zh-CN"/>
        </w:rPr>
        <w:t>对</w:t>
      </w:r>
      <w:r>
        <w:rPr>
          <w:rFonts w:hint="eastAsia" w:ascii="仿宋_GB2312" w:hAnsi="仿宋_GB2312" w:eastAsia="仿宋_GB2312" w:cs="仿宋_GB2312"/>
          <w:color w:val="auto"/>
          <w:sz w:val="32"/>
          <w:szCs w:val="32"/>
          <w:highlight w:val="none"/>
        </w:rPr>
        <w:t>民主党派运行</w:t>
      </w:r>
      <w:r>
        <w:rPr>
          <w:rFonts w:hint="eastAsia" w:ascii="仿宋_GB2312" w:hAnsi="仿宋" w:eastAsia="仿宋_GB2312"/>
          <w:sz w:val="32"/>
          <w:szCs w:val="32"/>
          <w:highlight w:val="none"/>
        </w:rPr>
        <w:t>经费</w:t>
      </w:r>
      <w:r>
        <w:rPr>
          <w:rFonts w:hint="eastAsia" w:ascii="仿宋_GB2312" w:hAnsi="仿宋" w:eastAsia="仿宋_GB2312"/>
          <w:sz w:val="32"/>
          <w:szCs w:val="32"/>
          <w:highlight w:val="none"/>
          <w:lang w:eastAsia="zh-CN"/>
        </w:rPr>
        <w:t>、购置办公设备、侨务和台湾事务工作运行经费、民族事业发展专项资金（太平镇五高山人畜饮水设施建设</w:t>
      </w:r>
      <w:r>
        <w:rPr>
          <w:rFonts w:hint="eastAsia" w:ascii="仿宋_GB2312" w:hAnsi="仿宋_GB2312" w:eastAsia="仿宋_GB2312" w:cs="仿宋_GB2312"/>
          <w:color w:val="auto"/>
          <w:sz w:val="32"/>
          <w:szCs w:val="32"/>
          <w:highlight w:val="none"/>
          <w:lang w:eastAsia="zh-CN"/>
        </w:rPr>
        <w:t>项目补助）、2022年春节慰问资金、民族宗教安全维稳运行经费、</w:t>
      </w:r>
      <w:r>
        <w:rPr>
          <w:rFonts w:hint="eastAsia" w:ascii="仿宋_GB2312" w:hAnsi="仿宋_GB2312" w:eastAsia="仿宋_GB2312" w:cs="仿宋_GB2312"/>
          <w:color w:val="auto"/>
          <w:sz w:val="32"/>
          <w:szCs w:val="32"/>
          <w:highlight w:val="none"/>
          <w:lang w:val="en-US" w:eastAsia="zh-CN"/>
        </w:rPr>
        <w:t>市级民族发展专项资金</w:t>
      </w:r>
      <w:r>
        <w:rPr>
          <w:rFonts w:hint="eastAsia" w:ascii="仿宋_GB2312" w:hAnsi="仿宋_GB2312" w:eastAsia="仿宋_GB2312" w:cs="仿宋_GB2312"/>
          <w:color w:val="auto"/>
          <w:sz w:val="32"/>
          <w:szCs w:val="32"/>
          <w:highlight w:val="none"/>
          <w:lang w:eastAsia="zh-CN"/>
        </w:rPr>
        <w:t>、侨联运行工作经费</w:t>
      </w:r>
      <w:r>
        <w:rPr>
          <w:rFonts w:hint="eastAsia" w:ascii="仿宋_GB2312" w:hAnsi="仿宋_GB2312" w:eastAsia="仿宋_GB2312" w:cs="仿宋_GB2312"/>
          <w:color w:val="auto"/>
          <w:sz w:val="32"/>
          <w:szCs w:val="32"/>
          <w:highlight w:val="none"/>
          <w:lang w:val="en-US" w:eastAsia="zh-CN"/>
        </w:rPr>
        <w:t>等8个项目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个项目开展绩效监控</w:t>
      </w:r>
      <w:r>
        <w:rPr>
          <w:rFonts w:hint="eastAsia" w:ascii="仿宋_GB2312" w:hAnsi="仿宋_GB2312" w:eastAsia="仿宋_GB2312" w:cs="仿宋_GB2312"/>
          <w:color w:val="auto"/>
          <w:sz w:val="32"/>
          <w:szCs w:val="32"/>
          <w:highlight w:val="none"/>
          <w:lang w:val="en-US" w:eastAsia="zh-CN"/>
        </w:rPr>
        <w:t>(市级民族发展专项资金调剂指标到区教育局和铜河街道办）。</w:t>
      </w:r>
    </w:p>
    <w:p>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组织对2022年度一般公共预算、政府性基金预算、国</w:t>
      </w:r>
      <w:r>
        <w:rPr>
          <w:rFonts w:hint="eastAsia" w:ascii="仿宋_GB2312" w:hAnsi="仿宋_GB2312" w:eastAsia="仿宋_GB2312" w:cs="仿宋_GB2312"/>
          <w:sz w:val="32"/>
          <w:szCs w:val="32"/>
        </w:rPr>
        <w:t>有资本经营预算、社会保险基金预算以及资本资产、债券资金等全面开展绩效自评，形成</w:t>
      </w:r>
      <w:r>
        <w:rPr>
          <w:rFonts w:hint="eastAsia" w:ascii="仿宋_GB2312" w:hAnsi="仿宋_GB2312" w:eastAsia="仿宋_GB2312" w:cs="仿宋_GB2312"/>
          <w:sz w:val="32"/>
          <w:szCs w:val="32"/>
          <w:lang w:eastAsia="zh-CN"/>
        </w:rPr>
        <w:t>中共乐山市沙湾区委统一战线工作部</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整体（含部门预算项目）绩效自评报告，其中，部门整体（含部门</w:t>
      </w:r>
      <w:r>
        <w:rPr>
          <w:rFonts w:hint="eastAsia" w:ascii="仿宋_GB2312" w:hAnsi="仿宋_GB2312" w:eastAsia="仿宋_GB2312" w:cs="仿宋_GB2312"/>
          <w:sz w:val="32"/>
          <w:szCs w:val="32"/>
          <w:highlight w:val="none"/>
        </w:rPr>
        <w:t>预算项目）绩效自评得分为</w:t>
      </w:r>
      <w:r>
        <w:rPr>
          <w:rFonts w:hint="eastAsia" w:ascii="仿宋_GB2312" w:hAnsi="仿宋_GB2312" w:eastAsia="仿宋_GB2312" w:cs="仿宋_GB2312"/>
          <w:sz w:val="32"/>
          <w:szCs w:val="32"/>
          <w:highlight w:val="none"/>
          <w:lang w:val="en-US" w:eastAsia="zh-CN"/>
        </w:rPr>
        <w:t>90</w:t>
      </w:r>
      <w:r>
        <w:rPr>
          <w:rFonts w:hint="eastAsia" w:ascii="仿宋_GB2312" w:hAnsi="仿宋_GB2312" w:eastAsia="仿宋_GB2312" w:cs="仿宋_GB2312"/>
          <w:sz w:val="32"/>
          <w:szCs w:val="32"/>
          <w:highlight w:val="none"/>
        </w:rPr>
        <w:t>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rPr>
        <w:t>年终执行完毕后，对</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rPr>
        <w:t>绩</w:t>
      </w:r>
      <w:r>
        <w:rPr>
          <w:rFonts w:hint="eastAsia" w:ascii="仿宋_GB2312" w:hAnsi="仿宋_GB2312" w:eastAsia="仿宋_GB2312" w:cs="仿宋_GB2312"/>
          <w:sz w:val="32"/>
          <w:szCs w:val="32"/>
        </w:rPr>
        <w:t>效自评报告详见附件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val="en-US" w:eastAsia="zh-CN"/>
        </w:rPr>
        <w:t>（第四部分）</w:t>
      </w:r>
      <w:r>
        <w:rPr>
          <w:rFonts w:hint="eastAsia" w:ascii="仿宋_GB2312" w:hAnsi="仿宋_GB2312" w:eastAsia="仿宋_GB2312" w:cs="仿宋_GB2312"/>
          <w:color w:val="auto"/>
          <w:sz w:val="32"/>
          <w:szCs w:val="32"/>
          <w:highlight w:val="none"/>
        </w:rPr>
        <w:t>。</w:t>
      </w:r>
    </w:p>
    <w:p>
      <w:pPr>
        <w:pStyle w:val="9"/>
        <w:rPr>
          <w:highlight w:val="yellow"/>
        </w:rPr>
      </w:pPr>
    </w:p>
    <w:p>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numPr>
          <w:ilvl w:val="0"/>
          <w:numId w:val="7"/>
        </w:numPr>
        <w:spacing w:line="600" w:lineRule="exact"/>
        <w:ind w:firstLine="660" w:firstLineChars="150"/>
        <w:jc w:val="center"/>
        <w:outlineLvl w:val="0"/>
        <w:rPr>
          <w:rStyle w:val="39"/>
          <w:rFonts w:ascii="黑体" w:hAnsi="黑体" w:eastAsia="黑体"/>
          <w:b w:val="0"/>
          <w:color w:val="auto"/>
          <w:highlight w:val="none"/>
        </w:rPr>
      </w:pPr>
      <w:bookmarkStart w:id="71" w:name="_Toc15396613"/>
      <w:bookmarkStart w:id="72" w:name="_Toc30245"/>
      <w:bookmarkStart w:id="73" w:name="_Toc15377225"/>
      <w:r>
        <w:rPr>
          <w:rFonts w:hint="eastAsia" w:ascii="黑体" w:hAnsi="黑体" w:eastAsia="黑体"/>
          <w:color w:val="auto"/>
          <w:sz w:val="44"/>
          <w:szCs w:val="44"/>
          <w:highlight w:val="none"/>
        </w:rPr>
        <w:t>名</w:t>
      </w:r>
      <w:r>
        <w:rPr>
          <w:rStyle w:val="39"/>
          <w:rFonts w:hint="eastAsia" w:ascii="黑体" w:hAnsi="黑体" w:eastAsia="黑体"/>
          <w:b w:val="0"/>
          <w:color w:val="auto"/>
          <w:highlight w:val="none"/>
        </w:rPr>
        <w:t>词解释</w:t>
      </w:r>
      <w:bookmarkEnd w:id="71"/>
      <w:bookmarkEnd w:id="72"/>
      <w:bookmarkEnd w:id="73"/>
    </w:p>
    <w:p>
      <w:pPr>
        <w:spacing w:line="600" w:lineRule="exact"/>
        <w:jc w:val="left"/>
        <w:rPr>
          <w:rFonts w:ascii="宋体"/>
          <w:b/>
          <w:color w:val="auto"/>
          <w:sz w:val="44"/>
          <w:szCs w:val="44"/>
          <w:highlight w:val="none"/>
        </w:rPr>
      </w:pPr>
    </w:p>
    <w:p>
      <w:pPr>
        <w:pStyle w:val="37"/>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1.财政拨款收入：指单位从同级财政部门取得的财政预算资金。</w:t>
      </w:r>
    </w:p>
    <w:p>
      <w:pPr>
        <w:pStyle w:val="37"/>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2.事业收入：指事业单位开展专业业务活动及辅助活动取得的收入。</w:t>
      </w:r>
    </w:p>
    <w:p>
      <w:pPr>
        <w:pStyle w:val="37"/>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 xml:space="preserve">3.经营收入：指事业单位在专业业务活动及其辅助活动之外开展非独立核算经营活动取得的收入。 </w:t>
      </w:r>
    </w:p>
    <w:p>
      <w:pPr>
        <w:pStyle w:val="37"/>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 xml:space="preserve">4.其他收入：指单位取得的除上述收入以外的各项收入。 </w:t>
      </w:r>
    </w:p>
    <w:p>
      <w:pPr>
        <w:pStyle w:val="37"/>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 xml:space="preserve">5.使用非财政拨款结余：指事业单位使用以前年度积累的非财政拨款结余弥补当年收支差额的金额。 </w:t>
      </w:r>
    </w:p>
    <w:p>
      <w:pPr>
        <w:pStyle w:val="37"/>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 xml:space="preserve">6.年初结转和结余：指以前年度尚未完成、结转到本年按有关规定继续使用的资金。 </w:t>
      </w:r>
    </w:p>
    <w:p>
      <w:pPr>
        <w:pStyle w:val="37"/>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7.结余分配：指事业单位按照会计制度规定缴纳的所得税、提取的专用结余以及转入非财政拨款结余的金额等。</w:t>
      </w:r>
    </w:p>
    <w:p>
      <w:pPr>
        <w:pStyle w:val="37"/>
        <w:spacing w:line="560" w:lineRule="exact"/>
        <w:ind w:firstLine="640" w:firstLineChars="200"/>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8.年末结转和结余：指单位按有关规定结转到下年或以后年度继续使用的资金。</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9.一般公共服务支出（类）统战事务（款）行政运行（项）：反映行政单位(包括实行公务员管理的事业单位)的基本支 出。</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10.一般公共服务支出（类）统战事务（款）一般行政管理事务（项）：反映行政单位(包括实行公务员管理的事业单位)未单独设置项级科目的其他项目支出。</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11.一般公共服务支出（类）统战事务（款）宗教事务（项）：反映用于宗教事务管理方面的支出。</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12.一般公共服务支出（类）统战事务（款）华侨事务（项）：反映有关华侨接待安置、生活困难补助以及华文教育等方面 的支出。</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13.一般公共服务支出（类）统战事务（款）事业运行（项）：反映事业单位的基本支出，不包括行政单位(包括实行公务 员管理的事业单位)后勤服务中心、医务室等附属事业单位。</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14.社会保障和就业支出（类）行政事业单位养老支出（款）行政单位离退休（项）：反映行政单位(包括实行公务员管理的事业单位)开支的离退休经费。</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15.社会保障和就业支出（类）行政事业单位养老支出（款）离退休人员管理机构（项）：反映各类离退休人员管理机构的支出。</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16.社会保障和就业支出（类）行政事业单位养老支出（款）机关事业单位基本养老保险缴费支出（项）：反映机关事业单位实施养老保险制度由单位缴纳的基本养老保险费支出。</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17.社会保障和就业支出（类）抚恤（款）死亡抚恤（项）：反映按规定用于烈士和牺牲、病故人员家属的一次性和定期 抚恤金、丧葬补助费以及烈士褒扬金。</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18.社会保障和就业支出（类）其他社会保障和就业支出（款）其他社会保障和就业支出（项）：反映以外其他用于社会保障和就业方面的支出。</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19.卫生健康支出（类）行政事业单位医疗（款）行政单位医疗（项）：反映财政部门安排的行政单位(包括实行公务员管理的事业 单位，下同)基本医疗保险缴费经费，未参加医疗保险的行政 单位的公费医疗经费，按国家规定享受离休人员、红军老战士 待遇人员的医疗经费。</w:t>
      </w:r>
    </w:p>
    <w:p>
      <w:pPr>
        <w:pStyle w:val="37"/>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20.住房保障支出（类）住房改革支出（款）住房公积金（项）：反映行政事业单位按人力资源和社会保障部、财政部规定的 基本工资和津贴补贴以及规定比例为职工缴纳的住房公积金。</w:t>
      </w:r>
    </w:p>
    <w:p>
      <w:pPr>
        <w:pStyle w:val="37"/>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21.基本支出：指为保障机构正常运转、完成日常工作任务而发生的人员支出和公用支出。</w:t>
      </w:r>
    </w:p>
    <w:p>
      <w:pPr>
        <w:pStyle w:val="37"/>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22.项目支出：指在基本支出之外为完成特定行政任务和事业发展目标所发生的支出。 </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23</w:t>
      </w:r>
      <w:r>
        <w:rPr>
          <w:rFonts w:hint="eastAsia" w:ascii="仿宋" w:hAnsi="仿宋" w:eastAsia="仿宋" w:cs="仿宋"/>
          <w:sz w:val="32"/>
          <w:szCs w:val="32"/>
        </w:rPr>
        <w:t>.经营支出：指事业单位在专业业务活动及其辅助活动之外开展非独立核算经营活动发生的支出。</w:t>
      </w:r>
    </w:p>
    <w:p>
      <w:pPr>
        <w:pStyle w:val="37"/>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47"/>
        <w:rPr>
          <w:rFonts w:hint="eastAsia" w:ascii="仿宋" w:hAnsi="仿宋" w:eastAsia="仿宋" w:cs="仿宋"/>
          <w:lang w:val="en-US" w:eastAsia="zh-CN"/>
        </w:rPr>
      </w:pP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9"/>
          <w:rFonts w:ascii="黑体" w:hAnsi="黑体" w:eastAsia="黑体"/>
          <w:b w:val="0"/>
          <w:color w:val="auto"/>
          <w:highlight w:val="none"/>
        </w:rPr>
      </w:pPr>
      <w:bookmarkStart w:id="74" w:name="_Toc15377226"/>
      <w:r>
        <w:rPr>
          <w:rFonts w:ascii="宋体"/>
          <w:b/>
          <w:color w:val="auto"/>
          <w:sz w:val="44"/>
          <w:szCs w:val="44"/>
          <w:highlight w:val="none"/>
        </w:rPr>
        <w:br w:type="page"/>
      </w:r>
      <w:bookmarkStart w:id="75" w:name="_Toc15396614"/>
      <w:bookmarkStart w:id="76" w:name="_Toc5431"/>
      <w:r>
        <w:rPr>
          <w:rFonts w:hint="eastAsia" w:ascii="黑体" w:hAnsi="黑体" w:eastAsia="黑体"/>
          <w:color w:val="auto"/>
          <w:sz w:val="44"/>
          <w:szCs w:val="44"/>
          <w:highlight w:val="none"/>
        </w:rPr>
        <w:t>第</w:t>
      </w:r>
      <w:r>
        <w:rPr>
          <w:rStyle w:val="39"/>
          <w:rFonts w:hint="eastAsia" w:ascii="黑体" w:hAnsi="黑体" w:eastAsia="黑体"/>
          <w:b w:val="0"/>
          <w:color w:val="auto"/>
          <w:highlight w:val="none"/>
        </w:rPr>
        <w:t>四部分 附件</w:t>
      </w:r>
      <w:bookmarkEnd w:id="75"/>
      <w:bookmarkEnd w:id="76"/>
    </w:p>
    <w:p>
      <w:pPr>
        <w:keepNext w:val="0"/>
        <w:keepLines w:val="0"/>
        <w:pageBreakBefore w:val="0"/>
        <w:widowControl/>
        <w:kinsoku/>
        <w:wordWrap/>
        <w:overflowPunct/>
        <w:topLinePunct w:val="0"/>
        <w:autoSpaceDE/>
        <w:autoSpaceDN/>
        <w:bidi w:val="0"/>
        <w:spacing w:line="560" w:lineRule="exact"/>
        <w:contextualSpacing/>
        <w:jc w:val="center"/>
        <w:textAlignment w:val="auto"/>
        <w:rPr>
          <w:rFonts w:ascii="方正小标宋简体" w:hAnsi="方正小标宋简体" w:eastAsia="方正小标宋简体" w:cs="方正小标宋简体"/>
          <w:color w:val="auto"/>
          <w:sz w:val="44"/>
          <w:szCs w:val="44"/>
          <w:highlight w:val="none"/>
        </w:rPr>
      </w:pP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小标宋简体" w:hAnsi="宋体" w:eastAsia="方正小标宋简体" w:cs="Times New Roman"/>
          <w:sz w:val="44"/>
          <w:szCs w:val="44"/>
          <w:shd w:val="clear" w:color="auto" w:fill="FFFFFF"/>
          <w:lang w:eastAsia="zh-CN"/>
        </w:rPr>
      </w:pPr>
      <w:bookmarkStart w:id="77" w:name="_Toc15396618"/>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小标宋简体" w:hAnsi="宋体" w:eastAsia="方正小标宋简体" w:cs="Times New Roman"/>
          <w:sz w:val="44"/>
          <w:szCs w:val="44"/>
          <w:shd w:val="clear" w:color="auto" w:fill="FFFFFF"/>
          <w:lang w:eastAsia="zh-CN"/>
        </w:rPr>
      </w:pPr>
      <w:r>
        <w:rPr>
          <w:rFonts w:hint="eastAsia" w:ascii="方正小标宋简体" w:hAnsi="宋体" w:eastAsia="方正小标宋简体" w:cs="Times New Roman"/>
          <w:sz w:val="44"/>
          <w:szCs w:val="44"/>
          <w:shd w:val="clear" w:color="auto" w:fill="FFFFFF"/>
          <w:lang w:eastAsia="zh-CN"/>
        </w:rPr>
        <w:t>区委统战部</w:t>
      </w:r>
      <w:r>
        <w:rPr>
          <w:rFonts w:hint="eastAsia" w:ascii="方正小标宋简体" w:hAnsi="宋体" w:eastAsia="方正小标宋简体" w:cs="Times New Roman"/>
          <w:sz w:val="44"/>
          <w:szCs w:val="44"/>
          <w:shd w:val="clear" w:color="auto" w:fill="FFFFFF"/>
          <w:lang w:val="en-US" w:eastAsia="zh-CN"/>
        </w:rPr>
        <w:t>2022年度</w:t>
      </w:r>
      <w:r>
        <w:rPr>
          <w:rFonts w:hint="eastAsia" w:ascii="方正小标宋简体" w:hAnsi="宋体" w:eastAsia="方正小标宋简体" w:cs="Times New Roman"/>
          <w:sz w:val="44"/>
          <w:szCs w:val="44"/>
          <w:shd w:val="clear" w:color="auto" w:fill="FFFFFF"/>
          <w:lang w:eastAsia="zh-CN"/>
        </w:rPr>
        <w:t>部门整体绩效评价</w:t>
      </w: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小标宋简体" w:hAnsi="宋体" w:eastAsia="方正小标宋简体" w:cs="Times New Roman"/>
          <w:sz w:val="44"/>
          <w:szCs w:val="44"/>
          <w:shd w:val="clear" w:color="auto" w:fill="FFFFFF"/>
          <w:lang w:eastAsia="zh-CN"/>
        </w:rPr>
      </w:pPr>
      <w:r>
        <w:rPr>
          <w:rFonts w:hint="eastAsia" w:ascii="方正小标宋简体" w:hAnsi="宋体" w:eastAsia="方正小标宋简体" w:cs="Times New Roman"/>
          <w:sz w:val="44"/>
          <w:szCs w:val="44"/>
          <w:shd w:val="clear" w:color="auto" w:fill="FFFFFF"/>
          <w:lang w:eastAsia="zh-CN"/>
        </w:rPr>
        <w:t>报告</w:t>
      </w:r>
    </w:p>
    <w:p>
      <w:pPr>
        <w:widowControl/>
        <w:spacing w:line="560" w:lineRule="exact"/>
        <w:contextualSpacing/>
        <w:jc w:val="center"/>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60" w:lineRule="exact"/>
        <w:ind w:firstLine="660" w:firstLineChars="200"/>
        <w:contextualSpacing/>
        <w:jc w:val="left"/>
        <w:textAlignment w:val="auto"/>
        <w:rPr>
          <w:rFonts w:ascii="方正仿宋_GBK" w:hAnsi="宋体" w:eastAsia="方正仿宋_GBK" w:cs="宋体"/>
          <w:color w:val="000000"/>
          <w:kern w:val="0"/>
          <w:sz w:val="33"/>
          <w:szCs w:val="33"/>
          <w:shd w:val="clear" w:color="auto" w:fill="FFFFFF"/>
        </w:rPr>
      </w:pPr>
    </w:p>
    <w:p>
      <w:pPr>
        <w:pStyle w:val="21"/>
        <w:keepNext w:val="0"/>
        <w:keepLines w:val="0"/>
        <w:pageBreakBefore w:val="0"/>
        <w:kinsoku/>
        <w:wordWrap/>
        <w:overflowPunct/>
        <w:topLinePunct w:val="0"/>
        <w:autoSpaceDE/>
        <w:autoSpaceDN/>
        <w:bidi w:val="0"/>
        <w:spacing w:line="560" w:lineRule="exact"/>
        <w:ind w:left="0" w:leftChars="0" w:firstLine="640" w:firstLineChars="0"/>
        <w:textAlignment w:val="auto"/>
        <w:rPr>
          <w:rFonts w:hint="eastAsia"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rPr>
        <w:t>一、</w:t>
      </w:r>
      <w:r>
        <w:rPr>
          <w:rFonts w:hint="eastAsia" w:ascii="黑体" w:hAnsi="黑体" w:eastAsia="黑体" w:cs="宋体"/>
          <w:color w:val="000000"/>
          <w:kern w:val="0"/>
          <w:sz w:val="32"/>
          <w:szCs w:val="32"/>
          <w:shd w:val="clear" w:color="auto" w:fill="FFFFFF"/>
          <w:lang w:val="zh-CN"/>
        </w:rPr>
        <w:t>部门基本情况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val="zh-CN" w:eastAsia="zh-CN"/>
        </w:rPr>
      </w:pPr>
      <w:r>
        <w:rPr>
          <w:rFonts w:hint="eastAsia" w:ascii="仿宋" w:hAnsi="仿宋" w:eastAsia="仿宋" w:cs="仿宋"/>
          <w:sz w:val="32"/>
          <w:szCs w:val="32"/>
          <w:lang w:val="zh-CN" w:eastAsia="zh-CN"/>
        </w:rPr>
        <w:t>（一）机构组成。区委统战部内设机构2个：办公室、业务股；区民宗局与区委统战部合署办公。区侨联为区委领导下的群团组织，归口区委统战部统一管理。</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val="zh-CN" w:eastAsia="zh-CN"/>
        </w:rPr>
      </w:pPr>
      <w:r>
        <w:rPr>
          <w:rFonts w:hint="eastAsia" w:ascii="仿宋" w:hAnsi="仿宋" w:eastAsia="仿宋" w:cs="仿宋"/>
          <w:sz w:val="32"/>
          <w:szCs w:val="32"/>
          <w:lang w:val="zh-CN" w:eastAsia="zh-CN"/>
        </w:rPr>
        <w:t>（二）机构职能和人员概况。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zh-CN" w:eastAsia="zh-CN"/>
        </w:rPr>
        <w:t>中共乐山市沙湾区委统一战线工作部是中共乐山市沙湾区委主管统一战线工作的职能部门。主要职责包括：一是宣传贯彻统一战线的理论、方针、政策，提出开展统战工作的意见建议，协调处理统战工作中的重大问题。二是联系各民主党派和无党派人士贯彻落实中共共产党领导的多党合作和政治协商制度，选拔、培养优秀代表人士。三是贯彻执行民族和宗教工作方针、政策，协</w:t>
      </w:r>
      <w:r>
        <w:rPr>
          <w:rFonts w:hint="eastAsia" w:ascii="仿宋" w:hAnsi="仿宋" w:eastAsia="仿宋" w:cs="仿宋"/>
          <w:sz w:val="32"/>
          <w:szCs w:val="32"/>
        </w:rPr>
        <w:t>助有关部门做好少数民族党外干部培养和举荐工作。四是开展以祖国统一为重点的海外统战工作，做好港、澳、台胞及家属有关工作。五是做好归侨、侨眷的思想政治工作，团结和带领他们为全面建设小康社会贡献力量。六是积极联系非公有制经济代表人士，团结、帮助、引导非公有制经济人士，开展好思想政治工作。</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区委统战部202</w:t>
      </w:r>
      <w:r>
        <w:rPr>
          <w:rFonts w:hint="eastAsia" w:ascii="仿宋" w:hAnsi="仿宋" w:eastAsia="仿宋" w:cs="仿宋"/>
          <w:sz w:val="32"/>
          <w:szCs w:val="32"/>
          <w:lang w:val="en-US" w:eastAsia="zh-CN"/>
        </w:rPr>
        <w:t>2</w:t>
      </w:r>
      <w:r>
        <w:rPr>
          <w:rFonts w:hint="eastAsia" w:ascii="仿宋" w:hAnsi="仿宋" w:eastAsia="仿宋" w:cs="仿宋"/>
          <w:sz w:val="32"/>
          <w:szCs w:val="32"/>
        </w:rPr>
        <w:t>年行政编制为6人，实有在岗编制人员</w:t>
      </w:r>
      <w:r>
        <w:rPr>
          <w:rFonts w:hint="eastAsia" w:ascii="仿宋" w:hAnsi="仿宋" w:eastAsia="仿宋" w:cs="仿宋"/>
          <w:sz w:val="32"/>
          <w:szCs w:val="32"/>
          <w:lang w:val="en-US" w:eastAsia="zh-CN"/>
        </w:rPr>
        <w:t>6</w:t>
      </w:r>
      <w:r>
        <w:rPr>
          <w:rFonts w:hint="eastAsia" w:ascii="仿宋" w:hAnsi="仿宋" w:eastAsia="仿宋" w:cs="仿宋"/>
          <w:sz w:val="32"/>
          <w:szCs w:val="32"/>
        </w:rPr>
        <w:t>人，其中副部长3人（含民宗局局长1人，民宗局副局长1人）。区侨联核定事业编制</w:t>
      </w:r>
      <w:r>
        <w:rPr>
          <w:rFonts w:hint="eastAsia" w:ascii="仿宋" w:hAnsi="仿宋" w:eastAsia="仿宋" w:cs="仿宋"/>
          <w:sz w:val="32"/>
          <w:szCs w:val="32"/>
          <w:lang w:val="en-US" w:eastAsia="zh-CN"/>
        </w:rPr>
        <w:t>3</w:t>
      </w:r>
      <w:r>
        <w:rPr>
          <w:rFonts w:hint="eastAsia" w:ascii="仿宋" w:hAnsi="仿宋" w:eastAsia="仿宋" w:cs="仿宋"/>
          <w:sz w:val="32"/>
          <w:szCs w:val="32"/>
        </w:rPr>
        <w:t>名，实有</w:t>
      </w:r>
      <w:r>
        <w:rPr>
          <w:rFonts w:hint="eastAsia" w:ascii="仿宋" w:hAnsi="仿宋" w:eastAsia="仿宋" w:cs="仿宋"/>
          <w:sz w:val="32"/>
          <w:szCs w:val="32"/>
          <w:lang w:eastAsia="zh-CN"/>
        </w:rPr>
        <w:t>在编</w:t>
      </w:r>
      <w:r>
        <w:rPr>
          <w:rFonts w:hint="eastAsia" w:ascii="仿宋" w:hAnsi="仿宋" w:eastAsia="仿宋" w:cs="仿宋"/>
          <w:sz w:val="32"/>
          <w:szCs w:val="32"/>
        </w:rPr>
        <w:t>在岗人员</w:t>
      </w:r>
      <w:r>
        <w:rPr>
          <w:rFonts w:hint="eastAsia" w:ascii="仿宋" w:hAnsi="仿宋" w:eastAsia="仿宋" w:cs="仿宋"/>
          <w:sz w:val="32"/>
          <w:szCs w:val="32"/>
          <w:lang w:val="en-US" w:eastAsia="zh-CN"/>
        </w:rPr>
        <w:t>3人</w:t>
      </w:r>
      <w:r>
        <w:rPr>
          <w:rFonts w:hint="eastAsia" w:ascii="仿宋" w:hAnsi="仿宋" w:eastAsia="仿宋" w:cs="仿宋"/>
          <w:sz w:val="32"/>
          <w:szCs w:val="32"/>
        </w:rPr>
        <w:t>。设侨联主席1名</w:t>
      </w:r>
      <w:r>
        <w:rPr>
          <w:rFonts w:hint="eastAsia" w:ascii="仿宋" w:hAnsi="仿宋" w:eastAsia="仿宋" w:cs="仿宋"/>
          <w:sz w:val="32"/>
          <w:szCs w:val="32"/>
          <w:lang w:eastAsia="zh-CN"/>
        </w:rPr>
        <w:t>，副主席</w:t>
      </w:r>
      <w:r>
        <w:rPr>
          <w:rFonts w:hint="eastAsia" w:ascii="仿宋" w:hAnsi="仿宋" w:eastAsia="仿宋" w:cs="仿宋"/>
          <w:sz w:val="32"/>
          <w:szCs w:val="32"/>
          <w:lang w:val="en-US" w:eastAsia="zh-CN"/>
        </w:rPr>
        <w:t>1名。劳务派遣人员2人。</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年度主要工作任务。</w:t>
      </w:r>
    </w:p>
    <w:p>
      <w:pPr>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　　1.</w:t>
      </w:r>
      <w:r>
        <w:rPr>
          <w:rFonts w:hint="eastAsia" w:ascii="仿宋" w:hAnsi="仿宋" w:eastAsia="仿宋" w:cs="仿宋"/>
          <w:sz w:val="32"/>
          <w:szCs w:val="32"/>
          <w:highlight w:val="none"/>
          <w:lang w:eastAsia="zh-CN"/>
        </w:rPr>
        <w:t>夯实共同思想。</w:t>
      </w:r>
      <w:r>
        <w:rPr>
          <w:rFonts w:hint="eastAsia" w:ascii="仿宋" w:hAnsi="仿宋" w:eastAsia="仿宋" w:cs="仿宋"/>
          <w:sz w:val="32"/>
          <w:szCs w:val="32"/>
          <w:highlight w:val="none"/>
        </w:rPr>
        <w:t>不断坚持“四心定位”，聚心寻求最大“公约数”、聚力迸发最大“正能量”、聚智绘出最大“同心圆”。引导全区统一战线不断学深悟透习近平总书记关于加强和改进统一战线工作的重要思想，进一步扩大统一战线知晓面和支持度</w:t>
      </w:r>
      <w:r>
        <w:rPr>
          <w:rFonts w:hint="eastAsia" w:ascii="仿宋" w:hAnsi="仿宋" w:eastAsia="仿宋" w:cs="仿宋"/>
          <w:sz w:val="32"/>
          <w:szCs w:val="32"/>
          <w:highlight w:val="none"/>
          <w:lang w:eastAsia="zh-CN"/>
        </w:rPr>
        <w:t>，推动全区统战工作高质量发展，为沙湾高质量发展广泛凝聚共识、凝聚智慧、凝聚人心、凝聚力量。　　</w:t>
      </w:r>
    </w:p>
    <w:p>
      <w:pPr>
        <w:keepNext w:val="0"/>
        <w:keepLines w:val="0"/>
        <w:pageBreakBefore w:val="0"/>
        <w:numPr>
          <w:ilvl w:val="0"/>
          <w:numId w:val="0"/>
        </w:numPr>
        <w:kinsoku/>
        <w:wordWrap/>
        <w:overflowPunct/>
        <w:topLinePunct w:val="0"/>
        <w:autoSpaceDE/>
        <w:autoSpaceDN/>
        <w:bidi w:val="0"/>
        <w:spacing w:line="560" w:lineRule="exac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　　2.</w:t>
      </w:r>
      <w:r>
        <w:rPr>
          <w:rFonts w:hint="eastAsia" w:ascii="仿宋" w:hAnsi="仿宋" w:eastAsia="仿宋" w:cs="仿宋"/>
          <w:sz w:val="32"/>
          <w:szCs w:val="32"/>
          <w:highlight w:val="none"/>
          <w:lang w:eastAsia="zh-CN"/>
        </w:rPr>
        <w:t>凝聚同心力量。</w:t>
      </w:r>
      <w:r>
        <w:rPr>
          <w:rFonts w:hint="eastAsia" w:ascii="仿宋" w:hAnsi="仿宋" w:eastAsia="仿宋" w:cs="仿宋"/>
          <w:sz w:val="32"/>
          <w:szCs w:val="32"/>
          <w:highlight w:val="none"/>
        </w:rPr>
        <w:t>坚持</w:t>
      </w:r>
      <w:r>
        <w:rPr>
          <w:rFonts w:hint="eastAsia" w:ascii="仿宋" w:hAnsi="仿宋" w:eastAsia="仿宋" w:cs="仿宋"/>
          <w:sz w:val="32"/>
          <w:szCs w:val="32"/>
          <w:highlight w:val="none"/>
          <w:lang w:eastAsia="zh-CN"/>
        </w:rPr>
        <w:t>区委政府</w:t>
      </w:r>
      <w:r>
        <w:rPr>
          <w:rFonts w:hint="eastAsia" w:ascii="仿宋" w:hAnsi="仿宋" w:eastAsia="仿宋" w:cs="仿宋"/>
          <w:sz w:val="32"/>
          <w:szCs w:val="32"/>
          <w:highlight w:val="none"/>
        </w:rPr>
        <w:t>“中心工作推动到哪里，统战工作就跟进到哪里”</w:t>
      </w:r>
      <w:r>
        <w:rPr>
          <w:rFonts w:hint="eastAsia" w:ascii="仿宋" w:hAnsi="仿宋" w:eastAsia="仿宋" w:cs="仿宋"/>
          <w:sz w:val="32"/>
          <w:szCs w:val="32"/>
          <w:highlight w:val="none"/>
          <w:lang w:eastAsia="zh-CN"/>
        </w:rPr>
        <w:t>的工作取向</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把</w:t>
      </w:r>
      <w:r>
        <w:rPr>
          <w:rFonts w:hint="eastAsia" w:ascii="仿宋" w:hAnsi="仿宋" w:eastAsia="仿宋" w:cs="仿宋"/>
          <w:sz w:val="32"/>
          <w:szCs w:val="32"/>
          <w:highlight w:val="none"/>
        </w:rPr>
        <w:t>围绕中心、服务大局</w:t>
      </w:r>
      <w:r>
        <w:rPr>
          <w:rFonts w:hint="eastAsia" w:ascii="仿宋" w:hAnsi="仿宋" w:eastAsia="仿宋" w:cs="仿宋"/>
          <w:sz w:val="32"/>
          <w:szCs w:val="32"/>
          <w:highlight w:val="none"/>
          <w:lang w:eastAsia="zh-CN"/>
        </w:rPr>
        <w:t>作为</w:t>
      </w:r>
      <w:r>
        <w:rPr>
          <w:rFonts w:hint="eastAsia" w:ascii="仿宋" w:hAnsi="仿宋" w:eastAsia="仿宋" w:cs="仿宋"/>
          <w:sz w:val="32"/>
          <w:szCs w:val="32"/>
          <w:highlight w:val="none"/>
        </w:rPr>
        <w:t>统战工作引领方向、体现价值、展现担当的广阔舞台。发挥人才荟萃优势</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引导各民主党派、工商联、无党派代表人士重点围绕乡村振兴开展专题民主监督和社会服务</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发挥汇聚力量作用，</w:t>
      </w:r>
      <w:r>
        <w:rPr>
          <w:rFonts w:hint="eastAsia" w:ascii="仿宋" w:hAnsi="仿宋" w:eastAsia="仿宋" w:cs="仿宋"/>
          <w:sz w:val="32"/>
          <w:szCs w:val="32"/>
          <w:highlight w:val="none"/>
          <w:lang w:eastAsia="zh-CN"/>
        </w:rPr>
        <w:t>引导</w:t>
      </w:r>
      <w:r>
        <w:rPr>
          <w:rFonts w:hint="eastAsia" w:ascii="仿宋" w:hAnsi="仿宋" w:eastAsia="仿宋" w:cs="仿宋"/>
          <w:sz w:val="32"/>
          <w:szCs w:val="32"/>
          <w:highlight w:val="none"/>
        </w:rPr>
        <w:t>各民主党派围绕区委、区政府的中心工作积极发挥参政议政、建言献策作用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助力全区经济发展</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发挥统战品牌效应，支持统战成员深化服务民生、科技惠民、医疗下乡等特色工作。</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highlight w:val="none"/>
          <w:lang w:val="en-US"/>
        </w:rPr>
      </w:pPr>
      <w:r>
        <w:rPr>
          <w:rFonts w:hint="eastAsia" w:ascii="仿宋" w:hAnsi="仿宋" w:eastAsia="仿宋" w:cs="仿宋"/>
          <w:sz w:val="32"/>
          <w:szCs w:val="32"/>
          <w:highlight w:val="none"/>
          <w:lang w:val="en-US" w:eastAsia="zh-CN"/>
        </w:rPr>
        <w:t>　　3.</w:t>
      </w:r>
      <w:r>
        <w:rPr>
          <w:rFonts w:hint="eastAsia" w:ascii="仿宋" w:hAnsi="仿宋" w:eastAsia="仿宋" w:cs="仿宋"/>
          <w:sz w:val="32"/>
          <w:szCs w:val="32"/>
          <w:highlight w:val="none"/>
          <w:lang w:eastAsia="zh-CN"/>
        </w:rPr>
        <w:t>加强党的领导。一是</w:t>
      </w:r>
      <w:r>
        <w:rPr>
          <w:rFonts w:hint="eastAsia" w:ascii="仿宋" w:hAnsi="仿宋" w:eastAsia="仿宋" w:cs="仿宋"/>
          <w:sz w:val="32"/>
          <w:szCs w:val="32"/>
          <w:highlight w:val="none"/>
          <w:lang w:val="en-US" w:eastAsia="zh-CN"/>
        </w:rPr>
        <w:t>坚持把贯彻落实《</w:t>
      </w:r>
      <w:r>
        <w:rPr>
          <w:rFonts w:hint="eastAsia" w:ascii="仿宋" w:hAnsi="仿宋" w:eastAsia="仿宋" w:cs="仿宋"/>
          <w:sz w:val="32"/>
          <w:szCs w:val="32"/>
          <w:highlight w:val="none"/>
          <w:lang w:eastAsia="zh-CN"/>
        </w:rPr>
        <w:t>中国共产党统一战</w:t>
      </w:r>
      <w:r>
        <w:rPr>
          <w:rFonts w:hint="eastAsia" w:ascii="仿宋" w:hAnsi="仿宋" w:eastAsia="仿宋" w:cs="仿宋"/>
          <w:color w:val="auto"/>
          <w:sz w:val="32"/>
          <w:szCs w:val="32"/>
          <w:lang w:eastAsia="zh-CN"/>
        </w:rPr>
        <w:t>线工作条例</w:t>
      </w:r>
      <w:r>
        <w:rPr>
          <w:rFonts w:hint="eastAsia" w:ascii="仿宋" w:hAnsi="仿宋" w:eastAsia="仿宋" w:cs="仿宋"/>
          <w:color w:val="auto"/>
          <w:sz w:val="32"/>
          <w:szCs w:val="32"/>
          <w:lang w:val="en-US" w:eastAsia="zh-CN"/>
        </w:rPr>
        <w:t>》作为基本遵循，加强党对统一战线工作的集中统一领导，坚持大统战工作思维，坚持运用守正创新的统一战线思想方法和工作方法，统筹构建党委统一领导、统战部门牵头协调、有关方面各负</w:t>
      </w:r>
      <w:r>
        <w:rPr>
          <w:rFonts w:hint="eastAsia" w:ascii="仿宋" w:hAnsi="仿宋" w:eastAsia="仿宋" w:cs="仿宋"/>
          <w:sz w:val="32"/>
          <w:szCs w:val="32"/>
          <w:highlight w:val="none"/>
          <w:lang w:val="en-US" w:eastAsia="zh-CN"/>
        </w:rPr>
        <w:t>其责的大统战工作格局，形成新时代统一战线工作合力。二</w:t>
      </w:r>
      <w:r>
        <w:rPr>
          <w:rFonts w:hint="eastAsia" w:ascii="仿宋" w:hAnsi="仿宋" w:eastAsia="仿宋" w:cs="仿宋"/>
          <w:sz w:val="32"/>
          <w:szCs w:val="32"/>
          <w:highlight w:val="none"/>
          <w:lang w:eastAsia="zh-CN"/>
        </w:rPr>
        <w:t>是巩固“不忘合作初心，继续携手前进”主题教育活动成果，进一步加强民主党派队伍建设。三是</w:t>
      </w:r>
      <w:r>
        <w:rPr>
          <w:rFonts w:hint="eastAsia" w:ascii="仿宋" w:hAnsi="仿宋" w:eastAsia="仿宋" w:cs="仿宋"/>
          <w:sz w:val="32"/>
          <w:szCs w:val="32"/>
          <w:highlight w:val="none"/>
        </w:rPr>
        <w:t>以铸牢中华民族共同体意识为主线部署推进新时代党的民族工作</w:t>
      </w:r>
      <w:r>
        <w:rPr>
          <w:rFonts w:hint="eastAsia" w:ascii="仿宋" w:hAnsi="仿宋" w:eastAsia="仿宋" w:cs="仿宋"/>
          <w:sz w:val="32"/>
          <w:szCs w:val="32"/>
          <w:highlight w:val="none"/>
          <w:lang w:eastAsia="zh-CN"/>
        </w:rPr>
        <w:t>，进一步强化民族团结创建，加强民族项目资金对上争取，依法妥善化解民族矛盾纠纷；</w:t>
      </w:r>
      <w:r>
        <w:rPr>
          <w:rFonts w:hint="eastAsia" w:ascii="仿宋" w:hAnsi="仿宋" w:eastAsia="仿宋" w:cs="仿宋"/>
          <w:sz w:val="32"/>
          <w:szCs w:val="32"/>
          <w:highlight w:val="none"/>
        </w:rPr>
        <w:t>以贯彻落实新修订的《</w:t>
      </w:r>
      <w:r>
        <w:rPr>
          <w:rFonts w:hint="eastAsia" w:ascii="仿宋" w:hAnsi="仿宋" w:eastAsia="仿宋" w:cs="仿宋"/>
          <w:sz w:val="32"/>
          <w:szCs w:val="32"/>
          <w:highlight w:val="none"/>
          <w:lang w:eastAsia="zh-CN"/>
        </w:rPr>
        <w:t>四川省</w:t>
      </w:r>
      <w:r>
        <w:rPr>
          <w:rFonts w:hint="eastAsia" w:ascii="仿宋" w:hAnsi="仿宋" w:eastAsia="仿宋" w:cs="仿宋"/>
          <w:sz w:val="32"/>
          <w:szCs w:val="32"/>
          <w:highlight w:val="none"/>
        </w:rPr>
        <w:t>宗教事务条例》为重点，</w:t>
      </w:r>
      <w:r>
        <w:rPr>
          <w:rFonts w:hint="eastAsia" w:ascii="仿宋" w:hAnsi="仿宋" w:eastAsia="仿宋" w:cs="仿宋"/>
          <w:sz w:val="32"/>
          <w:szCs w:val="32"/>
          <w:highlight w:val="none"/>
          <w:lang w:eastAsia="zh-CN"/>
        </w:rPr>
        <w:t>依法管理宗教事务，扎实做好宗教场所疫情防控，安全，消防等管理，建立健全区、镇、村三级宗教网络，严厉打击非法宗教活动，巩固农村民间小庙治理成果。四是抓好民营经济统战工作，加强思想引领，优化营商环境，当好联系服务民营企业的桥梁和纽带；五是加强对港澳台侨属关心支持，积极宣传我区经济和社会建设取得的良好成就，擦亮郭沫若故居纪念馆“中国华侨国际文化交流基地”招牌。六是强化统战干部队伍建设，发挥大统战优势，激发干事创业激情，不断提升统战干部能力。加强统战部自身建设，</w:t>
      </w:r>
      <w:r>
        <w:rPr>
          <w:rFonts w:hint="eastAsia" w:ascii="仿宋" w:hAnsi="仿宋" w:eastAsia="仿宋" w:cs="仿宋"/>
          <w:sz w:val="32"/>
          <w:szCs w:val="32"/>
          <w:highlight w:val="none"/>
        </w:rPr>
        <w:t>落实全面从严治党和党风廉政建设责任制，把自身建设一抓到底，抓出成效。</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（四）部门整体支出绩效目标。</w:t>
      </w:r>
    </w:p>
    <w:p>
      <w:pPr>
        <w:pStyle w:val="21"/>
        <w:keepNext w:val="0"/>
        <w:keepLines w:val="0"/>
        <w:pageBreakBefore w:val="0"/>
        <w:kinsoku/>
        <w:wordWrap/>
        <w:overflowPunct/>
        <w:topLinePunct w:val="0"/>
        <w:autoSpaceDE/>
        <w:autoSpaceDN/>
        <w:bidi w:val="0"/>
        <w:spacing w:line="560" w:lineRule="exact"/>
        <w:ind w:left="0" w:leftChars="0" w:firstLine="640" w:firstLineChars="0"/>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支持区内7个民主党派开展自身建设，积极参政议政。保障各民主党派正常开展活动</w:t>
      </w:r>
      <w:r>
        <w:rPr>
          <w:rFonts w:hint="eastAsia" w:ascii="仿宋" w:hAnsi="仿宋" w:eastAsia="仿宋" w:cs="仿宋"/>
          <w:kern w:val="2"/>
          <w:sz w:val="32"/>
          <w:szCs w:val="32"/>
          <w:lang w:val="en-US" w:eastAsia="zh-CN" w:bidi="ar-SA"/>
        </w:rPr>
        <w:t>,促进统一战线工作</w:t>
      </w:r>
      <w:r>
        <w:rPr>
          <w:rFonts w:hint="eastAsia" w:ascii="仿宋" w:hAnsi="仿宋" w:eastAsia="仿宋" w:cs="仿宋"/>
          <w:kern w:val="2"/>
          <w:sz w:val="32"/>
          <w:szCs w:val="32"/>
          <w:lang w:val="zh-CN" w:eastAsia="zh-CN" w:bidi="ar-SA"/>
        </w:rPr>
        <w:t>。深入宣传民族政策，筑牢中华民族共同体思想基础。积极协调解决少数民族群众矛盾纠纷，帮助困难少数民族群众解决生产生活问题。促进民族和谐。抓好侨情信息收集，做好对外联络接待，协调沟通归侨、侨眷和海外侨胞，组织开展各类联谊活动，指导和扶持归侨来我区兴办公益事务，举办企业。促进知联会、新联会正常开展工作，发挥积极作用，围绕区委区政府的中心工作建言献策，为经济社会发展作贡献。培养输送优秀党外代表人士。强化宗教管理服务，依法治理天主教、基督教领域非法活动，抵御境外势力利用宗教进行渗透。积极引导宗教与社会主义相适应，持续开展爱国爱教主题教育活动，加强对《四川省宗教事务条例》的学习宣传。维护机关正常运转。</w:t>
      </w:r>
      <w:r>
        <w:rPr>
          <w:rFonts w:hint="eastAsia" w:ascii="仿宋" w:hAnsi="仿宋" w:eastAsia="仿宋" w:cs="仿宋"/>
          <w:kern w:val="2"/>
          <w:sz w:val="32"/>
          <w:szCs w:val="32"/>
          <w:lang w:val="zh-CN" w:eastAsia="zh-CN" w:bidi="ar-SA"/>
        </w:rPr>
        <w:tab/>
      </w:r>
      <w:r>
        <w:rPr>
          <w:rFonts w:hint="eastAsia" w:ascii="仿宋" w:hAnsi="仿宋" w:eastAsia="仿宋" w:cs="仿宋"/>
          <w:kern w:val="2"/>
          <w:sz w:val="32"/>
          <w:szCs w:val="32"/>
          <w:lang w:val="zh-CN" w:eastAsia="zh-CN" w:bidi="ar-SA"/>
        </w:rPr>
        <w:tab/>
      </w:r>
      <w:r>
        <w:rPr>
          <w:rFonts w:hint="eastAsia" w:ascii="仿宋" w:hAnsi="仿宋" w:eastAsia="仿宋" w:cs="仿宋"/>
          <w:kern w:val="2"/>
          <w:sz w:val="32"/>
          <w:szCs w:val="32"/>
          <w:lang w:val="zh-CN" w:eastAsia="zh-CN" w:bidi="ar-SA"/>
        </w:rPr>
        <w:tab/>
      </w:r>
    </w:p>
    <w:p>
      <w:pPr>
        <w:pStyle w:val="21"/>
        <w:keepNext w:val="0"/>
        <w:keepLines w:val="0"/>
        <w:pageBreakBefore w:val="0"/>
        <w:kinsoku/>
        <w:wordWrap/>
        <w:overflowPunct/>
        <w:topLinePunct w:val="0"/>
        <w:autoSpaceDE/>
        <w:autoSpaceDN/>
        <w:bidi w:val="0"/>
        <w:spacing w:line="560" w:lineRule="exact"/>
        <w:ind w:left="0" w:leftChars="0" w:firstLine="640" w:firstLineChars="0"/>
        <w:textAlignment w:val="auto"/>
        <w:rPr>
          <w:rFonts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二、部门财政资金收支情况</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highlight w:val="none"/>
        </w:rPr>
      </w:pPr>
      <w:r>
        <w:rPr>
          <w:rFonts w:hint="eastAsia" w:ascii="楷体_GB2312" w:hAnsi="宋体" w:eastAsia="楷体_GB2312" w:cs="宋体"/>
          <w:color w:val="000000"/>
          <w:kern w:val="0"/>
          <w:szCs w:val="32"/>
          <w:shd w:val="clear" w:color="auto" w:fill="FFFFFF"/>
          <w:lang w:val="zh-CN"/>
        </w:rPr>
        <w:t>　</w:t>
      </w:r>
      <w:r>
        <w:rPr>
          <w:rFonts w:hint="eastAsia" w:ascii="仿宋" w:hAnsi="仿宋" w:eastAsia="仿宋" w:cs="仿宋"/>
          <w:color w:val="000000"/>
          <w:kern w:val="0"/>
          <w:sz w:val="32"/>
          <w:szCs w:val="32"/>
          <w:shd w:val="clear" w:color="auto" w:fill="FFFFFF"/>
          <w:lang w:val="zh-CN"/>
        </w:rPr>
        <w:t>　（一）部门财政资金收入情况。</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年实现收入</w:t>
      </w:r>
      <w:r>
        <w:rPr>
          <w:rFonts w:hint="eastAsia" w:ascii="仿宋" w:hAnsi="仿宋" w:eastAsia="仿宋" w:cs="仿宋"/>
          <w:sz w:val="32"/>
          <w:szCs w:val="32"/>
          <w:highlight w:val="none"/>
          <w:lang w:val="en-US" w:eastAsia="zh-CN"/>
        </w:rPr>
        <w:t>234.54</w:t>
      </w:r>
      <w:r>
        <w:rPr>
          <w:rFonts w:hint="eastAsia" w:ascii="仿宋" w:hAnsi="仿宋" w:eastAsia="仿宋" w:cs="仿宋"/>
          <w:sz w:val="32"/>
          <w:szCs w:val="32"/>
          <w:highlight w:val="none"/>
        </w:rPr>
        <w:t>万元，其中一般预算财政拨款收入</w:t>
      </w:r>
      <w:r>
        <w:rPr>
          <w:rFonts w:hint="eastAsia" w:ascii="仿宋" w:hAnsi="仿宋" w:eastAsia="仿宋" w:cs="仿宋"/>
          <w:sz w:val="32"/>
          <w:szCs w:val="32"/>
          <w:highlight w:val="none"/>
          <w:lang w:val="en-US" w:eastAsia="zh-CN"/>
        </w:rPr>
        <w:t>234.54</w:t>
      </w:r>
      <w:r>
        <w:rPr>
          <w:rFonts w:hint="eastAsia" w:ascii="仿宋" w:hAnsi="仿宋" w:eastAsia="仿宋" w:cs="仿宋"/>
          <w:sz w:val="32"/>
          <w:szCs w:val="32"/>
          <w:highlight w:val="none"/>
        </w:rPr>
        <w:t>万元，其他收入0万元。</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contextualSpacing/>
        <w:jc w:val="left"/>
        <w:textAlignment w:val="auto"/>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en-US" w:eastAsia="zh-CN"/>
        </w:rPr>
        <w:t>　　(二）</w:t>
      </w:r>
      <w:r>
        <w:rPr>
          <w:rFonts w:hint="eastAsia" w:ascii="仿宋" w:hAnsi="仿宋" w:eastAsia="仿宋" w:cs="仿宋"/>
          <w:color w:val="000000"/>
          <w:kern w:val="0"/>
          <w:sz w:val="32"/>
          <w:szCs w:val="32"/>
          <w:shd w:val="clear" w:color="auto" w:fill="FFFFFF"/>
          <w:lang w:val="zh-CN"/>
        </w:rPr>
        <w:t>部门财政资金支出情况。</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highlight w:val="none"/>
          <w:lang w:val="zh-CN"/>
        </w:rPr>
      </w:pPr>
      <w:r>
        <w:rPr>
          <w:rFonts w:hint="eastAsia" w:ascii="仿宋" w:hAnsi="仿宋" w:eastAsia="仿宋" w:cs="仿宋"/>
          <w:sz w:val="32"/>
          <w:szCs w:val="32"/>
          <w:highlight w:val="none"/>
          <w:lang w:eastAsia="zh-CN"/>
        </w:rPr>
        <w:t>　　</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年实现支出</w:t>
      </w:r>
      <w:r>
        <w:rPr>
          <w:rFonts w:hint="eastAsia" w:ascii="仿宋" w:hAnsi="仿宋" w:eastAsia="仿宋" w:cs="仿宋"/>
          <w:sz w:val="32"/>
          <w:szCs w:val="32"/>
          <w:highlight w:val="none"/>
          <w:lang w:val="en-US" w:eastAsia="zh-CN"/>
        </w:rPr>
        <w:t>255.07</w:t>
      </w:r>
      <w:r>
        <w:rPr>
          <w:rFonts w:hint="eastAsia" w:ascii="仿宋" w:hAnsi="仿宋" w:eastAsia="仿宋" w:cs="仿宋"/>
          <w:sz w:val="32"/>
          <w:szCs w:val="32"/>
          <w:highlight w:val="none"/>
        </w:rPr>
        <w:t>万元（其中一般公共财政拔款支出</w:t>
      </w:r>
      <w:r>
        <w:rPr>
          <w:rFonts w:hint="eastAsia" w:ascii="仿宋" w:hAnsi="仿宋" w:eastAsia="仿宋" w:cs="仿宋"/>
          <w:sz w:val="32"/>
          <w:szCs w:val="32"/>
          <w:highlight w:val="none"/>
          <w:lang w:val="en-US" w:eastAsia="zh-CN"/>
        </w:rPr>
        <w:t>255.07</w:t>
      </w:r>
      <w:r>
        <w:rPr>
          <w:rFonts w:hint="eastAsia" w:ascii="仿宋" w:hAnsi="仿宋" w:eastAsia="仿宋" w:cs="仿宋"/>
          <w:sz w:val="32"/>
          <w:szCs w:val="32"/>
          <w:highlight w:val="none"/>
        </w:rPr>
        <w:t>万元，基金预算拨款支出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万元），含基本支出</w:t>
      </w:r>
      <w:r>
        <w:rPr>
          <w:rFonts w:hint="eastAsia" w:ascii="仿宋" w:hAnsi="仿宋" w:eastAsia="仿宋" w:cs="仿宋"/>
          <w:sz w:val="32"/>
          <w:szCs w:val="32"/>
          <w:highlight w:val="none"/>
          <w:lang w:val="en-US" w:eastAsia="zh-CN"/>
        </w:rPr>
        <w:t>198.49</w:t>
      </w:r>
      <w:r>
        <w:rPr>
          <w:rFonts w:hint="eastAsia" w:ascii="仿宋" w:hAnsi="仿宋" w:eastAsia="仿宋" w:cs="仿宋"/>
          <w:sz w:val="32"/>
          <w:szCs w:val="32"/>
          <w:highlight w:val="none"/>
        </w:rPr>
        <w:t>万元，项目支出</w:t>
      </w:r>
      <w:r>
        <w:rPr>
          <w:rFonts w:hint="eastAsia" w:ascii="仿宋" w:hAnsi="仿宋" w:eastAsia="仿宋" w:cs="仿宋"/>
          <w:sz w:val="32"/>
          <w:szCs w:val="32"/>
          <w:highlight w:val="none"/>
          <w:lang w:val="en-US" w:eastAsia="zh-CN"/>
        </w:rPr>
        <w:t>56.58</w:t>
      </w:r>
      <w:r>
        <w:rPr>
          <w:rFonts w:hint="eastAsia" w:ascii="仿宋" w:hAnsi="仿宋" w:eastAsia="仿宋" w:cs="仿宋"/>
          <w:sz w:val="32"/>
          <w:szCs w:val="32"/>
          <w:highlight w:val="none"/>
        </w:rPr>
        <w:t>万元。其中：一般公共服务支出</w:t>
      </w:r>
      <w:r>
        <w:rPr>
          <w:rFonts w:hint="eastAsia" w:ascii="仿宋" w:hAnsi="仿宋" w:eastAsia="仿宋" w:cs="仿宋"/>
          <w:sz w:val="32"/>
          <w:szCs w:val="32"/>
          <w:highlight w:val="none"/>
          <w:lang w:val="en-US" w:eastAsia="zh-CN"/>
        </w:rPr>
        <w:t>200.45</w:t>
      </w:r>
      <w:r>
        <w:rPr>
          <w:rFonts w:hint="eastAsia" w:ascii="仿宋" w:hAnsi="仿宋" w:eastAsia="仿宋" w:cs="仿宋"/>
          <w:sz w:val="32"/>
          <w:szCs w:val="32"/>
          <w:highlight w:val="none"/>
        </w:rPr>
        <w:t>万元，占总支出的</w:t>
      </w:r>
      <w:r>
        <w:rPr>
          <w:rFonts w:hint="eastAsia" w:ascii="仿宋" w:hAnsi="仿宋" w:eastAsia="仿宋" w:cs="仿宋"/>
          <w:sz w:val="32"/>
          <w:szCs w:val="32"/>
          <w:highlight w:val="none"/>
          <w:lang w:val="en-US" w:eastAsia="zh-CN"/>
        </w:rPr>
        <w:t>78.59</w:t>
      </w:r>
      <w:r>
        <w:rPr>
          <w:rFonts w:hint="eastAsia" w:ascii="仿宋" w:hAnsi="仿宋" w:eastAsia="仿宋" w:cs="仿宋"/>
          <w:sz w:val="32"/>
          <w:szCs w:val="32"/>
          <w:highlight w:val="none"/>
        </w:rPr>
        <w:t>%；社会保障和就业支出</w:t>
      </w:r>
      <w:r>
        <w:rPr>
          <w:rFonts w:hint="eastAsia" w:ascii="仿宋" w:hAnsi="仿宋" w:eastAsia="仿宋" w:cs="仿宋"/>
          <w:sz w:val="32"/>
          <w:szCs w:val="32"/>
          <w:highlight w:val="none"/>
          <w:lang w:val="en-US" w:eastAsia="zh-CN"/>
        </w:rPr>
        <w:t>38.58</w:t>
      </w:r>
      <w:r>
        <w:rPr>
          <w:rFonts w:hint="eastAsia" w:ascii="仿宋" w:hAnsi="仿宋" w:eastAsia="仿宋" w:cs="仿宋"/>
          <w:sz w:val="32"/>
          <w:szCs w:val="32"/>
          <w:highlight w:val="none"/>
        </w:rPr>
        <w:t>万元，占总支出的</w:t>
      </w:r>
      <w:r>
        <w:rPr>
          <w:rFonts w:hint="eastAsia" w:ascii="仿宋" w:hAnsi="仿宋" w:eastAsia="仿宋" w:cs="仿宋"/>
          <w:sz w:val="32"/>
          <w:szCs w:val="32"/>
          <w:highlight w:val="none"/>
          <w:lang w:val="en-US" w:eastAsia="zh-CN"/>
        </w:rPr>
        <w:t>15.13</w:t>
      </w:r>
      <w:r>
        <w:rPr>
          <w:rFonts w:hint="eastAsia" w:ascii="仿宋" w:hAnsi="仿宋" w:eastAsia="仿宋" w:cs="仿宋"/>
          <w:sz w:val="32"/>
          <w:szCs w:val="32"/>
          <w:highlight w:val="none"/>
        </w:rPr>
        <w:t>%；卫生</w:t>
      </w:r>
      <w:r>
        <w:rPr>
          <w:rFonts w:hint="eastAsia" w:ascii="仿宋" w:hAnsi="仿宋" w:eastAsia="仿宋" w:cs="仿宋"/>
          <w:sz w:val="32"/>
          <w:szCs w:val="32"/>
          <w:highlight w:val="none"/>
          <w:lang w:eastAsia="zh-CN"/>
        </w:rPr>
        <w:t>健康</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val="en-US" w:eastAsia="zh-CN"/>
        </w:rPr>
        <w:t>3.7</w:t>
      </w:r>
      <w:r>
        <w:rPr>
          <w:rFonts w:hint="eastAsia" w:ascii="仿宋" w:hAnsi="仿宋" w:eastAsia="仿宋" w:cs="仿宋"/>
          <w:sz w:val="32"/>
          <w:szCs w:val="32"/>
          <w:highlight w:val="none"/>
        </w:rPr>
        <w:t>万元，占总支出的</w:t>
      </w:r>
      <w:r>
        <w:rPr>
          <w:rFonts w:hint="eastAsia" w:ascii="仿宋" w:hAnsi="仿宋" w:eastAsia="仿宋" w:cs="仿宋"/>
          <w:sz w:val="32"/>
          <w:szCs w:val="32"/>
          <w:highlight w:val="none"/>
          <w:lang w:val="en-US" w:eastAsia="zh-CN"/>
        </w:rPr>
        <w:t>1.45</w:t>
      </w:r>
      <w:r>
        <w:rPr>
          <w:rFonts w:hint="eastAsia" w:ascii="仿宋" w:hAnsi="仿宋" w:eastAsia="仿宋" w:cs="仿宋"/>
          <w:sz w:val="32"/>
          <w:szCs w:val="32"/>
          <w:highlight w:val="none"/>
        </w:rPr>
        <w:t>%;住房保障支出</w:t>
      </w:r>
      <w:r>
        <w:rPr>
          <w:rFonts w:hint="eastAsia" w:ascii="仿宋" w:hAnsi="仿宋" w:eastAsia="仿宋" w:cs="仿宋"/>
          <w:sz w:val="32"/>
          <w:szCs w:val="32"/>
          <w:highlight w:val="none"/>
          <w:lang w:val="en-US" w:eastAsia="zh-CN"/>
        </w:rPr>
        <w:t>12.34</w:t>
      </w:r>
      <w:r>
        <w:rPr>
          <w:rFonts w:hint="eastAsia" w:ascii="仿宋" w:hAnsi="仿宋" w:eastAsia="仿宋" w:cs="仿宋"/>
          <w:sz w:val="32"/>
          <w:szCs w:val="32"/>
          <w:highlight w:val="none"/>
        </w:rPr>
        <w:t>万元，占总支出的</w:t>
      </w:r>
      <w:r>
        <w:rPr>
          <w:rFonts w:hint="eastAsia" w:ascii="仿宋" w:hAnsi="仿宋" w:eastAsia="仿宋" w:cs="仿宋"/>
          <w:sz w:val="32"/>
          <w:szCs w:val="32"/>
          <w:highlight w:val="none"/>
          <w:lang w:val="en-US" w:eastAsia="zh-CN"/>
        </w:rPr>
        <w:t>4.83</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contextualSpacing/>
        <w:jc w:val="left"/>
        <w:textAlignment w:val="auto"/>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（三）部门财政资金结转结余情况。</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2022年年初结转结余资金20.53万元。</w:t>
      </w:r>
    </w:p>
    <w:p>
      <w:pPr>
        <w:keepNext w:val="0"/>
        <w:keepLines w:val="0"/>
        <w:pageBreakBefore w:val="0"/>
        <w:widowControl/>
        <w:numPr>
          <w:ilvl w:val="0"/>
          <w:numId w:val="9"/>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部门整体绩效管理情况</w:t>
      </w:r>
    </w:p>
    <w:p>
      <w:pPr>
        <w:keepNext w:val="0"/>
        <w:keepLines w:val="0"/>
        <w:pageBreakBefore w:val="0"/>
        <w:widowControl/>
        <w:kinsoku/>
        <w:wordWrap/>
        <w:overflowPunct/>
        <w:topLinePunct w:val="0"/>
        <w:autoSpaceDE/>
        <w:autoSpaceDN/>
        <w:bidi w:val="0"/>
        <w:adjustRightInd w:val="0"/>
        <w:snapToGrid w:val="0"/>
        <w:spacing w:line="560" w:lineRule="exact"/>
        <w:contextualSpacing/>
        <w:jc w:val="left"/>
        <w:textAlignment w:val="auto"/>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　（一）部门整体履职绩效分析。</w:t>
      </w:r>
    </w:p>
    <w:p>
      <w:pPr>
        <w:widowControl/>
        <w:adjustRightInd w:val="0"/>
        <w:snapToGrid w:val="0"/>
        <w:spacing w:line="560" w:lineRule="exact"/>
        <w:ind w:firstLine="640" w:firstLineChars="200"/>
        <w:jc w:val="left"/>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kern w:val="0"/>
          <w:sz w:val="32"/>
          <w:szCs w:val="32"/>
          <w:highlight w:val="none"/>
          <w:shd w:val="clear" w:color="auto" w:fill="FFFFFF"/>
          <w:lang w:val="en-US" w:eastAsia="zh-CN"/>
        </w:rPr>
        <w:t>2022年，我部按照统筹兼顾、厉行节约、讲求绩效、收支平衡的原则科学合理编制本部门预算，全年支出基本做到了按预算执行，既保障了干部职工工资及对个人和家庭补助支出，日常公用经费等刚性支出，又围绕中心、服务大局，保障了各项工作正常开展，圆满完成了全年各项目标任务。2022年我部部门整体绩效自评分数95分。具体绩效目标完成情况如下：</w:t>
      </w:r>
    </w:p>
    <w:p>
      <w:pPr>
        <w:widowControl/>
        <w:adjustRightInd w:val="0"/>
        <w:snapToGrid w:val="0"/>
        <w:spacing w:line="560" w:lineRule="exact"/>
        <w:ind w:firstLine="640" w:firstLineChars="200"/>
        <w:jc w:val="left"/>
        <w:rPr>
          <w:rFonts w:hint="eastAsia" w:ascii="仿宋" w:hAnsi="仿宋" w:eastAsia="仿宋" w:cs="仿宋"/>
          <w:color w:val="000000"/>
          <w:kern w:val="0"/>
          <w:sz w:val="32"/>
          <w:szCs w:val="32"/>
          <w:highlight w:val="none"/>
          <w:shd w:val="clear" w:color="auto" w:fill="FFFFFF"/>
          <w:lang w:val="zh-CN" w:eastAsia="zh-CN"/>
        </w:rPr>
      </w:pPr>
      <w:r>
        <w:rPr>
          <w:rFonts w:hint="eastAsia" w:ascii="仿宋" w:hAnsi="仿宋" w:eastAsia="仿宋" w:cs="仿宋"/>
          <w:color w:val="000000"/>
          <w:kern w:val="0"/>
          <w:sz w:val="32"/>
          <w:szCs w:val="32"/>
          <w:highlight w:val="none"/>
          <w:shd w:val="clear" w:color="auto" w:fill="FFFFFF"/>
          <w:lang w:val="zh-CN" w:eastAsia="zh-CN"/>
        </w:rPr>
        <w:t>在预算编制的过程中，严格按照区级部门预算编制要求，按时完成基础库及项目库报送，按时完成预算编制并提交部门预算草案；预算编制准确、预算执行适时调整，部门预算草案经过区人大审查批复。预算执行进度均达到量化指标。部机关严格落实中央八项规定以及厉行节约反对浪费各项要求，</w:t>
      </w:r>
      <w:r>
        <w:rPr>
          <w:rFonts w:hint="eastAsia" w:ascii="仿宋" w:hAnsi="仿宋" w:eastAsia="仿宋" w:cs="仿宋"/>
          <w:color w:val="000000"/>
          <w:kern w:val="0"/>
          <w:sz w:val="32"/>
          <w:szCs w:val="32"/>
          <w:highlight w:val="none"/>
          <w:shd w:val="clear" w:color="auto" w:fill="FFFFFF"/>
          <w:lang w:val="en-US" w:eastAsia="zh-CN"/>
        </w:rPr>
        <w:t>有效控制部门公用经费及非定额公用经费</w:t>
      </w:r>
      <w:r>
        <w:rPr>
          <w:rFonts w:hint="eastAsia" w:ascii="仿宋" w:hAnsi="仿宋" w:eastAsia="仿宋" w:cs="仿宋"/>
          <w:color w:val="000000"/>
          <w:kern w:val="0"/>
          <w:sz w:val="32"/>
          <w:szCs w:val="32"/>
          <w:highlight w:val="none"/>
          <w:shd w:val="clear" w:color="auto" w:fill="FFFFFF"/>
          <w:lang w:val="zh-CN" w:eastAsia="zh-CN"/>
        </w:rPr>
        <w:t>。</w:t>
      </w:r>
      <w:r>
        <w:rPr>
          <w:rFonts w:hint="eastAsia" w:ascii="仿宋" w:hAnsi="仿宋" w:eastAsia="仿宋" w:cs="仿宋"/>
          <w:color w:val="000000"/>
          <w:kern w:val="0"/>
          <w:sz w:val="32"/>
          <w:szCs w:val="32"/>
          <w:highlight w:val="none"/>
          <w:shd w:val="clear" w:color="auto" w:fill="FFFFFF"/>
          <w:lang w:val="en-US" w:eastAsia="zh-CN"/>
        </w:rPr>
        <w:t>开展部门内部绩效目标审核工作，部门绩效目标科学合理、规范完整、细化量化并与预算安排相匹配。部门整体支出绩效目标实现程度与预期目标匹配。评价部门预算项目绩效目标实际实现程度与预期目标匹配。</w:t>
      </w:r>
      <w:r>
        <w:rPr>
          <w:rFonts w:hint="eastAsia" w:ascii="仿宋" w:hAnsi="仿宋" w:eastAsia="仿宋" w:cs="仿宋"/>
          <w:color w:val="000000"/>
          <w:kern w:val="0"/>
          <w:sz w:val="32"/>
          <w:szCs w:val="32"/>
          <w:highlight w:val="none"/>
          <w:shd w:val="clear" w:color="auto" w:fill="FFFFFF"/>
          <w:lang w:val="zh-CN" w:eastAsia="zh-CN"/>
        </w:rPr>
        <w:t>按要求及时将部门整体绩效自评情况向社会公开。内部制度健全完整并执行良好，在本年度内没有因内控制度不健全或执行不到位，造成单位出现廉政风险或发生重大责任事故。按区财政局要求及时向社会公开本部门预算和决算信息。对相关工作进行了自查自纠，按时报送自查自纠报告和表册；在检查时未发现违纪违规问题。</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（二）特定目标类项目绩效分析。</w:t>
      </w:r>
    </w:p>
    <w:p>
      <w:pPr>
        <w:widowControl/>
        <w:adjustRightInd w:val="0"/>
        <w:snapToGrid w:val="0"/>
        <w:spacing w:line="560" w:lineRule="exact"/>
        <w:ind w:firstLine="640" w:firstLineChars="200"/>
        <w:jc w:val="left"/>
        <w:rPr>
          <w:rFonts w:hint="eastAsia" w:ascii="仿宋" w:hAnsi="仿宋" w:eastAsia="仿宋" w:cs="仿宋"/>
          <w:color w:val="000000"/>
          <w:kern w:val="0"/>
          <w:sz w:val="32"/>
          <w:szCs w:val="32"/>
          <w:highlight w:val="none"/>
          <w:shd w:val="clear" w:color="auto" w:fill="FFFFFF"/>
          <w:lang w:val="zh-CN" w:eastAsia="zh-CN"/>
        </w:rPr>
      </w:pPr>
      <w:r>
        <w:rPr>
          <w:rFonts w:hint="eastAsia" w:ascii="仿宋" w:hAnsi="仿宋" w:eastAsia="仿宋" w:cs="仿宋"/>
          <w:color w:val="000000"/>
          <w:kern w:val="0"/>
          <w:sz w:val="32"/>
          <w:szCs w:val="32"/>
          <w:highlight w:val="none"/>
          <w:shd w:val="clear" w:color="auto" w:fill="FFFFFF"/>
          <w:lang w:val="zh-CN" w:eastAsia="zh-CN"/>
        </w:rPr>
        <w:t>包括项目绩效目标制定、目标实现、支出控制、及时处置、执行进度、预算完成情况、资金结余率（低效无效率）和违规记录等情况。</w:t>
      </w:r>
    </w:p>
    <w:p>
      <w:pPr>
        <w:widowControl/>
        <w:adjustRightInd w:val="0"/>
        <w:snapToGrid w:val="0"/>
        <w:spacing w:line="560" w:lineRule="exact"/>
        <w:ind w:firstLine="640" w:firstLineChars="200"/>
        <w:jc w:val="left"/>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kern w:val="0"/>
          <w:sz w:val="32"/>
          <w:szCs w:val="32"/>
          <w:highlight w:val="none"/>
          <w:shd w:val="clear" w:color="auto" w:fill="FFFFFF"/>
          <w:lang w:val="en-US" w:eastAsia="zh-CN"/>
        </w:rPr>
        <w:t>1.</w:t>
      </w:r>
      <w:r>
        <w:rPr>
          <w:rFonts w:hint="eastAsia" w:ascii="仿宋" w:hAnsi="仿宋" w:eastAsia="仿宋" w:cs="仿宋"/>
          <w:color w:val="000000"/>
          <w:kern w:val="0"/>
          <w:sz w:val="32"/>
          <w:szCs w:val="32"/>
          <w:highlight w:val="none"/>
          <w:shd w:val="clear" w:color="auto" w:fill="FFFFFF"/>
          <w:lang w:val="zh-CN" w:eastAsia="zh-CN"/>
        </w:rPr>
        <w:t>整体情况：</w:t>
      </w:r>
      <w:r>
        <w:rPr>
          <w:rFonts w:hint="eastAsia" w:ascii="仿宋" w:hAnsi="仿宋" w:eastAsia="仿宋" w:cs="仿宋"/>
          <w:color w:val="000000"/>
          <w:kern w:val="0"/>
          <w:sz w:val="32"/>
          <w:szCs w:val="32"/>
          <w:highlight w:val="none"/>
          <w:shd w:val="clear" w:color="auto" w:fill="FFFFFF"/>
          <w:lang w:val="en-US" w:eastAsia="zh-CN"/>
        </w:rPr>
        <w:t>2022年本部门预算项目8个，分别是民主党派运行费用、民族宗教安全维稳运行经费、购置办公设备经费、侨联运行工作经费、侨务和台湾事务运行经费、民族事业专项资金（太平镇五高山村人畜饮水设施建设项目补助）、2022年春节慰问资金、市级民族发展专项资金。2022年</w:t>
      </w:r>
      <w:r>
        <w:rPr>
          <w:rFonts w:hint="eastAsia" w:ascii="仿宋" w:hAnsi="仿宋" w:eastAsia="仿宋" w:cs="仿宋"/>
          <w:color w:val="000000"/>
          <w:kern w:val="0"/>
          <w:sz w:val="32"/>
          <w:szCs w:val="32"/>
          <w:highlight w:val="none"/>
          <w:shd w:val="clear" w:color="auto" w:fill="FFFFFF"/>
          <w:lang w:val="zh-CN" w:eastAsia="zh-CN"/>
        </w:rPr>
        <w:t>，我部坚持以习近平新时代中国特色社会主义思想为指导，紧紧围绕区委中心工作，全面贯彻落实党中央和省委、市委、区委重大决策部署，坚持稳中求进、守正创新工作基调，党派、民族宗教、台侨等各项工作成效明显，</w:t>
      </w:r>
      <w:r>
        <w:rPr>
          <w:rFonts w:hint="eastAsia" w:ascii="仿宋" w:hAnsi="仿宋" w:eastAsia="仿宋" w:cs="仿宋"/>
          <w:color w:val="000000"/>
          <w:kern w:val="0"/>
          <w:sz w:val="32"/>
          <w:szCs w:val="32"/>
          <w:highlight w:val="none"/>
          <w:shd w:val="clear" w:color="auto" w:fill="FFFFFF"/>
          <w:lang w:val="en-US" w:eastAsia="zh-CN"/>
        </w:rPr>
        <w:t>8个项目均完成预期目标，支出控制在预算内，预算执行率100%。所有项目经审查无违规违纪问题。</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contextualSpacing/>
        <w:jc w:val="left"/>
        <w:textAlignment w:val="auto"/>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　　2.100万以上项目：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无</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（三）结果应用情况。　</w:t>
      </w:r>
    </w:p>
    <w:p>
      <w:pPr>
        <w:keepNext w:val="0"/>
        <w:keepLines w:val="0"/>
        <w:pageBreakBefore w:val="0"/>
        <w:widowControl/>
        <w:shd w:val="clear" w:color="auto" w:fill="FFFFFF"/>
        <w:kinsoku/>
        <w:wordWrap/>
        <w:overflowPunct/>
        <w:topLinePunct w:val="0"/>
        <w:autoSpaceDE/>
        <w:autoSpaceDN/>
        <w:bidi w:val="0"/>
        <w:spacing w:line="560" w:lineRule="exact"/>
        <w:ind w:firstLine="800" w:firstLineChars="250"/>
        <w:jc w:val="lef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通过加强部门预算管理，规范财务行为，保障了我部各项工作任务的顺利完成。 </w:t>
      </w:r>
    </w:p>
    <w:p>
      <w:pPr>
        <w:keepNext w:val="0"/>
        <w:keepLines w:val="0"/>
        <w:pageBreakBefore w:val="0"/>
        <w:widowControl/>
        <w:shd w:val="clear" w:color="auto" w:fill="FFFFFF"/>
        <w:kinsoku/>
        <w:wordWrap/>
        <w:overflowPunct/>
        <w:topLinePunct w:val="0"/>
        <w:autoSpaceDE/>
        <w:autoSpaceDN/>
        <w:bidi w:val="0"/>
        <w:spacing w:line="560" w:lineRule="exact"/>
        <w:ind w:firstLine="160" w:firstLineChars="50"/>
        <w:jc w:val="lef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　 1.部门自评质量。我部高度重视部门整体支出绩效评价，认真开展整体支出自评，自评准确率较高。 </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2.绩效目标公开和评价结果公开情况。我部整体绩效目标和各专项绩效目标都随预算同时进行公开。 </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3.自评结果整改情况。我部将根据绩效管理结果，整改发现问题、不断完善预算管理制度，进一步提高预算执行质量。 </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jc w:val="left"/>
        <w:textAlignment w:val="auto"/>
        <w:rPr>
          <w:rFonts w:hint="eastAsia" w:ascii="仿宋" w:hAnsi="仿宋" w:eastAsia="仿宋" w:cs="仿宋"/>
          <w:kern w:val="2"/>
          <w:sz w:val="32"/>
          <w:szCs w:val="32"/>
          <w:lang w:val="zh-CN" w:eastAsia="zh-CN" w:bidi="ar-SA"/>
        </w:rPr>
      </w:pPr>
      <w:r>
        <w:rPr>
          <w:rFonts w:hint="eastAsia" w:ascii="仿宋" w:hAnsi="仿宋" w:eastAsia="仿宋" w:cs="仿宋"/>
          <w:kern w:val="2"/>
          <w:sz w:val="32"/>
          <w:szCs w:val="32"/>
          <w:lang w:val="zh-CN" w:eastAsia="zh-CN" w:bidi="ar-SA"/>
        </w:rPr>
        <w:t>4.结果应用反馈情况。我部按要求及时向区财政局反馈绩效自评结果以及结果应用情况。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四、评价结论及建议</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color w:val="000000"/>
          <w:kern w:val="0"/>
          <w:sz w:val="32"/>
          <w:szCs w:val="32"/>
          <w:highlight w:val="none"/>
          <w:shd w:val="clear" w:color="auto" w:fill="FFFFFF"/>
          <w:lang w:val="zh-CN"/>
        </w:rPr>
        <w:t>（一）评价结论。</w:t>
      </w:r>
      <w:r>
        <w:rPr>
          <w:rFonts w:hint="eastAsia" w:ascii="仿宋" w:hAnsi="仿宋" w:eastAsia="仿宋" w:cs="仿宋"/>
          <w:sz w:val="32"/>
          <w:szCs w:val="32"/>
          <w:highlight w:val="none"/>
          <w:lang w:val="en-US" w:eastAsia="zh-CN"/>
        </w:rPr>
        <w:t>2022年，我单位较好完成了年度目标任务，通过积极强化管理，加强预算收支管理，不断建立健全内部管理制度，整体支出管理水平得到提升，</w:t>
      </w:r>
      <w:r>
        <w:rPr>
          <w:rFonts w:hint="eastAsia" w:ascii="仿宋" w:hAnsi="仿宋" w:eastAsia="仿宋" w:cs="仿宋"/>
          <w:sz w:val="32"/>
          <w:szCs w:val="32"/>
          <w:highlight w:val="none"/>
        </w:rPr>
        <w:t>基本满足单位在职干部职工正常办公及退休人员活动经费要求；保障了统战</w:t>
      </w:r>
      <w:r>
        <w:rPr>
          <w:rFonts w:hint="eastAsia" w:ascii="仿宋" w:hAnsi="仿宋" w:eastAsia="仿宋" w:cs="仿宋"/>
          <w:sz w:val="32"/>
          <w:szCs w:val="32"/>
          <w:highlight w:val="none"/>
          <w:lang w:eastAsia="zh-CN"/>
        </w:rPr>
        <w:t>各项</w:t>
      </w:r>
      <w:r>
        <w:rPr>
          <w:rFonts w:hint="eastAsia" w:ascii="仿宋" w:hAnsi="仿宋" w:eastAsia="仿宋" w:cs="仿宋"/>
          <w:sz w:val="32"/>
          <w:szCs w:val="32"/>
          <w:highlight w:val="none"/>
        </w:rPr>
        <w:t>工作正常运行，保障了意识形态工作的正常开展。</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color w:val="000000"/>
          <w:kern w:val="0"/>
          <w:sz w:val="32"/>
          <w:szCs w:val="32"/>
          <w:highlight w:val="none"/>
          <w:shd w:val="clear" w:color="auto" w:fill="FFFFFF"/>
          <w:lang w:val="zh-CN"/>
        </w:rPr>
        <w:t>（二）存在问题。</w:t>
      </w:r>
      <w:r>
        <w:rPr>
          <w:rFonts w:hint="eastAsia" w:ascii="仿宋" w:hAnsi="仿宋" w:eastAsia="仿宋" w:cs="仿宋"/>
          <w:sz w:val="32"/>
          <w:szCs w:val="32"/>
          <w:highlight w:val="none"/>
          <w:lang w:val="zh-CN" w:eastAsia="zh-CN"/>
        </w:rPr>
        <w:t>在项目绩效目标设定、预算执行和资金使用方面仍不同程度存在一些操作不规范、跟踪不及时、衔接不充分等问题。</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color w:val="000000"/>
          <w:kern w:val="0"/>
          <w:sz w:val="32"/>
          <w:szCs w:val="32"/>
          <w:highlight w:val="none"/>
          <w:shd w:val="clear" w:color="auto" w:fill="FFFFFF"/>
          <w:lang w:val="zh-CN"/>
        </w:rPr>
        <w:t>（三）改进建议。</w:t>
      </w:r>
      <w:r>
        <w:rPr>
          <w:rFonts w:hint="eastAsia" w:ascii="仿宋" w:hAnsi="仿宋" w:eastAsia="仿宋" w:cs="仿宋"/>
          <w:sz w:val="32"/>
          <w:szCs w:val="32"/>
          <w:highlight w:val="none"/>
          <w:lang w:val="zh-CN"/>
        </w:rPr>
        <w:t>坚持精细化管理，强化预算绩效目标管理，细化绩效目标</w:t>
      </w:r>
      <w:r>
        <w:rPr>
          <w:rFonts w:hint="eastAsia" w:ascii="仿宋" w:hAnsi="仿宋" w:eastAsia="仿宋" w:cs="仿宋"/>
          <w:sz w:val="32"/>
          <w:szCs w:val="32"/>
          <w:highlight w:val="none"/>
          <w:lang w:eastAsia="zh-CN"/>
        </w:rPr>
        <w:t>。</w:t>
      </w:r>
    </w:p>
    <w:p>
      <w:pPr>
        <w:pStyle w:val="29"/>
        <w:pageBreakBefore w:val="0"/>
        <w:kinsoku/>
        <w:wordWrap/>
        <w:overflowPunct/>
        <w:autoSpaceDE/>
        <w:autoSpaceDN/>
        <w:bidi w:val="0"/>
        <w:spacing w:line="560" w:lineRule="exact"/>
        <w:ind w:left="0" w:firstLine="643"/>
        <w:textAlignment w:val="auto"/>
        <w:rPr>
          <w:rFonts w:hint="eastAsia" w:ascii="仿宋" w:hAnsi="仿宋" w:eastAsia="仿宋" w:cs="仿宋"/>
          <w:color w:val="auto"/>
          <w:kern w:val="0"/>
          <w:sz w:val="32"/>
          <w:szCs w:val="32"/>
          <w:lang w:val="en-US" w:eastAsia="zh-CN" w:bidi="ar-SA"/>
        </w:rPr>
      </w:pPr>
    </w:p>
    <w:p>
      <w:pPr>
        <w:pStyle w:val="21"/>
        <w:spacing w:line="560" w:lineRule="exact"/>
        <w:ind w:left="0" w:leftChars="0" w:firstLine="640"/>
        <w:rPr>
          <w:rFonts w:hint="eastAsia" w:ascii="仿宋" w:hAnsi="仿宋" w:eastAsia="仿宋" w:cs="仿宋"/>
          <w:sz w:val="32"/>
          <w:szCs w:val="32"/>
          <w:lang w:val="zh-CN"/>
        </w:rPr>
      </w:pPr>
      <w:r>
        <w:rPr>
          <w:rFonts w:hint="eastAsia" w:ascii="仿宋" w:hAnsi="仿宋" w:eastAsia="仿宋" w:cs="仿宋"/>
          <w:sz w:val="32"/>
          <w:szCs w:val="32"/>
          <w:lang w:val="zh-CN"/>
        </w:rPr>
        <w:t>附表：</w:t>
      </w:r>
      <w:r>
        <w:rPr>
          <w:rFonts w:hint="eastAsia" w:ascii="仿宋" w:hAnsi="仿宋" w:eastAsia="仿宋" w:cs="仿宋"/>
          <w:sz w:val="32"/>
          <w:szCs w:val="32"/>
        </w:rPr>
        <w:t>部门预算项目支出绩效自评表（2022年度）</w:t>
      </w:r>
    </w:p>
    <w:bookmarkEnd w:id="74"/>
    <w:bookmarkEnd w:id="77"/>
    <w:p>
      <w:pPr>
        <w:spacing w:line="600" w:lineRule="exact"/>
        <w:jc w:val="center"/>
        <w:outlineLvl w:val="0"/>
        <w:rPr>
          <w:rFonts w:hint="eastAsia" w:ascii="仿宋" w:hAnsi="仿宋" w:eastAsia="仿宋" w:cs="仿宋"/>
          <w:sz w:val="44"/>
          <w:szCs w:val="44"/>
        </w:rPr>
      </w:pPr>
      <w:bookmarkStart w:id="78" w:name="_Toc1564"/>
    </w:p>
    <w:tbl>
      <w:tblPr>
        <w:tblStyle w:val="2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3"/>
        <w:gridCol w:w="358"/>
        <w:gridCol w:w="357"/>
        <w:gridCol w:w="1848"/>
        <w:gridCol w:w="788"/>
        <w:gridCol w:w="1169"/>
        <w:gridCol w:w="1169"/>
        <w:gridCol w:w="674"/>
        <w:gridCol w:w="1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民主党派运行经费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各民主党派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其中：财政拨款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保障各民主党派持续加强自身建设，促进统一战线工作。</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用于保障全区7个民主党派正常开展工作，包括会议费、活动费、培训费、学习费等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分值/权重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（百分制）</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    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预算执行率（10分）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产出指标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各民主党派积极参加调研等活动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≥7次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民主党派积极参政议政，提出建设意见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民主党派开展工作及时性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节约经济成本</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效益指标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各民主党派加强自身建设</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各民主党派满意度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trPr>
        <w:tc>
          <w:tcPr>
            <w:tcW w:w="0" w:type="auto"/>
            <w:gridSpan w:val="9"/>
            <w:tcBorders>
              <w:top w:val="single" w:color="000000" w:sz="4" w:space="0"/>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说明：1.预算执行率得分=全年执行数/全年预算数*10分；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民族宗教安全维稳经费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区民宗局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其中：财政拨款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0.17</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加强民族团结，促进宗教和顺</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加强民族团结，促进宗教和顺，维护社会稳定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分值/权重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（百分制）</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    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预算执行率（10分）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产出指标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检查宗教场所</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≥12次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无安全维稳事故发生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及时处理来信来访和矛盾纠纷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效益指标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维护民族团结，促进宗教和顺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trPr>
        <w:tc>
          <w:tcPr>
            <w:tcW w:w="0" w:type="auto"/>
            <w:gridSpan w:val="9"/>
            <w:tcBorders>
              <w:top w:val="single" w:color="000000" w:sz="4" w:space="0"/>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说明：1.预算执行率得分=全年执行数/全年预算数*10分；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购置办公设备经费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区委统战部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其中：财政拨款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保障区委统战部正常办公</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保障区委统战部正常办公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分值/权重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（百分制）</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    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预算执行率（10分）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产出指标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完善6间办公室、1间档案室、1间会议室的必要办公设备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所有家具、电器等设备符合标准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1年内完成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效益指标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保障区委统战部机关正常运转，推动统战工作正常开展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职工满意度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0" w:type="auto"/>
            <w:gridSpan w:val="9"/>
            <w:tcBorders>
              <w:top w:val="single" w:color="000000" w:sz="4" w:space="0"/>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说明：1.预算执行率得分=全年执行数/全年预算数*10分；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侨联运行工作经费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区侨联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其中：财政拨款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保障侨联工作正常运转</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保障侨联工作正常运转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分值/权重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（百分制）</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    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预算执行率（10分）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产出指标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对归侨及侨眷侨属开展慰问</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无群体性事件发生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及时处理来信来访和矛盾纠纷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效益指标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维护归侨及侨眷侨属利益，促进社会和谐稳定</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trPr>
        <w:tc>
          <w:tcPr>
            <w:tcW w:w="0" w:type="auto"/>
            <w:gridSpan w:val="9"/>
            <w:tcBorders>
              <w:top w:val="single" w:color="000000" w:sz="4" w:space="0"/>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说明：1.预算执行率得分=全年执行数/全年预算数*10分；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侨务和台湾事务工作运行经费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区台侨办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其中：财政拨款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保障港澳台侨工作正常开展</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保障港澳台侨工作正常开展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分值/权重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（百分制）</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    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预算执行率（10分）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产出指标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开展台侨属走访慰问</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无群体性事件发生</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及时处理来信来访和矛盾纠纷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效益指标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保障港澳台侨工作正常开展，维护社会和谐稳定</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0" w:type="auto"/>
            <w:gridSpan w:val="9"/>
            <w:tcBorders>
              <w:top w:val="single" w:color="000000" w:sz="4" w:space="0"/>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说明：1.预算执行率得分=全年执行数/全年预算数*10分；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民族事业发展专项资金（太平镇五高山村人畜饮水设施建设项目补助）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太平镇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其中：财政拨款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解决五高山村群众人畜饮水问题</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实施人畜饮水工程，解决了五高山村6个村民小组216户603人饮水问题（其中少数民族群众15户48人）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分值/权重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（百分制）</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    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预算执行率（10分）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产出指标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解决人畜饮水问题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≥200户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饮水管道、蓄水池符合标准，通过验收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1年内完成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效益指标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促进五高山村经济发展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促进民族团结，社会和谐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促进经济可持续发展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0" w:type="auto"/>
            <w:gridSpan w:val="9"/>
            <w:tcBorders>
              <w:top w:val="single" w:color="000000" w:sz="4" w:space="0"/>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说明：1.预算执行率得分=全年执行数/全年预算数*10分；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2022年春节慰问资金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区委统战部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其中：财政拨款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0" w:type="auto"/>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对统战对象进行走访慰问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完成对统战对象的走访慰问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分值/权重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（百分制）</w:t>
            </w:r>
          </w:p>
        </w:tc>
        <w:tc>
          <w:tcPr>
            <w:tcW w:w="0" w:type="auto"/>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    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预算执行率（10分）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产出指标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走访慰问统战对象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发放慰问品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春节前完成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效益指标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加强与统战对象的联系与沟通，促进统一战线工作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生态效益指标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333333"/>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gridSpan w:val="2"/>
            <w:tcBorders>
              <w:top w:val="single" w:color="000000" w:sz="4" w:space="0"/>
              <w:left w:val="single" w:color="000000" w:sz="4" w:space="0"/>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0" w:type="auto"/>
            <w:gridSpan w:val="9"/>
            <w:tcBorders>
              <w:top w:val="single" w:color="000000" w:sz="4" w:space="0"/>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说明：1.预算执行率得分=全年执行数/全年预算数*10分；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2.“产出指标、效益指标、满意度指标”一共90分，对应的是一体化系统中单位编制的项目绩效目标。</w:t>
            </w:r>
          </w:p>
        </w:tc>
      </w:tr>
    </w:tbl>
    <w:p>
      <w:pPr>
        <w:spacing w:line="600" w:lineRule="exact"/>
        <w:jc w:val="center"/>
        <w:outlineLvl w:val="0"/>
        <w:rPr>
          <w:rFonts w:hint="eastAsia" w:ascii="黑体" w:hAnsi="黑体" w:eastAsia="黑体"/>
          <w:sz w:val="44"/>
          <w:szCs w:val="44"/>
        </w:rPr>
      </w:pPr>
    </w:p>
    <w:p>
      <w:pPr>
        <w:spacing w:line="600" w:lineRule="exact"/>
        <w:jc w:val="center"/>
        <w:outlineLvl w:val="0"/>
        <w:rPr>
          <w:rFonts w:ascii="仿宋" w:hAnsi="仿宋" w:eastAsia="仿宋"/>
        </w:rPr>
      </w:pPr>
      <w:r>
        <w:rPr>
          <w:rFonts w:hint="eastAsia" w:ascii="黑体" w:hAnsi="黑体" w:eastAsia="黑体"/>
          <w:sz w:val="44"/>
          <w:szCs w:val="44"/>
        </w:rPr>
        <w:t>第</w:t>
      </w:r>
      <w:r>
        <w:rPr>
          <w:rStyle w:val="39"/>
          <w:rFonts w:hint="eastAsia" w:ascii="黑体" w:hAnsi="黑体" w:eastAsia="黑体"/>
          <w:b w:val="0"/>
        </w:rPr>
        <w:t>五部分 附表</w:t>
      </w:r>
      <w:bookmarkEnd w:id="78"/>
      <w:bookmarkStart w:id="79" w:name="_Toc15396619"/>
    </w:p>
    <w:p>
      <w:pPr>
        <w:pStyle w:val="4"/>
        <w:rPr>
          <w:rFonts w:ascii="仿宋" w:hAnsi="仿宋" w:eastAsia="仿宋"/>
        </w:rPr>
      </w:pPr>
      <w:bookmarkStart w:id="80" w:name="_Toc16308"/>
      <w:r>
        <w:rPr>
          <w:rFonts w:hint="eastAsia" w:ascii="仿宋" w:hAnsi="仿宋" w:eastAsia="仿宋"/>
          <w:b w:val="0"/>
        </w:rPr>
        <w:t>一、收</w:t>
      </w:r>
      <w:r>
        <w:rPr>
          <w:rStyle w:val="40"/>
          <w:rFonts w:hint="eastAsia" w:ascii="仿宋" w:hAnsi="仿宋" w:eastAsia="仿宋"/>
          <w:b w:val="0"/>
          <w:bCs w:val="0"/>
        </w:rPr>
        <w:t>入支出决算总表</w:t>
      </w:r>
      <w:bookmarkEnd w:id="79"/>
      <w:bookmarkEnd w:id="80"/>
    </w:p>
    <w:p>
      <w:pPr>
        <w:pStyle w:val="4"/>
        <w:rPr>
          <w:rFonts w:ascii="仿宋" w:hAnsi="仿宋" w:eastAsia="仿宋"/>
        </w:rPr>
      </w:pPr>
      <w:bookmarkStart w:id="81" w:name="_Toc15139"/>
      <w:bookmarkStart w:id="82" w:name="_Toc15396620"/>
      <w:r>
        <w:rPr>
          <w:rFonts w:hint="eastAsia" w:ascii="仿宋" w:hAnsi="仿宋" w:eastAsia="仿宋"/>
          <w:b w:val="0"/>
        </w:rPr>
        <w:t>二、收</w:t>
      </w:r>
      <w:r>
        <w:rPr>
          <w:rStyle w:val="40"/>
          <w:rFonts w:hint="eastAsia" w:ascii="仿宋" w:hAnsi="仿宋" w:eastAsia="仿宋"/>
          <w:b w:val="0"/>
          <w:bCs w:val="0"/>
        </w:rPr>
        <w:t>入决算表</w:t>
      </w:r>
      <w:bookmarkEnd w:id="81"/>
      <w:bookmarkEnd w:id="82"/>
    </w:p>
    <w:p>
      <w:pPr>
        <w:pStyle w:val="4"/>
        <w:rPr>
          <w:rFonts w:ascii="仿宋" w:hAnsi="仿宋" w:eastAsia="仿宋"/>
        </w:rPr>
      </w:pPr>
      <w:bookmarkStart w:id="83" w:name="_Toc13608"/>
      <w:bookmarkStart w:id="84" w:name="_Toc15396621"/>
      <w:r>
        <w:rPr>
          <w:rStyle w:val="40"/>
          <w:rFonts w:hint="eastAsia" w:ascii="仿宋" w:hAnsi="仿宋" w:eastAsia="仿宋"/>
          <w:b w:val="0"/>
          <w:bCs w:val="0"/>
        </w:rPr>
        <w:t>三、</w:t>
      </w:r>
      <w:r>
        <w:rPr>
          <w:rFonts w:hint="eastAsia" w:ascii="仿宋" w:hAnsi="仿宋" w:eastAsia="仿宋"/>
          <w:b w:val="0"/>
        </w:rPr>
        <w:t>支</w:t>
      </w:r>
      <w:r>
        <w:rPr>
          <w:rStyle w:val="40"/>
          <w:rFonts w:hint="eastAsia" w:ascii="仿宋" w:hAnsi="仿宋" w:eastAsia="仿宋"/>
          <w:b w:val="0"/>
          <w:bCs w:val="0"/>
        </w:rPr>
        <w:t>出决算表</w:t>
      </w:r>
      <w:bookmarkEnd w:id="83"/>
      <w:bookmarkEnd w:id="84"/>
    </w:p>
    <w:p>
      <w:pPr>
        <w:pStyle w:val="4"/>
        <w:rPr>
          <w:rFonts w:ascii="仿宋" w:hAnsi="仿宋" w:eastAsia="仿宋"/>
          <w:b w:val="0"/>
        </w:rPr>
      </w:pPr>
      <w:bookmarkStart w:id="85" w:name="_Toc4944"/>
      <w:bookmarkStart w:id="86" w:name="_Toc15396622"/>
      <w:r>
        <w:rPr>
          <w:rStyle w:val="40"/>
          <w:rFonts w:hint="eastAsia" w:ascii="仿宋" w:hAnsi="仿宋" w:eastAsia="仿宋"/>
          <w:b w:val="0"/>
          <w:bCs w:val="0"/>
        </w:rPr>
        <w:t>四、</w:t>
      </w:r>
      <w:r>
        <w:rPr>
          <w:rFonts w:hint="eastAsia" w:ascii="仿宋" w:hAnsi="仿宋" w:eastAsia="仿宋"/>
          <w:b w:val="0"/>
        </w:rPr>
        <w:t>财</w:t>
      </w:r>
      <w:r>
        <w:rPr>
          <w:rStyle w:val="40"/>
          <w:rFonts w:hint="eastAsia" w:ascii="仿宋" w:hAnsi="仿宋" w:eastAsia="仿宋"/>
          <w:b w:val="0"/>
          <w:bCs w:val="0"/>
        </w:rPr>
        <w:t>政拨款收入支出决算总表</w:t>
      </w:r>
      <w:bookmarkEnd w:id="85"/>
      <w:bookmarkEnd w:id="86"/>
    </w:p>
    <w:p>
      <w:pPr>
        <w:pStyle w:val="4"/>
        <w:rPr>
          <w:rStyle w:val="40"/>
          <w:rFonts w:ascii="仿宋" w:hAnsi="仿宋" w:eastAsia="仿宋"/>
          <w:b w:val="0"/>
          <w:bCs w:val="0"/>
        </w:rPr>
      </w:pPr>
      <w:bookmarkStart w:id="87" w:name="_Toc8352"/>
      <w:bookmarkStart w:id="88" w:name="_Toc15396623"/>
      <w:r>
        <w:rPr>
          <w:rStyle w:val="40"/>
          <w:rFonts w:hint="eastAsia" w:ascii="仿宋" w:hAnsi="仿宋" w:eastAsia="仿宋"/>
          <w:b w:val="0"/>
          <w:bCs w:val="0"/>
        </w:rPr>
        <w:t>五、</w:t>
      </w:r>
      <w:r>
        <w:rPr>
          <w:rFonts w:hint="eastAsia" w:ascii="仿宋" w:hAnsi="仿宋" w:eastAsia="仿宋"/>
          <w:b w:val="0"/>
        </w:rPr>
        <w:t>财</w:t>
      </w:r>
      <w:r>
        <w:rPr>
          <w:rStyle w:val="40"/>
          <w:rFonts w:hint="eastAsia" w:ascii="仿宋" w:hAnsi="仿宋" w:eastAsia="仿宋"/>
          <w:b w:val="0"/>
          <w:bCs w:val="0"/>
        </w:rPr>
        <w:t>政拨款支出决算明细表</w:t>
      </w:r>
      <w:bookmarkEnd w:id="87"/>
      <w:bookmarkEnd w:id="88"/>
      <w:bookmarkStart w:id="89" w:name="_Toc15396624"/>
    </w:p>
    <w:p>
      <w:pPr>
        <w:pStyle w:val="4"/>
        <w:rPr>
          <w:rFonts w:ascii="仿宋" w:hAnsi="仿宋" w:eastAsia="仿宋"/>
        </w:rPr>
      </w:pPr>
      <w:bookmarkStart w:id="90" w:name="_Toc7178"/>
      <w:r>
        <w:rPr>
          <w:rStyle w:val="40"/>
          <w:rFonts w:hint="eastAsia" w:ascii="仿宋" w:hAnsi="仿宋" w:eastAsia="仿宋"/>
          <w:b w:val="0"/>
          <w:bCs w:val="0"/>
        </w:rPr>
        <w:t>六、</w:t>
      </w:r>
      <w:r>
        <w:rPr>
          <w:rFonts w:hint="eastAsia" w:ascii="仿宋" w:hAnsi="仿宋" w:eastAsia="仿宋"/>
          <w:b w:val="0"/>
        </w:rPr>
        <w:t>一</w:t>
      </w:r>
      <w:r>
        <w:rPr>
          <w:rStyle w:val="40"/>
          <w:rFonts w:hint="eastAsia" w:ascii="仿宋" w:hAnsi="仿宋" w:eastAsia="仿宋"/>
          <w:b w:val="0"/>
          <w:bCs w:val="0"/>
        </w:rPr>
        <w:t>般公共预算财政拨款支出决算表</w:t>
      </w:r>
      <w:bookmarkEnd w:id="89"/>
      <w:bookmarkEnd w:id="90"/>
    </w:p>
    <w:p>
      <w:pPr>
        <w:pStyle w:val="4"/>
        <w:rPr>
          <w:rFonts w:ascii="仿宋" w:hAnsi="仿宋" w:eastAsia="仿宋"/>
        </w:rPr>
      </w:pPr>
      <w:bookmarkStart w:id="91" w:name="_Toc12201"/>
      <w:bookmarkStart w:id="92" w:name="_Toc15396625"/>
      <w:r>
        <w:rPr>
          <w:rStyle w:val="40"/>
          <w:rFonts w:hint="eastAsia" w:ascii="仿宋" w:hAnsi="仿宋" w:eastAsia="仿宋"/>
          <w:b w:val="0"/>
          <w:bCs w:val="0"/>
        </w:rPr>
        <w:t>七、</w:t>
      </w:r>
      <w:r>
        <w:rPr>
          <w:rFonts w:hint="eastAsia" w:ascii="仿宋" w:hAnsi="仿宋" w:eastAsia="仿宋"/>
          <w:b w:val="0"/>
        </w:rPr>
        <w:t>一</w:t>
      </w:r>
      <w:r>
        <w:rPr>
          <w:rStyle w:val="40"/>
          <w:rFonts w:hint="eastAsia" w:ascii="仿宋" w:hAnsi="仿宋" w:eastAsia="仿宋"/>
          <w:b w:val="0"/>
          <w:bCs w:val="0"/>
        </w:rPr>
        <w:t>般公共预算财政拨款支出决算明细表</w:t>
      </w:r>
      <w:bookmarkEnd w:id="91"/>
      <w:bookmarkEnd w:id="92"/>
    </w:p>
    <w:p>
      <w:pPr>
        <w:pStyle w:val="4"/>
        <w:rPr>
          <w:rFonts w:ascii="仿宋" w:hAnsi="仿宋" w:eastAsia="仿宋"/>
        </w:rPr>
      </w:pPr>
      <w:bookmarkStart w:id="93" w:name="_Toc21345"/>
      <w:bookmarkStart w:id="94" w:name="_Toc15396626"/>
      <w:r>
        <w:rPr>
          <w:rStyle w:val="40"/>
          <w:rFonts w:hint="eastAsia" w:ascii="仿宋" w:hAnsi="仿宋" w:eastAsia="仿宋"/>
          <w:b w:val="0"/>
          <w:bCs w:val="0"/>
        </w:rPr>
        <w:t>八、</w:t>
      </w:r>
      <w:r>
        <w:rPr>
          <w:rFonts w:hint="eastAsia" w:ascii="仿宋" w:hAnsi="仿宋" w:eastAsia="仿宋"/>
          <w:b w:val="0"/>
        </w:rPr>
        <w:t>一</w:t>
      </w:r>
      <w:r>
        <w:rPr>
          <w:rStyle w:val="40"/>
          <w:rFonts w:hint="eastAsia" w:ascii="仿宋" w:hAnsi="仿宋" w:eastAsia="仿宋"/>
          <w:b w:val="0"/>
          <w:bCs w:val="0"/>
        </w:rPr>
        <w:t>般公共预算财政拨款基本支出决算表</w:t>
      </w:r>
      <w:bookmarkEnd w:id="93"/>
      <w:bookmarkEnd w:id="94"/>
    </w:p>
    <w:p>
      <w:pPr>
        <w:pStyle w:val="4"/>
        <w:rPr>
          <w:rFonts w:ascii="仿宋" w:hAnsi="仿宋" w:eastAsia="仿宋"/>
        </w:rPr>
      </w:pPr>
      <w:bookmarkStart w:id="95" w:name="_Toc15338"/>
      <w:bookmarkStart w:id="96" w:name="_Toc15396627"/>
      <w:r>
        <w:rPr>
          <w:rStyle w:val="40"/>
          <w:rFonts w:hint="eastAsia" w:ascii="仿宋" w:hAnsi="仿宋" w:eastAsia="仿宋"/>
          <w:b w:val="0"/>
          <w:bCs w:val="0"/>
        </w:rPr>
        <w:t>九、</w:t>
      </w:r>
      <w:r>
        <w:rPr>
          <w:rFonts w:hint="eastAsia" w:ascii="仿宋" w:hAnsi="仿宋" w:eastAsia="仿宋"/>
          <w:b w:val="0"/>
        </w:rPr>
        <w:t>一</w:t>
      </w:r>
      <w:r>
        <w:rPr>
          <w:rStyle w:val="40"/>
          <w:rFonts w:hint="eastAsia" w:ascii="仿宋" w:hAnsi="仿宋" w:eastAsia="仿宋"/>
          <w:b w:val="0"/>
          <w:bCs w:val="0"/>
        </w:rPr>
        <w:t>般公共预算财政拨款项目支出决算表</w:t>
      </w:r>
      <w:bookmarkEnd w:id="95"/>
      <w:bookmarkEnd w:id="96"/>
    </w:p>
    <w:p>
      <w:pPr>
        <w:pStyle w:val="4"/>
        <w:rPr>
          <w:rFonts w:ascii="仿宋" w:hAnsi="仿宋" w:eastAsia="仿宋"/>
        </w:rPr>
      </w:pPr>
      <w:bookmarkStart w:id="97" w:name="_Toc15396628"/>
      <w:bookmarkStart w:id="98" w:name="_Toc30958"/>
      <w:r>
        <w:rPr>
          <w:rStyle w:val="40"/>
          <w:rFonts w:hint="eastAsia" w:ascii="仿宋" w:hAnsi="仿宋" w:eastAsia="仿宋"/>
          <w:b w:val="0"/>
          <w:bCs w:val="0"/>
        </w:rPr>
        <w:t>十、</w:t>
      </w:r>
      <w:bookmarkEnd w:id="97"/>
      <w:r>
        <w:rPr>
          <w:rFonts w:hint="eastAsia" w:ascii="仿宋" w:hAnsi="仿宋" w:eastAsia="仿宋"/>
          <w:b w:val="0"/>
        </w:rPr>
        <w:t>政</w:t>
      </w:r>
      <w:r>
        <w:rPr>
          <w:rStyle w:val="40"/>
          <w:rFonts w:hint="eastAsia" w:ascii="仿宋" w:hAnsi="仿宋" w:eastAsia="仿宋"/>
          <w:b w:val="0"/>
          <w:bCs w:val="0"/>
        </w:rPr>
        <w:t>府性基金预算财政拨款收入支出决算表</w:t>
      </w:r>
      <w:bookmarkEnd w:id="98"/>
    </w:p>
    <w:p>
      <w:pPr>
        <w:pStyle w:val="4"/>
        <w:rPr>
          <w:rFonts w:ascii="仿宋" w:hAnsi="仿宋" w:eastAsia="仿宋"/>
        </w:rPr>
      </w:pPr>
      <w:bookmarkStart w:id="99" w:name="_Toc15396629"/>
      <w:bookmarkStart w:id="100" w:name="_Toc18680"/>
      <w:r>
        <w:rPr>
          <w:rStyle w:val="40"/>
          <w:rFonts w:hint="eastAsia" w:ascii="仿宋" w:hAnsi="仿宋" w:eastAsia="仿宋"/>
          <w:b w:val="0"/>
          <w:bCs w:val="0"/>
        </w:rPr>
        <w:t>十一、</w:t>
      </w:r>
      <w:bookmarkEnd w:id="99"/>
      <w:r>
        <w:rPr>
          <w:rFonts w:hint="eastAsia" w:ascii="仿宋" w:hAnsi="仿宋" w:eastAsia="仿宋"/>
          <w:b w:val="0"/>
        </w:rPr>
        <w:t>国</w:t>
      </w:r>
      <w:r>
        <w:rPr>
          <w:rStyle w:val="40"/>
          <w:rFonts w:hint="eastAsia" w:ascii="仿宋" w:hAnsi="仿宋" w:eastAsia="仿宋"/>
          <w:b w:val="0"/>
          <w:bCs w:val="0"/>
        </w:rPr>
        <w:t>有资本经营预算财政拨款收入支出决算表</w:t>
      </w:r>
      <w:bookmarkEnd w:id="100"/>
    </w:p>
    <w:p>
      <w:pPr>
        <w:pStyle w:val="4"/>
        <w:rPr>
          <w:rFonts w:ascii="仿宋" w:hAnsi="仿宋" w:eastAsia="仿宋"/>
        </w:rPr>
      </w:pPr>
      <w:bookmarkStart w:id="101" w:name="_Toc15396630"/>
      <w:bookmarkStart w:id="102" w:name="_Toc17095"/>
      <w:r>
        <w:rPr>
          <w:rStyle w:val="40"/>
          <w:rFonts w:hint="eastAsia" w:ascii="仿宋" w:hAnsi="仿宋" w:eastAsia="仿宋"/>
          <w:b w:val="0"/>
          <w:bCs w:val="0"/>
        </w:rPr>
        <w:t>十二、</w:t>
      </w:r>
      <w:bookmarkEnd w:id="101"/>
      <w:r>
        <w:rPr>
          <w:rStyle w:val="40"/>
          <w:rFonts w:hint="eastAsia" w:ascii="仿宋" w:hAnsi="仿宋" w:eastAsia="仿宋"/>
          <w:b w:val="0"/>
          <w:bCs w:val="0"/>
        </w:rPr>
        <w:t>国有资本经营预算财政拨款支出决算表</w:t>
      </w:r>
      <w:bookmarkEnd w:id="102"/>
    </w:p>
    <w:p>
      <w:pPr>
        <w:rPr>
          <w:rFonts w:hint="eastAsia" w:eastAsia="仿宋"/>
          <w:color w:val="auto"/>
          <w:highlight w:val="none"/>
          <w:lang w:eastAsia="zh-CN"/>
        </w:rPr>
      </w:pPr>
      <w:bookmarkStart w:id="103" w:name="_Toc15396631"/>
      <w:bookmarkStart w:id="104" w:name="_Toc23042"/>
      <w:r>
        <w:rPr>
          <w:rStyle w:val="40"/>
          <w:rFonts w:hint="eastAsia" w:ascii="仿宋" w:hAnsi="仿宋" w:eastAsia="仿宋"/>
          <w:b w:val="0"/>
          <w:bCs w:val="0"/>
        </w:rPr>
        <w:t>十三、</w:t>
      </w:r>
      <w:bookmarkEnd w:id="103"/>
      <w:r>
        <w:rPr>
          <w:rStyle w:val="40"/>
          <w:rFonts w:hint="eastAsia" w:ascii="仿宋" w:hAnsi="仿宋" w:eastAsia="仿宋"/>
          <w:b w:val="0"/>
          <w:bCs w:val="0"/>
        </w:rPr>
        <w:t>财政拨款“三公”经费支出决算表</w:t>
      </w:r>
      <w:bookmarkEnd w:id="104"/>
    </w:p>
    <w:sectPr>
      <w:footerReference r:id="rId9" w:type="firs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8B6C68-2EEA-432C-AE62-1CAFA8D329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4621C424-4111-4678-8884-21189655FB86}"/>
  </w:font>
  <w:font w:name="仿宋_GB2312">
    <w:panose1 w:val="02010609030101010101"/>
    <w:charset w:val="86"/>
    <w:family w:val="modern"/>
    <w:pitch w:val="default"/>
    <w:sig w:usb0="00000001" w:usb1="080E0000" w:usb2="00000000" w:usb3="00000000" w:csb0="00040000" w:csb1="00000000"/>
    <w:embedRegular r:id="rId3" w:fontKey="{2686ABF5-8FA8-4E5E-A33B-C6711F3E6EB5}"/>
  </w:font>
  <w:font w:name="仿宋">
    <w:panose1 w:val="02010609060101010101"/>
    <w:charset w:val="86"/>
    <w:family w:val="auto"/>
    <w:pitch w:val="default"/>
    <w:sig w:usb0="800002BF" w:usb1="38CF7CFA" w:usb2="00000016" w:usb3="00000000" w:csb0="00040001" w:csb1="00000000"/>
    <w:embedRegular r:id="rId4" w:fontKey="{A89BCC69-3F78-4A5E-9FD4-3C2A62DAE04F}"/>
  </w:font>
  <w:font w:name="楷体_GB2312">
    <w:panose1 w:val="02010609030101010101"/>
    <w:charset w:val="86"/>
    <w:family w:val="modern"/>
    <w:pitch w:val="default"/>
    <w:sig w:usb0="00000001" w:usb1="080E0000" w:usb2="00000000" w:usb3="00000000" w:csb0="00040000" w:csb1="00000000"/>
    <w:embedRegular r:id="rId5" w:fontKey="{74D0E2F1-7A1E-4543-B44A-D594210F4167}"/>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embedRegular r:id="rId6" w:fontKey="{BD2DE724-7439-45EF-BA7A-5093D23B8A2A}"/>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embedRegular r:id="rId7" w:fontKey="{7DDC5DE6-899D-4EA6-A0FA-5BC4AA063945}"/>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2"/>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pPr>
                          <w:pStyle w:val="2"/>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2"/>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sdt>
                    <w:sdtPr>
                      <w:id w:val="-1994781956"/>
                    </w:sdtPr>
                    <w:sdtContent>
                      <w:p>
                        <w:pPr>
                          <w:pStyle w:val="2"/>
                          <w:jc w:val="center"/>
                        </w:pPr>
                        <w:r>
                          <w:fldChar w:fldCharType="begin"/>
                        </w:r>
                        <w:r>
                          <w:instrText xml:space="preserve">PAGE   \* MERGEFORMAT</w:instrText>
                        </w:r>
                        <w:r>
                          <w:fldChar w:fldCharType="separate"/>
                        </w:r>
                        <w:r>
                          <w:rPr>
                            <w:lang w:val="zh-CN"/>
                          </w:rPr>
                          <w:t>8</w:t>
                        </w:r>
                        <w:r>
                          <w:fldChar w:fldCharType="end"/>
                        </w:r>
                      </w:p>
                    </w:sdtContent>
                  </w:sdt>
                  <w:p>
                    <w:pPr>
                      <w:pStyle w:val="8"/>
                    </w:pPr>
                  </w:p>
                </w:txbxContent>
              </v:textbox>
            </v:shape>
          </w:pict>
        </mc:Fallback>
      </mc:AlternateContent>
    </w:r>
  </w:p>
  <w:p>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1E584EB"/>
    <w:multiLevelType w:val="singleLevel"/>
    <w:tmpl w:val="21E584EB"/>
    <w:lvl w:ilvl="0" w:tentative="0">
      <w:start w:val="2"/>
      <w:numFmt w:val="chineseCounting"/>
      <w:suff w:val="nothing"/>
      <w:lvlText w:val="（%1）"/>
      <w:lvlJc w:val="left"/>
      <w:rPr>
        <w:rFonts w:hint="eastAsia"/>
      </w:rPr>
    </w:lvl>
  </w:abstractNum>
  <w:abstractNum w:abstractNumId="4">
    <w:nsid w:val="5B63281F"/>
    <w:multiLevelType w:val="multilevel"/>
    <w:tmpl w:val="5B63281F"/>
    <w:lvl w:ilvl="0" w:tentative="0">
      <w:start w:val="1"/>
      <w:numFmt w:val="decimal"/>
      <w:pStyle w:val="48"/>
      <w:suff w:val="nothing"/>
      <w:lvlText w:val="%1."/>
      <w:lvlJc w:val="left"/>
      <w:pPr>
        <w:ind w:left="0" w:firstLine="635"/>
      </w:pPr>
      <w:rPr>
        <w:rFonts w:hint="eastAsia"/>
      </w:rPr>
    </w:lvl>
    <w:lvl w:ilvl="1" w:tentative="0">
      <w:start w:val="1"/>
      <w:numFmt w:val="lowerLetter"/>
      <w:lvlText w:val="%2)"/>
      <w:lvlJc w:val="left"/>
      <w:pPr>
        <w:ind w:left="1475" w:hanging="420"/>
      </w:pPr>
    </w:lvl>
    <w:lvl w:ilvl="2" w:tentative="0">
      <w:start w:val="1"/>
      <w:numFmt w:val="lowerRoman"/>
      <w:lvlText w:val="%3."/>
      <w:lvlJc w:val="right"/>
      <w:pPr>
        <w:ind w:left="1895" w:hanging="420"/>
      </w:pPr>
    </w:lvl>
    <w:lvl w:ilvl="3" w:tentative="0">
      <w:start w:val="1"/>
      <w:numFmt w:val="decimal"/>
      <w:lvlText w:val="%4."/>
      <w:lvlJc w:val="left"/>
      <w:pPr>
        <w:ind w:left="2315" w:hanging="420"/>
      </w:pPr>
    </w:lvl>
    <w:lvl w:ilvl="4" w:tentative="0">
      <w:start w:val="1"/>
      <w:numFmt w:val="lowerLetter"/>
      <w:lvlText w:val="%5)"/>
      <w:lvlJc w:val="left"/>
      <w:pPr>
        <w:ind w:left="2735" w:hanging="420"/>
      </w:pPr>
    </w:lvl>
    <w:lvl w:ilvl="5" w:tentative="0">
      <w:start w:val="1"/>
      <w:numFmt w:val="lowerRoman"/>
      <w:lvlText w:val="%6."/>
      <w:lvlJc w:val="right"/>
      <w:pPr>
        <w:ind w:left="3155" w:hanging="420"/>
      </w:pPr>
    </w:lvl>
    <w:lvl w:ilvl="6" w:tentative="0">
      <w:start w:val="1"/>
      <w:numFmt w:val="decimal"/>
      <w:lvlText w:val="%7."/>
      <w:lvlJc w:val="left"/>
      <w:pPr>
        <w:ind w:left="3575" w:hanging="420"/>
      </w:pPr>
    </w:lvl>
    <w:lvl w:ilvl="7" w:tentative="0">
      <w:start w:val="1"/>
      <w:numFmt w:val="lowerLetter"/>
      <w:lvlText w:val="%8)"/>
      <w:lvlJc w:val="left"/>
      <w:pPr>
        <w:ind w:left="3995" w:hanging="420"/>
      </w:pPr>
    </w:lvl>
    <w:lvl w:ilvl="8" w:tentative="0">
      <w:start w:val="1"/>
      <w:numFmt w:val="lowerRoman"/>
      <w:lvlText w:val="%9."/>
      <w:lvlJc w:val="right"/>
      <w:pPr>
        <w:ind w:left="4415" w:hanging="420"/>
      </w:pPr>
    </w:lvl>
  </w:abstractNum>
  <w:abstractNum w:abstractNumId="5">
    <w:nsid w:val="639601FF"/>
    <w:multiLevelType w:val="singleLevel"/>
    <w:tmpl w:val="639601FF"/>
    <w:lvl w:ilvl="0" w:tentative="0">
      <w:start w:val="3"/>
      <w:numFmt w:val="chineseCounting"/>
      <w:suff w:val="nothing"/>
      <w:lvlText w:val="%1、"/>
      <w:lvlJc w:val="left"/>
      <w:rPr>
        <w:rFonts w:hint="eastAsia"/>
      </w:rPr>
    </w:lvl>
  </w:abstractNum>
  <w:abstractNum w:abstractNumId="6">
    <w:nsid w:val="6F035666"/>
    <w:multiLevelType w:val="singleLevel"/>
    <w:tmpl w:val="6F035666"/>
    <w:lvl w:ilvl="0" w:tentative="0">
      <w:start w:val="1"/>
      <w:numFmt w:val="decimal"/>
      <w:lvlText w:val="%1."/>
      <w:lvlJc w:val="left"/>
      <w:pPr>
        <w:tabs>
          <w:tab w:val="left" w:pos="312"/>
        </w:tabs>
        <w:ind w:left="-13"/>
      </w:pPr>
      <w:rPr>
        <w:rFonts w:hint="default"/>
        <w:sz w:val="28"/>
        <w:szCs w:val="28"/>
      </w:rPr>
    </w:lvl>
  </w:abstractNum>
  <w:abstractNum w:abstractNumId="7">
    <w:nsid w:val="72C01ED7"/>
    <w:multiLevelType w:val="singleLevel"/>
    <w:tmpl w:val="72C01ED7"/>
    <w:lvl w:ilvl="0" w:tentative="0">
      <w:start w:val="3"/>
      <w:numFmt w:val="decimal"/>
      <w:lvlText w:val="%1."/>
      <w:lvlJc w:val="left"/>
      <w:pPr>
        <w:tabs>
          <w:tab w:val="left" w:pos="312"/>
        </w:tabs>
      </w:pPr>
    </w:lvl>
  </w:abstractNum>
  <w:abstractNum w:abstractNumId="8">
    <w:nsid w:val="7EE55BF3"/>
    <w:multiLevelType w:val="multilevel"/>
    <w:tmpl w:val="7EE55BF3"/>
    <w:lvl w:ilvl="0" w:tentative="0">
      <w:start w:val="1"/>
      <w:numFmt w:val="chineseCountingThousand"/>
      <w:pStyle w:val="57"/>
      <w:suff w:val="nothing"/>
      <w:lvlText w:val="（%1）"/>
      <w:lvlJc w:val="left"/>
      <w:pPr>
        <w:ind w:left="-635" w:firstLine="635"/>
      </w:pPr>
      <w:rPr>
        <w:rFonts w:hint="eastAsia"/>
      </w:rPr>
    </w:lvl>
    <w:lvl w:ilvl="1" w:tentative="0">
      <w:start w:val="1"/>
      <w:numFmt w:val="decimal"/>
      <w:lvlText w:val="%2."/>
      <w:lvlJc w:val="left"/>
      <w:pPr>
        <w:ind w:left="980" w:hanging="360"/>
      </w:pPr>
      <w:rPr>
        <w:rFonts w:hint="default"/>
      </w:r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4"/>
  </w:num>
  <w:num w:numId="2">
    <w:abstractNumId w:val="8"/>
  </w:num>
  <w:num w:numId="3">
    <w:abstractNumId w:val="2"/>
  </w:num>
  <w:num w:numId="4">
    <w:abstractNumId w:val="6"/>
  </w:num>
  <w:num w:numId="5">
    <w:abstractNumId w:val="7"/>
  </w:num>
  <w:num w:numId="6">
    <w:abstractNumId w:val="0"/>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kMjQ0NTVkMWE5ODJhMjQ3NmEyNmUzZjRjZDM0Nz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315D9"/>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3366"/>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32078"/>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29E"/>
    <w:rsid w:val="00A237D8"/>
    <w:rsid w:val="00A268C4"/>
    <w:rsid w:val="00A307CD"/>
    <w:rsid w:val="00A331C8"/>
    <w:rsid w:val="00A40A00"/>
    <w:rsid w:val="00A4142F"/>
    <w:rsid w:val="00A422EB"/>
    <w:rsid w:val="00A45BB7"/>
    <w:rsid w:val="00A56D7D"/>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1E55"/>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41F92"/>
    <w:rsid w:val="0116312F"/>
    <w:rsid w:val="01963029"/>
    <w:rsid w:val="01BD31BB"/>
    <w:rsid w:val="02C10E79"/>
    <w:rsid w:val="02C132B2"/>
    <w:rsid w:val="033B1FDD"/>
    <w:rsid w:val="0379691B"/>
    <w:rsid w:val="0388769C"/>
    <w:rsid w:val="03CF7D8E"/>
    <w:rsid w:val="03DD612A"/>
    <w:rsid w:val="03F37758"/>
    <w:rsid w:val="04277569"/>
    <w:rsid w:val="049E3777"/>
    <w:rsid w:val="04AA7785"/>
    <w:rsid w:val="04E24654"/>
    <w:rsid w:val="04F73202"/>
    <w:rsid w:val="057A40CC"/>
    <w:rsid w:val="05CA131B"/>
    <w:rsid w:val="063A5C93"/>
    <w:rsid w:val="064A5629"/>
    <w:rsid w:val="06EF5D92"/>
    <w:rsid w:val="078F69A0"/>
    <w:rsid w:val="09405AF0"/>
    <w:rsid w:val="09475E50"/>
    <w:rsid w:val="09BC4137"/>
    <w:rsid w:val="09F00E3B"/>
    <w:rsid w:val="09F2092F"/>
    <w:rsid w:val="0A1C3478"/>
    <w:rsid w:val="0A200BAF"/>
    <w:rsid w:val="0A2032A3"/>
    <w:rsid w:val="0A8303C0"/>
    <w:rsid w:val="0B64718D"/>
    <w:rsid w:val="0B8A37D8"/>
    <w:rsid w:val="0BB3106B"/>
    <w:rsid w:val="0BE133C4"/>
    <w:rsid w:val="0C050C47"/>
    <w:rsid w:val="0CC36E72"/>
    <w:rsid w:val="0D0A2536"/>
    <w:rsid w:val="0D0F753F"/>
    <w:rsid w:val="0D5825D8"/>
    <w:rsid w:val="0DFA6539"/>
    <w:rsid w:val="0E0A401C"/>
    <w:rsid w:val="0E2177B8"/>
    <w:rsid w:val="0E2741A7"/>
    <w:rsid w:val="0E4312DC"/>
    <w:rsid w:val="0E796AAB"/>
    <w:rsid w:val="0EC87D19"/>
    <w:rsid w:val="0F115C3A"/>
    <w:rsid w:val="0F2F1911"/>
    <w:rsid w:val="0F386966"/>
    <w:rsid w:val="0F6E060D"/>
    <w:rsid w:val="101A6FC1"/>
    <w:rsid w:val="107D1E45"/>
    <w:rsid w:val="10BF33E1"/>
    <w:rsid w:val="10C055FF"/>
    <w:rsid w:val="10CD3161"/>
    <w:rsid w:val="111B4A43"/>
    <w:rsid w:val="11327891"/>
    <w:rsid w:val="118107EC"/>
    <w:rsid w:val="11835A46"/>
    <w:rsid w:val="11DD6519"/>
    <w:rsid w:val="11E3021C"/>
    <w:rsid w:val="11ED3D46"/>
    <w:rsid w:val="12C82F5F"/>
    <w:rsid w:val="130B144A"/>
    <w:rsid w:val="133B475F"/>
    <w:rsid w:val="13573257"/>
    <w:rsid w:val="1461411A"/>
    <w:rsid w:val="1469581F"/>
    <w:rsid w:val="14CD1E59"/>
    <w:rsid w:val="151D2886"/>
    <w:rsid w:val="15211788"/>
    <w:rsid w:val="15973CBB"/>
    <w:rsid w:val="15D57614"/>
    <w:rsid w:val="15F92A9C"/>
    <w:rsid w:val="163A4802"/>
    <w:rsid w:val="165923F8"/>
    <w:rsid w:val="16BB723D"/>
    <w:rsid w:val="171B2DF6"/>
    <w:rsid w:val="171B4F84"/>
    <w:rsid w:val="172A578D"/>
    <w:rsid w:val="172E6071"/>
    <w:rsid w:val="176E2253"/>
    <w:rsid w:val="1785593F"/>
    <w:rsid w:val="17AE0428"/>
    <w:rsid w:val="18015F3F"/>
    <w:rsid w:val="18503A79"/>
    <w:rsid w:val="186407F9"/>
    <w:rsid w:val="18EA2E6C"/>
    <w:rsid w:val="190527C4"/>
    <w:rsid w:val="19131F69"/>
    <w:rsid w:val="19C07D61"/>
    <w:rsid w:val="1A070F90"/>
    <w:rsid w:val="1A1C2996"/>
    <w:rsid w:val="1AD83CA9"/>
    <w:rsid w:val="1AF220BF"/>
    <w:rsid w:val="1B00156D"/>
    <w:rsid w:val="1B07682A"/>
    <w:rsid w:val="1B216501"/>
    <w:rsid w:val="1B230658"/>
    <w:rsid w:val="1B271851"/>
    <w:rsid w:val="1BE8440E"/>
    <w:rsid w:val="1BF978A3"/>
    <w:rsid w:val="1C1D0A2D"/>
    <w:rsid w:val="1CEC75AC"/>
    <w:rsid w:val="1CFA3641"/>
    <w:rsid w:val="1D083E1C"/>
    <w:rsid w:val="1D155CEE"/>
    <w:rsid w:val="1D453D13"/>
    <w:rsid w:val="1DE13B46"/>
    <w:rsid w:val="1DE303E5"/>
    <w:rsid w:val="1DE55F0B"/>
    <w:rsid w:val="1DEB2C8E"/>
    <w:rsid w:val="1DEF5CBE"/>
    <w:rsid w:val="1E1F1F35"/>
    <w:rsid w:val="1E2B78AF"/>
    <w:rsid w:val="1EA23279"/>
    <w:rsid w:val="1F0C7DD5"/>
    <w:rsid w:val="1F5C3A06"/>
    <w:rsid w:val="1F6C7CD0"/>
    <w:rsid w:val="20507353"/>
    <w:rsid w:val="20991071"/>
    <w:rsid w:val="20BE4CBC"/>
    <w:rsid w:val="20C75D9C"/>
    <w:rsid w:val="20F57F95"/>
    <w:rsid w:val="21001F34"/>
    <w:rsid w:val="216E39D3"/>
    <w:rsid w:val="21812F54"/>
    <w:rsid w:val="21FA633A"/>
    <w:rsid w:val="22B14EDE"/>
    <w:rsid w:val="230E1876"/>
    <w:rsid w:val="23136BA8"/>
    <w:rsid w:val="23201DC1"/>
    <w:rsid w:val="23EF1C03"/>
    <w:rsid w:val="23FF584D"/>
    <w:rsid w:val="240371BF"/>
    <w:rsid w:val="240A1236"/>
    <w:rsid w:val="2432552E"/>
    <w:rsid w:val="25911713"/>
    <w:rsid w:val="25AE3087"/>
    <w:rsid w:val="25C741E6"/>
    <w:rsid w:val="267E6EFD"/>
    <w:rsid w:val="27842671"/>
    <w:rsid w:val="27971291"/>
    <w:rsid w:val="27A2198E"/>
    <w:rsid w:val="27CB2786"/>
    <w:rsid w:val="27DE3530"/>
    <w:rsid w:val="27F21ACC"/>
    <w:rsid w:val="27FB1565"/>
    <w:rsid w:val="286A4887"/>
    <w:rsid w:val="28B529D3"/>
    <w:rsid w:val="28CD495B"/>
    <w:rsid w:val="28D23530"/>
    <w:rsid w:val="2929131F"/>
    <w:rsid w:val="293661E3"/>
    <w:rsid w:val="29B14490"/>
    <w:rsid w:val="29FD04D3"/>
    <w:rsid w:val="2A1619F8"/>
    <w:rsid w:val="2A1C3F0A"/>
    <w:rsid w:val="2A793611"/>
    <w:rsid w:val="2ABE7A3E"/>
    <w:rsid w:val="2AD413FE"/>
    <w:rsid w:val="2AE1376C"/>
    <w:rsid w:val="2AE8703B"/>
    <w:rsid w:val="2AF31337"/>
    <w:rsid w:val="2B326508"/>
    <w:rsid w:val="2B8C3E5A"/>
    <w:rsid w:val="2BC91C74"/>
    <w:rsid w:val="2BEE4F32"/>
    <w:rsid w:val="2C19358E"/>
    <w:rsid w:val="2C624BCB"/>
    <w:rsid w:val="2CB91C32"/>
    <w:rsid w:val="2CD30EEF"/>
    <w:rsid w:val="2D083BC1"/>
    <w:rsid w:val="2DCA6ECC"/>
    <w:rsid w:val="2DDE0A7D"/>
    <w:rsid w:val="2E33681F"/>
    <w:rsid w:val="2EC85B96"/>
    <w:rsid w:val="2EFA178C"/>
    <w:rsid w:val="2FB46C73"/>
    <w:rsid w:val="2FE36023"/>
    <w:rsid w:val="2FEE7CF0"/>
    <w:rsid w:val="2FF95846"/>
    <w:rsid w:val="30142680"/>
    <w:rsid w:val="30332202"/>
    <w:rsid w:val="30B46D73"/>
    <w:rsid w:val="30E8696A"/>
    <w:rsid w:val="31121BFA"/>
    <w:rsid w:val="316A7D7E"/>
    <w:rsid w:val="317E6DE0"/>
    <w:rsid w:val="319F7F4E"/>
    <w:rsid w:val="31CA4185"/>
    <w:rsid w:val="31CF4AB1"/>
    <w:rsid w:val="327E0568"/>
    <w:rsid w:val="32FE3BF1"/>
    <w:rsid w:val="3306762A"/>
    <w:rsid w:val="3327408D"/>
    <w:rsid w:val="333E2383"/>
    <w:rsid w:val="338D39DC"/>
    <w:rsid w:val="33DE5B77"/>
    <w:rsid w:val="3454129D"/>
    <w:rsid w:val="34926608"/>
    <w:rsid w:val="34BF7626"/>
    <w:rsid w:val="352E2138"/>
    <w:rsid w:val="357061C7"/>
    <w:rsid w:val="35D07686"/>
    <w:rsid w:val="360050D0"/>
    <w:rsid w:val="36414C4A"/>
    <w:rsid w:val="36527A69"/>
    <w:rsid w:val="36892A2D"/>
    <w:rsid w:val="36A952BD"/>
    <w:rsid w:val="36B3674F"/>
    <w:rsid w:val="36C546D4"/>
    <w:rsid w:val="36C8200D"/>
    <w:rsid w:val="370D1D9C"/>
    <w:rsid w:val="374E0226"/>
    <w:rsid w:val="37523789"/>
    <w:rsid w:val="375E2879"/>
    <w:rsid w:val="37645C9B"/>
    <w:rsid w:val="379548CF"/>
    <w:rsid w:val="37A4253C"/>
    <w:rsid w:val="38363FA3"/>
    <w:rsid w:val="3892494B"/>
    <w:rsid w:val="38957564"/>
    <w:rsid w:val="38AE1E66"/>
    <w:rsid w:val="38ED7EFC"/>
    <w:rsid w:val="399E647D"/>
    <w:rsid w:val="39AE70AB"/>
    <w:rsid w:val="39F65AB0"/>
    <w:rsid w:val="3A1133C3"/>
    <w:rsid w:val="3A39340F"/>
    <w:rsid w:val="3AB331C1"/>
    <w:rsid w:val="3AB40D71"/>
    <w:rsid w:val="3AD9074E"/>
    <w:rsid w:val="3ADB31F3"/>
    <w:rsid w:val="3AE16E59"/>
    <w:rsid w:val="3AE945FA"/>
    <w:rsid w:val="3B181276"/>
    <w:rsid w:val="3B4F3267"/>
    <w:rsid w:val="3BB01F6D"/>
    <w:rsid w:val="3BF05D4F"/>
    <w:rsid w:val="3C074E47"/>
    <w:rsid w:val="3C0C0783"/>
    <w:rsid w:val="3C1F5AF9"/>
    <w:rsid w:val="3C336DD6"/>
    <w:rsid w:val="3C5436C0"/>
    <w:rsid w:val="3CC64D02"/>
    <w:rsid w:val="3CCD02BB"/>
    <w:rsid w:val="3D593035"/>
    <w:rsid w:val="3DCB0822"/>
    <w:rsid w:val="3E1F3EA3"/>
    <w:rsid w:val="3F344CBD"/>
    <w:rsid w:val="3F486F4A"/>
    <w:rsid w:val="3F6836EF"/>
    <w:rsid w:val="3F9D5B27"/>
    <w:rsid w:val="3F9F3A96"/>
    <w:rsid w:val="406030D8"/>
    <w:rsid w:val="407F3B46"/>
    <w:rsid w:val="41B77860"/>
    <w:rsid w:val="42920EC7"/>
    <w:rsid w:val="43455594"/>
    <w:rsid w:val="4443663B"/>
    <w:rsid w:val="445578F7"/>
    <w:rsid w:val="44E55E94"/>
    <w:rsid w:val="458639F5"/>
    <w:rsid w:val="45F90F00"/>
    <w:rsid w:val="46130FB8"/>
    <w:rsid w:val="465E5CDF"/>
    <w:rsid w:val="466562EF"/>
    <w:rsid w:val="46CC75EC"/>
    <w:rsid w:val="46DC43A9"/>
    <w:rsid w:val="476C3267"/>
    <w:rsid w:val="479F1711"/>
    <w:rsid w:val="481331A1"/>
    <w:rsid w:val="481B403D"/>
    <w:rsid w:val="482A083B"/>
    <w:rsid w:val="490E2E97"/>
    <w:rsid w:val="49131136"/>
    <w:rsid w:val="493C27E9"/>
    <w:rsid w:val="49530939"/>
    <w:rsid w:val="496F39ED"/>
    <w:rsid w:val="49751537"/>
    <w:rsid w:val="49FF41D3"/>
    <w:rsid w:val="4B3D0885"/>
    <w:rsid w:val="4B5300A9"/>
    <w:rsid w:val="4B85527F"/>
    <w:rsid w:val="4B85728F"/>
    <w:rsid w:val="4B95246F"/>
    <w:rsid w:val="4BA848E9"/>
    <w:rsid w:val="4BE068DB"/>
    <w:rsid w:val="4BF6002B"/>
    <w:rsid w:val="4C2537F3"/>
    <w:rsid w:val="4CAB3C98"/>
    <w:rsid w:val="4D147911"/>
    <w:rsid w:val="4D354AD5"/>
    <w:rsid w:val="4D383E18"/>
    <w:rsid w:val="4D754306"/>
    <w:rsid w:val="4D791415"/>
    <w:rsid w:val="4D8B3B2A"/>
    <w:rsid w:val="4D914D6E"/>
    <w:rsid w:val="4DCB7FE7"/>
    <w:rsid w:val="4E1E04FA"/>
    <w:rsid w:val="4E5765AE"/>
    <w:rsid w:val="4E8A0DBC"/>
    <w:rsid w:val="4ECE2238"/>
    <w:rsid w:val="4F2935FA"/>
    <w:rsid w:val="4F3D316D"/>
    <w:rsid w:val="4FC20988"/>
    <w:rsid w:val="4FCC3F86"/>
    <w:rsid w:val="4FDF5532"/>
    <w:rsid w:val="5067063D"/>
    <w:rsid w:val="51410B71"/>
    <w:rsid w:val="519A3325"/>
    <w:rsid w:val="519A3FDB"/>
    <w:rsid w:val="51DB4B86"/>
    <w:rsid w:val="52A631B4"/>
    <w:rsid w:val="52CF44B9"/>
    <w:rsid w:val="5310038D"/>
    <w:rsid w:val="53207D15"/>
    <w:rsid w:val="53834017"/>
    <w:rsid w:val="548F29DD"/>
    <w:rsid w:val="55333C3E"/>
    <w:rsid w:val="555C599A"/>
    <w:rsid w:val="555E33DF"/>
    <w:rsid w:val="556810DC"/>
    <w:rsid w:val="5571412F"/>
    <w:rsid w:val="561E0EFD"/>
    <w:rsid w:val="56812E3F"/>
    <w:rsid w:val="56852D09"/>
    <w:rsid w:val="572F00F3"/>
    <w:rsid w:val="57904B6D"/>
    <w:rsid w:val="583312E4"/>
    <w:rsid w:val="58344B95"/>
    <w:rsid w:val="5862192B"/>
    <w:rsid w:val="58DE3DB1"/>
    <w:rsid w:val="5A044A98"/>
    <w:rsid w:val="5A2F1813"/>
    <w:rsid w:val="5ACA18CC"/>
    <w:rsid w:val="5B5D52DE"/>
    <w:rsid w:val="5B94004E"/>
    <w:rsid w:val="5BA42E2A"/>
    <w:rsid w:val="5C507542"/>
    <w:rsid w:val="5CC62FD7"/>
    <w:rsid w:val="5CE16EF2"/>
    <w:rsid w:val="5D1019D4"/>
    <w:rsid w:val="5D1B43E3"/>
    <w:rsid w:val="5D1F603D"/>
    <w:rsid w:val="5D344AC1"/>
    <w:rsid w:val="5D4B5084"/>
    <w:rsid w:val="5E5E29F5"/>
    <w:rsid w:val="5ED67A28"/>
    <w:rsid w:val="5F1A6ABC"/>
    <w:rsid w:val="5F5E12A0"/>
    <w:rsid w:val="5FC555D0"/>
    <w:rsid w:val="5FDB799B"/>
    <w:rsid w:val="603C7160"/>
    <w:rsid w:val="608A5EC3"/>
    <w:rsid w:val="6235479C"/>
    <w:rsid w:val="62441C88"/>
    <w:rsid w:val="62906686"/>
    <w:rsid w:val="62DC2E62"/>
    <w:rsid w:val="62EA51E0"/>
    <w:rsid w:val="630B1871"/>
    <w:rsid w:val="6320036E"/>
    <w:rsid w:val="63234CF0"/>
    <w:rsid w:val="638F6A62"/>
    <w:rsid w:val="63974B7F"/>
    <w:rsid w:val="63BE4BDA"/>
    <w:rsid w:val="63CC79FC"/>
    <w:rsid w:val="649A3F22"/>
    <w:rsid w:val="64C30B76"/>
    <w:rsid w:val="64CA39A1"/>
    <w:rsid w:val="64FF67E8"/>
    <w:rsid w:val="652A61B3"/>
    <w:rsid w:val="652B6C79"/>
    <w:rsid w:val="65E816C2"/>
    <w:rsid w:val="666351EC"/>
    <w:rsid w:val="66AB0CFD"/>
    <w:rsid w:val="67504A61"/>
    <w:rsid w:val="68E656F6"/>
    <w:rsid w:val="690205FA"/>
    <w:rsid w:val="69201F35"/>
    <w:rsid w:val="69251E17"/>
    <w:rsid w:val="697F233D"/>
    <w:rsid w:val="6A850781"/>
    <w:rsid w:val="6A924C64"/>
    <w:rsid w:val="6B2830C1"/>
    <w:rsid w:val="6B2A452A"/>
    <w:rsid w:val="6BA93FD3"/>
    <w:rsid w:val="6BB9765C"/>
    <w:rsid w:val="6C4A05C8"/>
    <w:rsid w:val="6CA40852"/>
    <w:rsid w:val="6CA94952"/>
    <w:rsid w:val="6CB664B5"/>
    <w:rsid w:val="6CE00231"/>
    <w:rsid w:val="6CF73551"/>
    <w:rsid w:val="6D0820D5"/>
    <w:rsid w:val="6D3330C7"/>
    <w:rsid w:val="6D6E1218"/>
    <w:rsid w:val="6D88378A"/>
    <w:rsid w:val="6DA661AA"/>
    <w:rsid w:val="6E405E13"/>
    <w:rsid w:val="6E7D0E15"/>
    <w:rsid w:val="6EDF6561"/>
    <w:rsid w:val="6F80024F"/>
    <w:rsid w:val="6F833714"/>
    <w:rsid w:val="6F8C67DC"/>
    <w:rsid w:val="6FCA1BDC"/>
    <w:rsid w:val="7051626E"/>
    <w:rsid w:val="70687B40"/>
    <w:rsid w:val="7071519B"/>
    <w:rsid w:val="70844B58"/>
    <w:rsid w:val="70ED448B"/>
    <w:rsid w:val="714C44A7"/>
    <w:rsid w:val="71997D14"/>
    <w:rsid w:val="72326261"/>
    <w:rsid w:val="72734D90"/>
    <w:rsid w:val="72D92DF3"/>
    <w:rsid w:val="73572DF1"/>
    <w:rsid w:val="73793D13"/>
    <w:rsid w:val="73C848E1"/>
    <w:rsid w:val="74275AAB"/>
    <w:rsid w:val="7447614D"/>
    <w:rsid w:val="74D07EF1"/>
    <w:rsid w:val="74D35255"/>
    <w:rsid w:val="74F05E58"/>
    <w:rsid w:val="75AA6994"/>
    <w:rsid w:val="76073707"/>
    <w:rsid w:val="7609022B"/>
    <w:rsid w:val="762713D4"/>
    <w:rsid w:val="767B46B5"/>
    <w:rsid w:val="76DB582E"/>
    <w:rsid w:val="77E67A2B"/>
    <w:rsid w:val="78000AED"/>
    <w:rsid w:val="78C90B7D"/>
    <w:rsid w:val="792C6E5F"/>
    <w:rsid w:val="79881F57"/>
    <w:rsid w:val="79921F40"/>
    <w:rsid w:val="79D65C49"/>
    <w:rsid w:val="79E7B28D"/>
    <w:rsid w:val="7A1A1C0E"/>
    <w:rsid w:val="7AF661D7"/>
    <w:rsid w:val="7B3B61F4"/>
    <w:rsid w:val="7B421039"/>
    <w:rsid w:val="7B995CC8"/>
    <w:rsid w:val="7BAE4231"/>
    <w:rsid w:val="7BE75944"/>
    <w:rsid w:val="7BF24577"/>
    <w:rsid w:val="7CEF4A90"/>
    <w:rsid w:val="7D08140F"/>
    <w:rsid w:val="7D2E7EAA"/>
    <w:rsid w:val="7D513E64"/>
    <w:rsid w:val="7D733B0F"/>
    <w:rsid w:val="7D821FA4"/>
    <w:rsid w:val="7D9B3F7A"/>
    <w:rsid w:val="7DC9403A"/>
    <w:rsid w:val="7DC97FEE"/>
    <w:rsid w:val="7DEB2DBF"/>
    <w:rsid w:val="7E371451"/>
    <w:rsid w:val="7E385C67"/>
    <w:rsid w:val="7E3E236F"/>
    <w:rsid w:val="7E6D4A02"/>
    <w:rsid w:val="7EC10CE9"/>
    <w:rsid w:val="7ECA53B7"/>
    <w:rsid w:val="7F343772"/>
    <w:rsid w:val="7F3B240A"/>
    <w:rsid w:val="7F466FDA"/>
    <w:rsid w:val="7F7122D0"/>
    <w:rsid w:val="7F971C6A"/>
    <w:rsid w:val="7F9F20EE"/>
    <w:rsid w:val="7FC25586"/>
    <w:rsid w:val="7FEF0525"/>
    <w:rsid w:val="9E3A10E2"/>
    <w:rsid w:val="F2E1F9D4"/>
    <w:rsid w:val="F78808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6"/>
    <w:next w:val="6"/>
    <w:link w:val="43"/>
    <w:unhideWhenUsed/>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34"/>
    <w:qFormat/>
    <w:uiPriority w:val="99"/>
    <w:pPr>
      <w:tabs>
        <w:tab w:val="center" w:pos="4153"/>
        <w:tab w:val="right" w:pos="8306"/>
      </w:tabs>
      <w:snapToGrid w:val="0"/>
      <w:jc w:val="left"/>
    </w:pPr>
    <w:rPr>
      <w:rFonts w:ascii="Calibri" w:hAnsi="Calibri"/>
      <w:kern w:val="0"/>
      <w:sz w:val="18"/>
      <w:szCs w:val="18"/>
    </w:rPr>
  </w:style>
  <w:style w:type="paragraph" w:customStyle="1" w:styleId="6">
    <w:name w:val="汇政正文"/>
    <w:basedOn w:val="1"/>
    <w:qFormat/>
    <w:uiPriority w:val="3"/>
    <w:pPr>
      <w:spacing w:line="600" w:lineRule="exact"/>
      <w:ind w:firstLine="640" w:firstLineChars="200"/>
    </w:pPr>
    <w:rPr>
      <w:rFonts w:ascii="Times New Roman" w:hAnsi="Times New Roman" w:eastAsia="仿宋_GB2312" w:cs="Times New Roman"/>
      <w:kern w:val="0"/>
      <w:sz w:val="32"/>
      <w:szCs w:val="28"/>
      <w:lang w:val="zh-CN"/>
    </w:rPr>
  </w:style>
  <w:style w:type="paragraph" w:styleId="7">
    <w:name w:val="Normal Indent"/>
    <w:basedOn w:val="1"/>
    <w:qFormat/>
    <w:uiPriority w:val="0"/>
    <w:pPr>
      <w:ind w:firstLine="420" w:firstLineChars="200"/>
    </w:pPr>
  </w:style>
  <w:style w:type="paragraph" w:styleId="8">
    <w:name w:val="Salutation"/>
    <w:basedOn w:val="1"/>
    <w:next w:val="1"/>
    <w:qFormat/>
    <w:uiPriority w:val="0"/>
  </w:style>
  <w:style w:type="paragraph" w:styleId="9">
    <w:name w:val="Body Text"/>
    <w:basedOn w:val="1"/>
    <w:next w:val="1"/>
    <w:link w:val="36"/>
    <w:qFormat/>
    <w:uiPriority w:val="99"/>
    <w:pPr>
      <w:spacing w:beforeLines="30"/>
    </w:pPr>
    <w:rPr>
      <w:rFonts w:ascii="仿宋_GB2312" w:eastAsia="仿宋_GB2312"/>
      <w:kern w:val="0"/>
      <w:sz w:val="30"/>
    </w:rPr>
  </w:style>
  <w:style w:type="paragraph" w:styleId="10">
    <w:name w:val="Body Text Indent"/>
    <w:basedOn w:val="1"/>
    <w:qFormat/>
    <w:uiPriority w:val="99"/>
    <w:pPr>
      <w:ind w:left="420" w:leftChars="200"/>
    </w:pPr>
  </w:style>
  <w:style w:type="paragraph" w:styleId="11">
    <w:name w:val="toc 3"/>
    <w:basedOn w:val="1"/>
    <w:next w:val="1"/>
    <w:unhideWhenUsed/>
    <w:qFormat/>
    <w:uiPriority w:val="39"/>
    <w:pPr>
      <w:tabs>
        <w:tab w:val="right" w:leader="dot" w:pos="8296"/>
      </w:tabs>
      <w:ind w:left="840" w:leftChars="400"/>
    </w:pPr>
  </w:style>
  <w:style w:type="paragraph" w:styleId="12">
    <w:name w:val="Plain Text"/>
    <w:basedOn w:val="1"/>
    <w:qFormat/>
    <w:uiPriority w:val="99"/>
    <w:rPr>
      <w:rFonts w:ascii="宋体" w:hAnsi="Courier New" w:eastAsia="宋体"/>
      <w:szCs w:val="21"/>
    </w:rPr>
  </w:style>
  <w:style w:type="paragraph" w:styleId="13">
    <w:name w:val="Balloon Text"/>
    <w:basedOn w:val="1"/>
    <w:link w:val="42"/>
    <w:semiHidden/>
    <w:unhideWhenUsed/>
    <w:qFormat/>
    <w:uiPriority w:val="99"/>
    <w:rPr>
      <w:sz w:val="18"/>
      <w:szCs w:val="18"/>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able of figures"/>
    <w:basedOn w:val="1"/>
    <w:next w:val="1"/>
    <w:unhideWhenUsed/>
    <w:qFormat/>
    <w:uiPriority w:val="99"/>
    <w:pPr>
      <w:ind w:left="200" w:leftChars="200" w:hanging="200" w:hangingChars="200"/>
    </w:pPr>
    <w:rPr>
      <w:rFonts w:ascii="Times New Roman" w:eastAsia="仿宋_GB2312"/>
      <w:sz w:val="32"/>
      <w:szCs w:val="24"/>
    </w:rPr>
  </w:style>
  <w:style w:type="paragraph" w:styleId="17">
    <w:name w:val="toc 2"/>
    <w:basedOn w:val="1"/>
    <w:next w:val="1"/>
    <w:unhideWhenUsed/>
    <w:qFormat/>
    <w:uiPriority w:val="39"/>
    <w:pPr>
      <w:tabs>
        <w:tab w:val="right" w:leader="dot" w:pos="8296"/>
      </w:tabs>
      <w:ind w:left="420" w:leftChars="200"/>
    </w:p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Title"/>
    <w:basedOn w:val="1"/>
    <w:next w:val="1"/>
    <w:qFormat/>
    <w:uiPriority w:val="0"/>
    <w:pPr>
      <w:spacing w:before="240" w:after="60"/>
      <w:jc w:val="center"/>
      <w:outlineLvl w:val="0"/>
    </w:pPr>
    <w:rPr>
      <w:rFonts w:ascii="Arial" w:hAnsi="Arial" w:cs="Arial"/>
      <w:b/>
      <w:bCs/>
      <w:szCs w:val="32"/>
    </w:rPr>
  </w:style>
  <w:style w:type="paragraph" w:styleId="20">
    <w:name w:val="Body Text First Indent"/>
    <w:basedOn w:val="9"/>
    <w:unhideWhenUsed/>
    <w:qFormat/>
    <w:uiPriority w:val="99"/>
    <w:pPr>
      <w:ind w:firstLine="420" w:firstLineChars="100"/>
    </w:pPr>
  </w:style>
  <w:style w:type="paragraph" w:styleId="21">
    <w:name w:val="Body Text First Indent 2"/>
    <w:basedOn w:val="10"/>
    <w:qFormat/>
    <w:uiPriority w:val="99"/>
    <w:pPr>
      <w:ind w:firstLine="420" w:firstLineChars="200"/>
    </w:pPr>
  </w:style>
  <w:style w:type="table" w:styleId="23">
    <w:name w:val="Table Grid"/>
    <w:basedOn w:val="22"/>
    <w:qFormat/>
    <w:uiPriority w:val="39"/>
    <w:pPr>
      <w:spacing w:line="300" w:lineRule="exact"/>
      <w:jc w:val="center"/>
    </w:pPr>
    <w:rPr>
      <w:rFonts w:eastAsia="仿宋_GB231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blHeader/>
    </w:trPr>
    <w:tcPr>
      <w:vAlign w:val="center"/>
    </w:tcPr>
  </w:style>
  <w:style w:type="character" w:styleId="25">
    <w:name w:val="Strong"/>
    <w:basedOn w:val="24"/>
    <w:qFormat/>
    <w:uiPriority w:val="99"/>
    <w:rPr>
      <w:b/>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paragraph" w:customStyle="1" w:styleId="27">
    <w:name w:val="图表目录1"/>
    <w:basedOn w:val="28"/>
    <w:next w:val="1"/>
    <w:qFormat/>
    <w:uiPriority w:val="0"/>
    <w:pPr>
      <w:ind w:left="200" w:leftChars="200" w:hanging="200" w:hangingChars="200"/>
    </w:pPr>
    <w:rPr>
      <w:rFonts w:eastAsia="仿宋_GB2312"/>
      <w:sz w:val="32"/>
      <w:szCs w:val="24"/>
    </w:rPr>
  </w:style>
  <w:style w:type="paragraph" w:customStyle="1" w:styleId="28">
    <w:name w:val="Normal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29">
    <w:name w:val="报告正文"/>
    <w:basedOn w:val="1"/>
    <w:qFormat/>
    <w:uiPriority w:val="0"/>
    <w:pPr>
      <w:spacing w:line="600" w:lineRule="exact"/>
      <w:ind w:firstLine="200" w:firstLineChars="200"/>
    </w:pPr>
    <w:rPr>
      <w:rFonts w:ascii="Times New Roman" w:hAnsi="Times New Roman" w:eastAsia="仿宋" w:cs="Times New Roman"/>
      <w:kern w:val="0"/>
      <w:sz w:val="32"/>
      <w:szCs w:val="28"/>
      <w:lang w:val="zh-CN"/>
    </w:rPr>
  </w:style>
  <w:style w:type="paragraph" w:customStyle="1" w:styleId="30">
    <w:name w:val="table of figures1"/>
    <w:basedOn w:val="1"/>
    <w:next w:val="1"/>
    <w:qFormat/>
    <w:uiPriority w:val="0"/>
    <w:pPr>
      <w:ind w:left="200" w:leftChars="200" w:hanging="200" w:hangingChars="200"/>
    </w:pPr>
    <w:rPr>
      <w:rFonts w:hint="default" w:ascii="Times New Roman" w:eastAsia="仿宋_GB2312"/>
      <w:sz w:val="32"/>
      <w:szCs w:val="24"/>
    </w:rPr>
  </w:style>
  <w:style w:type="character" w:customStyle="1" w:styleId="31">
    <w:name w:val="Header Char"/>
    <w:basedOn w:val="24"/>
    <w:semiHidden/>
    <w:qFormat/>
    <w:uiPriority w:val="99"/>
    <w:rPr>
      <w:rFonts w:ascii="Times New Roman" w:hAnsi="Times New Roman"/>
      <w:sz w:val="18"/>
      <w:szCs w:val="18"/>
    </w:rPr>
  </w:style>
  <w:style w:type="character" w:customStyle="1" w:styleId="32">
    <w:name w:val="页眉 Char"/>
    <w:link w:val="14"/>
    <w:semiHidden/>
    <w:qFormat/>
    <w:locked/>
    <w:uiPriority w:val="99"/>
    <w:rPr>
      <w:sz w:val="18"/>
    </w:rPr>
  </w:style>
  <w:style w:type="character" w:customStyle="1" w:styleId="33">
    <w:name w:val="Footer Char"/>
    <w:basedOn w:val="24"/>
    <w:semiHidden/>
    <w:qFormat/>
    <w:uiPriority w:val="99"/>
    <w:rPr>
      <w:rFonts w:ascii="Times New Roman" w:hAnsi="Times New Roman"/>
      <w:sz w:val="18"/>
      <w:szCs w:val="18"/>
    </w:rPr>
  </w:style>
  <w:style w:type="character" w:customStyle="1" w:styleId="34">
    <w:name w:val="页脚 Char"/>
    <w:link w:val="2"/>
    <w:qFormat/>
    <w:locked/>
    <w:uiPriority w:val="99"/>
    <w:rPr>
      <w:sz w:val="18"/>
    </w:rPr>
  </w:style>
  <w:style w:type="character" w:customStyle="1" w:styleId="35">
    <w:name w:val="Body Text Char"/>
    <w:basedOn w:val="24"/>
    <w:semiHidden/>
    <w:qFormat/>
    <w:uiPriority w:val="99"/>
    <w:rPr>
      <w:rFonts w:ascii="Times New Roman" w:hAnsi="Times New Roman"/>
      <w:szCs w:val="24"/>
    </w:rPr>
  </w:style>
  <w:style w:type="character" w:customStyle="1" w:styleId="36">
    <w:name w:val="正文文本 Char"/>
    <w:link w:val="9"/>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8">
    <w:name w:val="List Paragraph"/>
    <w:basedOn w:val="1"/>
    <w:qFormat/>
    <w:uiPriority w:val="34"/>
    <w:pPr>
      <w:ind w:firstLine="420" w:firstLineChars="200"/>
    </w:pPr>
  </w:style>
  <w:style w:type="character" w:customStyle="1" w:styleId="39">
    <w:name w:val="标题 1 Char"/>
    <w:basedOn w:val="24"/>
    <w:link w:val="3"/>
    <w:qFormat/>
    <w:uiPriority w:val="9"/>
    <w:rPr>
      <w:rFonts w:ascii="Times New Roman" w:hAnsi="Times New Roman"/>
      <w:b/>
      <w:bCs/>
      <w:kern w:val="44"/>
      <w:sz w:val="44"/>
      <w:szCs w:val="44"/>
    </w:rPr>
  </w:style>
  <w:style w:type="character" w:customStyle="1" w:styleId="40">
    <w:name w:val="标题 2 Char"/>
    <w:basedOn w:val="24"/>
    <w:link w:val="4"/>
    <w:qFormat/>
    <w:uiPriority w:val="9"/>
    <w:rPr>
      <w:rFonts w:asciiTheme="majorHAnsi" w:hAnsiTheme="majorHAnsi" w:eastAsiaTheme="majorEastAsia" w:cstheme="majorBidi"/>
      <w:b/>
      <w:bCs/>
      <w:kern w:val="2"/>
      <w:sz w:val="32"/>
      <w:szCs w:val="32"/>
    </w:rPr>
  </w:style>
  <w:style w:type="paragraph" w:customStyle="1" w:styleId="4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2">
    <w:name w:val="批注框文本 Char"/>
    <w:basedOn w:val="24"/>
    <w:link w:val="13"/>
    <w:semiHidden/>
    <w:qFormat/>
    <w:uiPriority w:val="99"/>
    <w:rPr>
      <w:rFonts w:ascii="Times New Roman" w:hAnsi="Times New Roman"/>
      <w:kern w:val="2"/>
      <w:sz w:val="18"/>
      <w:szCs w:val="18"/>
    </w:rPr>
  </w:style>
  <w:style w:type="character" w:customStyle="1" w:styleId="43">
    <w:name w:val="标题 3 Char"/>
    <w:basedOn w:val="24"/>
    <w:link w:val="5"/>
    <w:qFormat/>
    <w:uiPriority w:val="9"/>
    <w:rPr>
      <w:rFonts w:ascii="Times New Roman" w:hAnsi="Times New Roman"/>
      <w:b/>
      <w:bCs/>
      <w:kern w:val="2"/>
      <w:sz w:val="32"/>
      <w:szCs w:val="32"/>
    </w:rPr>
  </w:style>
  <w:style w:type="paragraph" w:customStyle="1" w:styleId="4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5">
    <w:name w:val="WPSOffice手动目录 1"/>
    <w:qFormat/>
    <w:uiPriority w:val="0"/>
    <w:pPr>
      <w:ind w:leftChars="0"/>
    </w:pPr>
    <w:rPr>
      <w:rFonts w:ascii="Times New Roman" w:hAnsi="Times New Roman" w:eastAsia="宋体" w:cs="Times New Roman"/>
      <w:sz w:val="20"/>
      <w:szCs w:val="20"/>
    </w:rPr>
  </w:style>
  <w:style w:type="paragraph" w:customStyle="1" w:styleId="46">
    <w:name w:val="WPSOffice手动目录 2"/>
    <w:qFormat/>
    <w:uiPriority w:val="0"/>
    <w:pPr>
      <w:ind w:leftChars="200"/>
    </w:pPr>
    <w:rPr>
      <w:rFonts w:ascii="Times New Roman" w:hAnsi="Times New Roman" w:eastAsia="宋体" w:cs="Times New Roman"/>
      <w:sz w:val="20"/>
      <w:szCs w:val="20"/>
    </w:rPr>
  </w:style>
  <w:style w:type="paragraph" w:customStyle="1" w:styleId="47">
    <w:name w:val="〖C01〗正文"/>
    <w:basedOn w:val="1"/>
    <w:qFormat/>
    <w:uiPriority w:val="0"/>
    <w:pPr>
      <w:topLinePunct/>
      <w:spacing w:line="600" w:lineRule="exact"/>
      <w:ind w:firstLine="640" w:firstLineChars="200"/>
    </w:pPr>
    <w:rPr>
      <w:rFonts w:ascii="仿宋_GB2312" w:hAnsi="Calibri" w:eastAsia="仿宋_GB2312"/>
      <w:sz w:val="32"/>
      <w:szCs w:val="32"/>
    </w:rPr>
  </w:style>
  <w:style w:type="paragraph" w:customStyle="1" w:styleId="48">
    <w:name w:val="〖B03〗三级标题"/>
    <w:basedOn w:val="1"/>
    <w:qFormat/>
    <w:uiPriority w:val="0"/>
    <w:pPr>
      <w:numPr>
        <w:ilvl w:val="0"/>
        <w:numId w:val="1"/>
      </w:numPr>
      <w:topLinePunct/>
      <w:spacing w:line="600" w:lineRule="exact"/>
      <w:outlineLvl w:val="2"/>
    </w:pPr>
    <w:rPr>
      <w:rFonts w:ascii="楷体_GB2312" w:hAnsi="Calibri" w:eastAsia="楷体_GB2312"/>
      <w:sz w:val="32"/>
      <w:szCs w:val="32"/>
    </w:rPr>
  </w:style>
  <w:style w:type="character" w:customStyle="1" w:styleId="49">
    <w:name w:val="NormalCharacter"/>
    <w:semiHidden/>
    <w:qFormat/>
    <w:uiPriority w:val="99"/>
  </w:style>
  <w:style w:type="paragraph" w:styleId="5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font61"/>
    <w:qFormat/>
    <w:uiPriority w:val="0"/>
    <w:rPr>
      <w:rFonts w:hint="default" w:ascii="Times New Roman" w:hAnsi="Times New Roman" w:eastAsia="楷体_GB2312" w:cs="Times New Roman"/>
      <w:sz w:val="32"/>
      <w:szCs w:val="24"/>
    </w:rPr>
  </w:style>
  <w:style w:type="paragraph" w:customStyle="1" w:styleId="52">
    <w:name w:val="图表名"/>
    <w:basedOn w:val="1"/>
    <w:qFormat/>
    <w:uiPriority w:val="4"/>
    <w:pPr>
      <w:spacing w:before="60" w:after="60"/>
      <w:jc w:val="center"/>
    </w:pPr>
    <w:rPr>
      <w:rFonts w:ascii="Times New Roman" w:hAnsi="Times New Roman" w:eastAsia="仿宋_GB2312" w:cs="Times New Roman"/>
      <w:b/>
      <w:kern w:val="0"/>
      <w:sz w:val="24"/>
      <w:szCs w:val="28"/>
    </w:rPr>
  </w:style>
  <w:style w:type="paragraph" w:customStyle="1" w:styleId="53">
    <w:name w:val="表文字"/>
    <w:basedOn w:val="29"/>
    <w:qFormat/>
    <w:uiPriority w:val="5"/>
    <w:pPr>
      <w:widowControl/>
      <w:pBdr>
        <w:between w:val="single" w:color="auto" w:sz="4" w:space="1"/>
      </w:pBdr>
      <w:spacing w:line="320" w:lineRule="exact"/>
      <w:ind w:firstLine="0" w:firstLineChars="0"/>
      <w:jc w:val="center"/>
    </w:pPr>
    <w:rPr>
      <w:rFonts w:cs="宋体"/>
      <w:bCs/>
      <w:color w:val="000000"/>
      <w:sz w:val="22"/>
    </w:rPr>
  </w:style>
  <w:style w:type="paragraph" w:customStyle="1" w:styleId="54">
    <w:name w:val="汇政正文-最终版"/>
    <w:basedOn w:val="1"/>
    <w:qFormat/>
    <w:uiPriority w:val="3"/>
    <w:pPr>
      <w:spacing w:line="600" w:lineRule="exact"/>
      <w:ind w:firstLine="200" w:firstLineChars="200"/>
    </w:pPr>
    <w:rPr>
      <w:rFonts w:ascii="Times New Roman" w:hAnsi="Times New Roman" w:eastAsia="仿宋_GB2312" w:cs="Times New Roman"/>
      <w:kern w:val="0"/>
      <w:sz w:val="32"/>
      <w:szCs w:val="28"/>
      <w:lang w:val="zh-CN"/>
    </w:rPr>
  </w:style>
  <w:style w:type="character" w:customStyle="1" w:styleId="55">
    <w:name w:val="font11"/>
    <w:basedOn w:val="24"/>
    <w:qFormat/>
    <w:uiPriority w:val="0"/>
    <w:rPr>
      <w:rFonts w:hint="eastAsia" w:ascii="宋体" w:hAnsi="宋体" w:eastAsia="宋体" w:cs="宋体"/>
      <w:color w:val="333333"/>
      <w:sz w:val="20"/>
      <w:szCs w:val="20"/>
      <w:u w:val="none"/>
    </w:rPr>
  </w:style>
  <w:style w:type="paragraph" w:customStyle="1" w:styleId="56">
    <w:name w:val="四号正文"/>
    <w:basedOn w:val="1"/>
    <w:qFormat/>
    <w:uiPriority w:val="0"/>
    <w:pPr>
      <w:spacing w:line="360" w:lineRule="auto"/>
    </w:pPr>
    <w:rPr>
      <w:rFonts w:ascii="??" w:hAnsi="??"/>
      <w:color w:val="000000"/>
      <w:kern w:val="0"/>
      <w:sz w:val="28"/>
      <w:szCs w:val="21"/>
      <w:lang w:val="zh-CN"/>
    </w:rPr>
  </w:style>
  <w:style w:type="paragraph" w:customStyle="1" w:styleId="57">
    <w:name w:val="〖B02〗二级标题"/>
    <w:next w:val="1"/>
    <w:qFormat/>
    <w:uiPriority w:val="0"/>
    <w:pPr>
      <w:widowControl w:val="0"/>
      <w:numPr>
        <w:ilvl w:val="0"/>
        <w:numId w:val="2"/>
      </w:numPr>
      <w:spacing w:line="600" w:lineRule="exact"/>
      <w:outlineLvl w:val="1"/>
    </w:pPr>
    <w:rPr>
      <w:rFonts w:ascii="楷体_GB2312" w:hAnsi="Calibri" w:eastAsia="楷体_GB2312" w:cs="Times New Roman"/>
      <w:kern w:val="2"/>
      <w:sz w:val="32"/>
      <w:szCs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1.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2.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2021年</c:v>
                </c:pt>
              </c:strCache>
            </c:strRef>
          </c:tx>
          <c:spPr>
            <a:solidFill>
              <a:srgbClr val="16697A"/>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收支总计（万元）</c:v>
                </c:pt>
              </c:strCache>
            </c:strRef>
          </c:cat>
          <c:val>
            <c:numRef>
              <c:f>Sheet1!$B$2</c:f>
              <c:numCache>
                <c:formatCode>General</c:formatCode>
                <c:ptCount val="1"/>
                <c:pt idx="0">
                  <c:v>246.15</c:v>
                </c:pt>
              </c:numCache>
            </c:numRef>
          </c:val>
        </c:ser>
        <c:ser>
          <c:idx val="1"/>
          <c:order val="1"/>
          <c:tx>
            <c:strRef>
              <c:f>Sheet1!$C$1</c:f>
              <c:strCache>
                <c:ptCount val="1"/>
                <c:pt idx="0">
                  <c:v>2022年</c:v>
                </c:pt>
              </c:strCache>
            </c:strRef>
          </c:tx>
          <c:spPr>
            <a:solidFill>
              <a:srgbClr val="489FB5"/>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收支总计（万元）</c:v>
                </c:pt>
              </c:strCache>
            </c:strRef>
          </c:cat>
          <c:val>
            <c:numRef>
              <c:f>Sheet1!$C$2</c:f>
              <c:numCache>
                <c:formatCode>General</c:formatCode>
                <c:ptCount val="1"/>
                <c:pt idx="0">
                  <c:v>255.07</c:v>
                </c:pt>
              </c:numCache>
            </c:numRef>
          </c:val>
        </c:ser>
        <c:dLbls>
          <c:showLegendKey val="0"/>
          <c:showVal val="0"/>
          <c:showCatName val="0"/>
          <c:showSerName val="0"/>
          <c:showPercent val="0"/>
          <c:showBubbleSize val="0"/>
        </c:dLbls>
        <c:gapWidth val="150"/>
        <c:overlap val="-25"/>
        <c:axId val="293387403"/>
        <c:axId val="593201142"/>
      </c:barChart>
      <c:catAx>
        <c:axId val="2933874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93201142"/>
        <c:crosses val="autoZero"/>
        <c:auto val="1"/>
        <c:lblAlgn val="ctr"/>
        <c:lblOffset val="100"/>
        <c:noMultiLvlLbl val="0"/>
      </c:catAx>
      <c:valAx>
        <c:axId val="593201142"/>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93387403"/>
        <c:crosses val="autoZero"/>
        <c:crossBetween val="between"/>
      </c:valAx>
      <c:spPr>
        <a:pattFill prst="lgGrid">
          <a:fgClr>
            <a:schemeClr val="bg1">
              <a:lumMod val="95000"/>
            </a:schemeClr>
          </a:fgClr>
          <a:bgClr>
            <a:schemeClr val="bg1"/>
          </a:bgClr>
        </a:patt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dPt>
          <c:dPt>
            <c:idx val="7"/>
            <c:bubble3D val="0"/>
            <c:spPr>
              <a:pattFill prst="ltUpDiag">
                <a:fgClr>
                  <a:schemeClr val="accent2">
                    <a:lumMod val="60000"/>
                  </a:schemeClr>
                </a:fgClr>
                <a:bgClr>
                  <a:schemeClr val="accent2">
                    <a:lumMod val="60000"/>
                    <a:lumMod val="20000"/>
                    <a:lumOff val="80000"/>
                  </a:schemeClr>
                </a:bgClr>
              </a:pattFill>
              <a:ln w="19050">
                <a:solidFill>
                  <a:schemeClr val="lt1"/>
                </a:solidFill>
              </a:ln>
              <a:effectLst>
                <a:innerShdw blurRad="114300">
                  <a:schemeClr val="accent2">
                    <a:lumMod val="60000"/>
                  </a:schemeClr>
                </a:innerShdw>
              </a:effectLst>
            </c:spPr>
          </c:dPt>
          <c:dLbls>
            <c:dLbl>
              <c:idx val="1"/>
              <c:layout>
                <c:manualLayout>
                  <c:x val="-0.086125"/>
                  <c:y val="0.0460118056606629"/>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058375"/>
                  <c:y val="-0.011651323360184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324375"/>
                  <c:y val="0.054485814030974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4"/>
              <c:layout>
                <c:manualLayout>
                  <c:x val="-0.048125"/>
                  <c:y val="-0.052502876869965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5"/>
              <c:layout>
                <c:manualLayout>
                  <c:x val="-0.344625"/>
                  <c:y val="0.15693643523807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6"/>
              <c:layout>
                <c:manualLayout>
                  <c:x val="0.17725"/>
                  <c:y val="0.011651323360184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7"/>
              <c:layout>
                <c:manualLayout>
                  <c:x val="0.179875"/>
                  <c:y val="0.064298043728423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234.54</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dPt>
          <c:dLbls>
            <c:dLbl>
              <c:idx val="0"/>
              <c:layout>
                <c:manualLayout>
                  <c:x val="-0.295341416719847"/>
                  <c:y val="0.10745320855615"/>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2"/>
              <c:layout>
                <c:manualLayout>
                  <c:x val="0.00472239948947033"/>
                  <c:y val="-0.0626671122994652"/>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20293554562859"/>
                  <c:y val="-0.0033422459893048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4"/>
              <c:layout>
                <c:manualLayout>
                  <c:x val="0.117166560306318"/>
                  <c:y val="0"/>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198.48</c:v>
                </c:pt>
                <c:pt idx="1">
                  <c:v>56.58</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730306477345246"/>
          <c:y val="0.72040953654188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2021年</c:v>
                </c:pt>
              </c:strCache>
            </c:strRef>
          </c:tx>
          <c:spPr>
            <a:solidFill>
              <a:srgbClr val="16697A"/>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财政拨款收入、支出（万元）</c:v>
                </c:pt>
              </c:strCache>
            </c:strRef>
          </c:cat>
          <c:val>
            <c:numRef>
              <c:f>Sheet1!$B$2</c:f>
              <c:numCache>
                <c:formatCode>General</c:formatCode>
                <c:ptCount val="1"/>
                <c:pt idx="0">
                  <c:v>246.15</c:v>
                </c:pt>
              </c:numCache>
            </c:numRef>
          </c:val>
        </c:ser>
        <c:ser>
          <c:idx val="1"/>
          <c:order val="1"/>
          <c:tx>
            <c:strRef>
              <c:f>Sheet1!$C$1</c:f>
              <c:strCache>
                <c:ptCount val="1"/>
                <c:pt idx="0">
                  <c:v>2022年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财政拨款收入、支出（万元）</c:v>
                </c:pt>
              </c:strCache>
            </c:strRef>
          </c:cat>
          <c:val>
            <c:numRef>
              <c:f>Sheet1!$C$2</c:f>
              <c:numCache>
                <c:formatCode>General</c:formatCode>
                <c:ptCount val="1"/>
                <c:pt idx="0">
                  <c:v>255.07</c:v>
                </c:pt>
              </c:numCache>
            </c:numRef>
          </c:val>
        </c:ser>
        <c:dLbls>
          <c:showLegendKey val="0"/>
          <c:showVal val="0"/>
          <c:showCatName val="0"/>
          <c:showSerName val="0"/>
          <c:showPercent val="0"/>
          <c:showBubbleSize val="0"/>
        </c:dLbls>
        <c:gapWidth val="150"/>
        <c:overlap val="-25"/>
        <c:axId val="278686641"/>
        <c:axId val="199443501"/>
      </c:barChart>
      <c:catAx>
        <c:axId val="27868664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99443501"/>
        <c:crosses val="autoZero"/>
        <c:auto val="1"/>
        <c:lblAlgn val="ctr"/>
        <c:lblOffset val="100"/>
        <c:noMultiLvlLbl val="0"/>
      </c:catAx>
      <c:valAx>
        <c:axId val="19944350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78686641"/>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31896465321395"/>
          <c:y val="0.248939495423086"/>
          <c:w val="0.847975410931445"/>
          <c:h val="0.622996204509935"/>
        </c:manualLayout>
      </c:layout>
      <c:barChart>
        <c:barDir val="col"/>
        <c:grouping val="clustered"/>
        <c:varyColors val="0"/>
        <c:ser>
          <c:idx val="0"/>
          <c:order val="0"/>
          <c:tx>
            <c:strRef>
              <c:f>Sheet1!$B$1</c:f>
              <c:strCache>
                <c:ptCount val="1"/>
                <c:pt idx="0">
                  <c:v>2021年度</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c:f>
              <c:strCache>
                <c:ptCount val="1"/>
                <c:pt idx="0">
                  <c:v>一般公共预算财政拨款支出（万元）</c:v>
                </c:pt>
              </c:strCache>
            </c:strRef>
          </c:cat>
          <c:val>
            <c:numRef>
              <c:f>Sheet1!$B$2</c:f>
              <c:numCache>
                <c:formatCode>0.00_ </c:formatCode>
                <c:ptCount val="1"/>
                <c:pt idx="0">
                  <c:v>225.62</c:v>
                </c:pt>
              </c:numCache>
            </c:numRef>
          </c:val>
        </c:ser>
        <c:ser>
          <c:idx val="1"/>
          <c:order val="1"/>
          <c:tx>
            <c:strRef>
              <c:f>Sheet1!$C$1</c:f>
              <c:strCache>
                <c:ptCount val="1"/>
                <c:pt idx="0">
                  <c:v>2022年度</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c:f>
              <c:strCache>
                <c:ptCount val="1"/>
                <c:pt idx="0">
                  <c:v>一般公共预算财政拨款支出（万元）</c:v>
                </c:pt>
              </c:strCache>
            </c:strRef>
          </c:cat>
          <c:val>
            <c:numRef>
              <c:f>Sheet1!$C$2</c:f>
              <c:numCache>
                <c:formatCode>General</c:formatCode>
                <c:ptCount val="1"/>
                <c:pt idx="0">
                  <c:v>255.07</c:v>
                </c:pt>
              </c:numCache>
            </c:numRef>
          </c:val>
        </c:ser>
        <c:dLbls>
          <c:showLegendKey val="0"/>
          <c:showVal val="1"/>
          <c:showCatName val="0"/>
          <c:showSerName val="0"/>
          <c:showPercent val="0"/>
          <c:showBubbleSize val="0"/>
        </c:dLbls>
        <c:gapWidth val="164"/>
        <c:overlap val="-22"/>
        <c:axId val="787059476"/>
        <c:axId val="26589520"/>
      </c:barChart>
      <c:catAx>
        <c:axId val="78705947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589520"/>
        <c:crosses val="autoZero"/>
        <c:auto val="1"/>
        <c:lblAlgn val="ctr"/>
        <c:lblOffset val="100"/>
        <c:noMultiLvlLbl val="0"/>
      </c:catAx>
      <c:valAx>
        <c:axId val="26589520"/>
        <c:scaling>
          <c:orientation val="minMax"/>
        </c:scaling>
        <c:delete val="0"/>
        <c:axPos val="l"/>
        <c:majorGridlines>
          <c:spPr>
            <a:ln>
              <a:solidFill>
                <a:schemeClr val="tx1">
                  <a:lumMod val="15000"/>
                  <a:lumOff val="85000"/>
                </a:schemeClr>
              </a:solidFill>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7059476"/>
        <c:crosses val="autoZero"/>
        <c:crossBetween val="between"/>
      </c:valAx>
      <c:spPr>
        <a:noFill/>
        <a:ln>
          <a:noFill/>
        </a:ln>
        <a:effectLst/>
      </c:spPr>
    </c:plotArea>
    <c:legend>
      <c:legendPos val="r"/>
      <c:layout>
        <c:manualLayout>
          <c:xMode val="edge"/>
          <c:yMode val="edge"/>
          <c:x val="0.80525"/>
          <c:y val="0.0496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8415278556041"/>
          <c:y val="0.189230103806228"/>
          <c:w val="0.432823505639325"/>
          <c:h val="0.698096389502181"/>
        </c:manualLayout>
      </c:layout>
      <c:pieChart>
        <c:varyColors val="1"/>
        <c:ser>
          <c:idx val="0"/>
          <c:order val="0"/>
          <c:tx>
            <c:strRef>
              <c:f>Sheet1!$B$1</c:f>
              <c:strCache>
                <c:ptCount val="1"/>
                <c:pt idx="0">
                  <c:v>列1</c:v>
                </c:pt>
              </c:strCache>
            </c:strRef>
          </c:tx>
          <c:spPr/>
          <c:explosion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dPt>
          <c:dLbls>
            <c:dLbl>
              <c:idx val="0"/>
              <c:layout>
                <c:manualLayout>
                  <c:x val="-0.276102088167053"/>
                  <c:y val="-0.14660975798003"/>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dLbl>
              <c:idx val="3"/>
              <c:layout>
                <c:manualLayout>
                  <c:x val="0.0661107802263252"/>
                  <c:y val="0.00363108206245461"/>
                </c:manualLayout>
              </c:layout>
              <c:dLblPos val="bestFit"/>
              <c:showLegendKey val="1"/>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mn-lt"/>
                    <a:ea typeface="+mn-ea"/>
                    <a:cs typeface="+mn-cs"/>
                  </a:defRPr>
                </a:pPr>
              </a:p>
            </c:txPr>
            <c:dLblPos val="outEnd"/>
            <c:showLegendKey val="1"/>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200.45</c:v>
                </c:pt>
                <c:pt idx="1">
                  <c:v>38.58</c:v>
                </c:pt>
                <c:pt idx="2">
                  <c:v>3.69</c:v>
                </c:pt>
                <c:pt idx="3">
                  <c:v>12.34</c:v>
                </c:pt>
              </c:numCache>
            </c:numRef>
          </c:val>
        </c:ser>
        <c:dLbls>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741"/>
          <c:y val="0.04990041910667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公务接待费</c:v>
                </c:pt>
                <c:pt idx="1">
                  <c:v>公务用车运行维护费</c:v>
                </c:pt>
                <c:pt idx="2">
                  <c:v>因公出境费</c:v>
                </c:pt>
              </c:strCache>
            </c:strRef>
          </c:cat>
          <c:val>
            <c:numRef>
              <c:f>Sheet1!$B$2:$B$4</c:f>
              <c:numCache>
                <c:formatCode>General</c:formatCode>
                <c:ptCount val="3"/>
                <c:pt idx="0">
                  <c:v>0.45</c:v>
                </c:pt>
              </c:numCache>
            </c:numRef>
          </c:val>
        </c:ser>
        <c:dLbls>
          <c:showLegendKey val="0"/>
          <c:showVal val="0"/>
          <c:showCatName val="0"/>
          <c:showSerName val="0"/>
          <c:showPercent val="1"/>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36</Pages>
  <Words>11974</Words>
  <Characters>13094</Characters>
  <Lines>61</Lines>
  <Paragraphs>17</Paragraphs>
  <TotalTime>0</TotalTime>
  <ScaleCrop>false</ScaleCrop>
  <LinksUpToDate>false</LinksUpToDate>
  <CharactersWithSpaces>13235</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徐加俊</cp:lastModifiedBy>
  <cp:lastPrinted>2022-08-06T02:23:00Z</cp:lastPrinted>
  <dcterms:modified xsi:type="dcterms:W3CDTF">2023-10-26T09:10:08Z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712CA97C3A6343BAA3EB51A138C27FD2_13</vt:lpwstr>
  </property>
</Properties>
</file>