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75" w:beforeAutospacing="0" w:after="210" w:afterAutospacing="0" w:line="270" w:lineRule="atLeast"/>
        <w:ind w:left="0" w:right="0" w:firstLine="420"/>
        <w:jc w:val="left"/>
        <w:rPr>
          <w:rFonts w:ascii="Segoe UI" w:hAnsi="Segoe UI" w:eastAsia="Segoe UI" w:cs="Segoe UI"/>
          <w:i w:val="0"/>
          <w:iCs w:val="0"/>
          <w:caps w:val="0"/>
          <w:color w:val="000000"/>
          <w:spacing w:val="0"/>
          <w:sz w:val="18"/>
          <w:szCs w:val="18"/>
        </w:rPr>
      </w:pPr>
      <w:r>
        <w:rPr>
          <w:rFonts w:ascii="方正小标宋简体" w:hAnsi="方正小标宋简体" w:eastAsia="方正小标宋简体" w:cs="方正小标宋简体"/>
          <w:i w:val="0"/>
          <w:iCs w:val="0"/>
          <w:caps w:val="0"/>
          <w:color w:val="0099FF"/>
          <w:spacing w:val="0"/>
          <w:sz w:val="72"/>
          <w:szCs w:val="72"/>
          <w:u w:val="none"/>
        </w:rPr>
        <w:t>2022年度</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27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方正小标宋简体" w:hAnsi="方正小标宋简体" w:eastAsia="方正小标宋简体" w:cs="方正小标宋简体"/>
          <w:i w:val="0"/>
          <w:iCs w:val="0"/>
          <w:caps w:val="0"/>
          <w:color w:val="0099FF"/>
          <w:spacing w:val="0"/>
          <w:sz w:val="72"/>
          <w:szCs w:val="72"/>
          <w:u w:val="none"/>
        </w:rPr>
        <w:t>四川省乐山市沙湾区公共资源交易服务中心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27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方正小标宋简体" w:hAnsi="方正小标宋简体" w:eastAsia="方正小标宋简体" w:cs="方正小标宋简体"/>
          <w:i w:val="0"/>
          <w:iCs w:val="0"/>
          <w:caps w:val="0"/>
          <w:color w:val="000000"/>
          <w:spacing w:val="0"/>
          <w:sz w:val="72"/>
          <w:szCs w:val="72"/>
        </w:rPr>
        <w:t>部门决算</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0" w:beforeAutospacing="0" w:after="0" w:afterAutospacing="0"/>
        <w:ind w:left="0" w:right="0" w:firstLine="420"/>
        <w:jc w:val="left"/>
        <w:rPr>
          <w:rFonts w:hint="default" w:ascii="Segoe UI" w:hAnsi="Segoe UI" w:eastAsia="Segoe UI" w:cs="Segoe UI"/>
          <w:i w:val="0"/>
          <w:iCs w:val="0"/>
          <w:caps w:val="0"/>
          <w:color w:val="000000"/>
          <w:spacing w:val="0"/>
          <w:sz w:val="18"/>
          <w:szCs w:val="18"/>
        </w:rPr>
      </w:pPr>
      <w:r>
        <w:rPr>
          <w:rFonts w:ascii="黑体" w:hAnsi="宋体" w:eastAsia="黑体" w:cs="黑体"/>
          <w:i w:val="0"/>
          <w:iCs w:val="0"/>
          <w:caps w:val="0"/>
          <w:color w:val="000000"/>
          <w:spacing w:val="0"/>
          <w:sz w:val="36"/>
          <w:szCs w:val="36"/>
        </w:rPr>
        <w:t>目录</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"_Toc27318" </w:instrText>
      </w:r>
      <w:r>
        <w:rPr>
          <w:rFonts w:hint="default" w:ascii="Segoe UI" w:hAnsi="Segoe UI" w:eastAsia="Segoe UI" w:cs="Segoe UI"/>
          <w:i w:val="0"/>
          <w:iCs w:val="0"/>
          <w:caps w:val="0"/>
          <w:color w:val="0099FF"/>
          <w:spacing w:val="0"/>
          <w:sz w:val="18"/>
          <w:szCs w:val="18"/>
          <w:u w:val="none"/>
        </w:rPr>
        <w:fldChar w:fldCharType="separate"/>
      </w:r>
      <w:r>
        <w:rPr>
          <w:rStyle w:val="8"/>
          <w:rFonts w:ascii="仿宋" w:hAnsi="仿宋" w:eastAsia="仿宋" w:cs="仿宋"/>
          <w:i w:val="0"/>
          <w:iCs w:val="0"/>
          <w:caps w:val="0"/>
          <w:color w:val="0099FF"/>
          <w:spacing w:val="0"/>
          <w:sz w:val="31"/>
          <w:szCs w:val="31"/>
          <w:u w:val="none"/>
        </w:rPr>
        <w:t>第一部分</w:t>
      </w:r>
      <w:r>
        <w:rPr>
          <w:rStyle w:val="8"/>
          <w:rFonts w:hint="eastAsia" w:ascii="仿宋" w:hAnsi="仿宋" w:eastAsia="仿宋" w:cs="仿宋"/>
          <w:i w:val="0"/>
          <w:iCs w:val="0"/>
          <w:caps w:val="0"/>
          <w:color w:val="0099FF"/>
          <w:spacing w:val="0"/>
          <w:sz w:val="31"/>
          <w:szCs w:val="31"/>
          <w:u w:val="none"/>
        </w:rPr>
        <w:t> 部门概况</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"_Toc25415"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一、部门职责</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"_Toc6935"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二、机构设置</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"_Toc1354"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第二部分 2022年度部门决算情况说明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"_Toc9866"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一、 收入支出决算总体情况说明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"_Toc24885"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二、 收入决算情况说明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"_Toc23584"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三、 支出决算情况说明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"_Toc6153"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四、财政拨款收入支出决算总体情况说明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"_Toc5631"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五、一般公共预算财政拨款支出决算情况说明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"_Toc8186"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六、一般公共预算财政拨款基本支出决算情况说明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"_Toc27557"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七、财政拨款“三公”经费支出决算情况说明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"_Toc11326"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八、政府性基金预算支出决算情况说明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"_Toc7771"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九、 国有资本经营预算支出决算情况说明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"_Toc4155"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十、 其他重要事项的情况说明</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"_Toc30245"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第三部分 名词解释</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"_Toc5431"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第四部分 附件</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"_Toc1564"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第五部分 附表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"_Toc16308"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一、收入支出决算总表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"_Toc15139"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二、收入决算表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"_Toc13608"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三、支出决算表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"_Toc4944"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四、财政拨款收入支出决算总表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"_Toc8352"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五、财政拨款支出决算明细表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"_Toc7178"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六、一般公共预算财政拨款支出决算表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"_Toc12201"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七、一般公共预算财政拨款支出决算明细表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"_Toc21345"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八、一般公共预算财政拨款基本支出决算表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"_Toc15338"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九、一般公共预算财政拨款项目支出决算表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"_Toc30958"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十、政府性基金预算财政拨款收入支出决算表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"_Toc18680"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十一、国有资本经营预算财政拨款收入支出决算表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"_Toc17095"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十二、国有资本经营预算财政拨款支出决算表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99FF"/>
          <w:spacing w:val="0"/>
          <w:sz w:val="18"/>
          <w:szCs w:val="18"/>
          <w:u w:val="none"/>
        </w:rPr>
        <w:fldChar w:fldCharType="begin"/>
      </w:r>
      <w:r>
        <w:rPr>
          <w:rFonts w:hint="default" w:ascii="Segoe UI" w:hAnsi="Segoe UI" w:eastAsia="Segoe UI" w:cs="Segoe UI"/>
          <w:i w:val="0"/>
          <w:iCs w:val="0"/>
          <w:caps w:val="0"/>
          <w:color w:val="0099FF"/>
          <w:spacing w:val="0"/>
          <w:sz w:val="18"/>
          <w:szCs w:val="18"/>
          <w:u w:val="none"/>
        </w:rPr>
        <w:instrText xml:space="preserve"> HYPERLINK "D:/%E6%A1%8C%E9%9D%A2/2022%E5%B9%B4%E5%86%B3%E7%AE%97%E5%85%AC%E5%BC%80/%E4%B9%90%E5%B1%B1%E5%B8%82%E6%B2%99%E6%B9%BE%E5%8C%BA%E6%94%BF%E5%BA%9C%E9%87%87%E8%B4%AD%E7%AE%A1%E7%90%86%E4%B8%AD%E5%BF%832022%E5%B9%B4%E5%86%B3%E7%AE%97%E5%85%AC%E5%BC%80%E7%BC%96%E5%88%B6%E8%AF%B4%E6%98%8E.docx" \l "_Toc23042" </w:instrText>
      </w:r>
      <w:r>
        <w:rPr>
          <w:rFonts w:hint="default" w:ascii="Segoe UI" w:hAnsi="Segoe UI" w:eastAsia="Segoe UI" w:cs="Segoe UI"/>
          <w:i w:val="0"/>
          <w:iCs w:val="0"/>
          <w:caps w:val="0"/>
          <w:color w:val="0099FF"/>
          <w:spacing w:val="0"/>
          <w:sz w:val="18"/>
          <w:szCs w:val="18"/>
          <w:u w:val="none"/>
        </w:rPr>
        <w:fldChar w:fldCharType="separate"/>
      </w:r>
      <w:r>
        <w:rPr>
          <w:rStyle w:val="8"/>
          <w:rFonts w:hint="eastAsia" w:ascii="仿宋" w:hAnsi="仿宋" w:eastAsia="仿宋" w:cs="仿宋"/>
          <w:i w:val="0"/>
          <w:iCs w:val="0"/>
          <w:caps w:val="0"/>
          <w:color w:val="0099FF"/>
          <w:spacing w:val="0"/>
          <w:sz w:val="31"/>
          <w:szCs w:val="31"/>
          <w:u w:val="none"/>
        </w:rPr>
        <w:t>十三、财政拨款“三公”经费支出决算表</w:t>
      </w:r>
      <w:r>
        <w:rPr>
          <w:rFonts w:hint="default" w:ascii="Segoe UI" w:hAnsi="Segoe UI" w:eastAsia="Segoe UI" w:cs="Segoe UI"/>
          <w:i w:val="0"/>
          <w:iCs w:val="0"/>
          <w:caps w:val="0"/>
          <w:color w:val="0099FF"/>
          <w:spacing w:val="0"/>
          <w:sz w:val="18"/>
          <w:szCs w:val="18"/>
          <w:u w:val="none"/>
        </w:rPr>
        <w:fldChar w:fldCharType="end"/>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2"/>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99FF"/>
          <w:spacing w:val="0"/>
          <w:sz w:val="43"/>
          <w:szCs w:val="43"/>
          <w:u w:val="none"/>
        </w:rPr>
        <w:t>第一部分 </w:t>
      </w:r>
      <w:r>
        <w:rPr>
          <w:rFonts w:hint="eastAsia" w:ascii="黑体" w:hAnsi="宋体" w:eastAsia="黑体" w:cs="黑体"/>
          <w:b w:val="0"/>
          <w:bCs w:val="0"/>
          <w:i w:val="0"/>
          <w:iCs w:val="0"/>
          <w:caps w:val="0"/>
          <w:color w:val="000000"/>
          <w:spacing w:val="0"/>
          <w:sz w:val="43"/>
          <w:szCs w:val="43"/>
        </w:rPr>
        <w:t>部门概况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一、部门职责</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（一）主要职能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99FF"/>
          <w:spacing w:val="0"/>
          <w:sz w:val="31"/>
          <w:szCs w:val="31"/>
          <w:u w:val="none"/>
        </w:rPr>
        <w:t>１.贯彻落实公共资源交易服务活动的有关法律、法规和政策，为我区公共资源交易活动提供场所、设施和服务。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２.制定公共资源交易现场管理规章制度、工作流程并组织实施。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３.承担区公共资源信息平台及电子交易平台建设和管理；按照有关规定统一发布公共资源交易信息，为交易各方提供交易咨询等服务。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４.对全区进入区公共资源交易平台运作的建设工程招投标、政府采购、土地和矿产资源、国有产权和国有资产交易以及特殊资源、特许经营权出（转）让等公共资源交易提供现场服务。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５.核查进场交易项目相关手续和参与交易活动各方主体资格。</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６.负责对进入区公共资源交易平台的交易各方进行现场监管，记录、制止和纠正违反交易现场管理制度的行为。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７.承担区委、区政府及区招监委安排的其它工作。</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ascii="仿宋_GB2312" w:hAnsi="Segoe UI" w:eastAsia="仿宋_GB2312" w:cs="仿宋_GB2312"/>
          <w:i w:val="0"/>
          <w:iCs w:val="0"/>
          <w:caps w:val="0"/>
          <w:color w:val="000000"/>
          <w:spacing w:val="0"/>
          <w:sz w:val="31"/>
          <w:szCs w:val="31"/>
        </w:rPr>
        <w:t>（二）</w:t>
      </w:r>
      <w:r>
        <w:rPr>
          <w:rFonts w:hint="default" w:ascii="仿宋_GB2312" w:hAnsi="Segoe UI" w:eastAsia="仿宋_GB2312" w:cs="仿宋_GB2312"/>
          <w:i w:val="0"/>
          <w:iCs w:val="0"/>
          <w:caps w:val="0"/>
          <w:color w:val="000000"/>
          <w:spacing w:val="0"/>
          <w:sz w:val="31"/>
          <w:szCs w:val="31"/>
        </w:rPr>
        <w:t>2022年重点工作完成情况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（1）关注重大项目，圆满完成交易任务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紧紧围绕区委区政府工作，主动融入和服务重大项目建设，积极配合相关部门，扎实推进我区重点项目建设工作。全年累计完成交易项目83宗，交易金额40883.92万元。分别为：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政府采购：政府采购电子化平台项目29宗，采购金额80.45万元；政府采购货物、服务项目17宗，预算金额2630.53万元、采购金额2307.42万元、节约323.11万元，节约率12.28%；政府采购工程项目6宗，预算金额969.67万元、采购金额965.15万元、节约4.52万元，节约率0.47%。</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产权交易：共实施项目16宗，其中：土地挂牌4宗；特许经营权出让1宗；国有资产拍卖1宗，起拍价54.66万元，成交价88万元，溢价33.34万元，溢价率61%；国有企业资产拍卖10宗，起拍价7096.58万元，成交价7122.86万元，溢价26.28万元，平均溢价率0.37%。</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3.国有企业采购：国有企业采购17宗，预算金额预算金额2669.74万元、采购金额2172.87万元、节约496.87万元，节约率18.61%。</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4.其他：其他进场交易项目4宗，预算金额1442.98万元、成交金额1327.61万元、节约115.37万元、节约率7.99%。</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（2）聚焦标准规范,增强履职能力</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一是服务流程制度化。在原有43个制度的基础上，制定《政府集中采购目录实施方案》、《专家选择管理办法》等规定，持续优化采购文件模板，强化交易留痕及档案管理，让每个环节、每步操作都有标准和规范。二是现场管理规范化。对开评标区域实施多角度、全方位电子化动态监控，全程录音录像。今年以来，为纪委办案及财政检查提供音视频资料13件。三是公开事项全面化。制定《政务公开工作方案》，细化信息公开目录清单，规范信息公开内容、公开渠道、公开时限。完善《信息公开审查制度》，严格落实“三审”制度，确保公开信息准确无误。四是队伍建设专业化。采取“请进来”与“送出去”相结合，邀请专家开展讲座，推送人员到上级及兄弟单位学习。建立“你讲我学”长效机制，实行“每月一讲”。积极参加服务明星评选活动，提升干部职工责任意识和敬业精神。</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（3）聚焦落实“五减”,优化营商环境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一是“减环节”：着力关注高频事项，采取合并环节、精简流程、优化系统等措施，优化各类项目交易流程5个，线下转线上办理4个。二是“减材料”：实行“一次告知、一表申请、一套材料、一窗受理、一网办理”，取消没有必要的资料核实，精简各类交易申办资料9项。三是“减时限”：推进服务事项“网上办、马上办”，制定服务事项清单，从项目受理、需求论证组织、采购文件编制到采购公告发布，将办结时间从5个工作日压缩到3个工作日。四是“减费用”：加速推进交易电子化，免收投标保证金、减免履约保证金，大力推广电子保函。今年已累计为供应商节约报名费7.8万元，减免投标保证金350余万元，减免履约保证金约256万元，受理保函金额96万元。五是“减风险”：定期开展场所安全、网络安全、疫情防控隐患排查工作，制定岗位风险防控措施21项，常态化开展廉政警示教育，防范和化解可能影响项目交易质效和廉洁交易的风险。截至目前，没有收到1起针对交易中心服务及流程的举报投诉。</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（4）聚焦主动作为,提升服务效能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一是围绕中心服务大局。紧紧围绕省市区重点工作，以提前介入、全程跟踪、建立“绿色通道”、“四个优先”服务保障、增设开评标场次等措施，压时限提效能，推动项目早开工、早投产、早达效。二是主动担当搭建桥梁。在全市率先开展的政府采购需求论证服务，截至目前共成功组织25宗，预算金额3.57亿元，保障了采购需求的规范，有效化解了业主单位、论证专家、代理机构因信息不对称产生的沟通难题。三是拓展业务创新服务。利用平台优势，接连拓展分散采购项目受理、国企项目采购受理、涉密采购项目受理、自采交易见证、免费场地预约等业务，实现交易项目“目录内必进、目录外受理”的大服务格局。</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b w:val="0"/>
          <w:bCs w:val="0"/>
          <w:i w:val="0"/>
          <w:iCs w:val="0"/>
          <w:caps w:val="0"/>
          <w:color w:val="000000"/>
          <w:spacing w:val="0"/>
          <w:sz w:val="31"/>
          <w:szCs w:val="31"/>
        </w:rPr>
        <w:t>二、机构设置</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乐山市沙湾区政府采购管理中心属于一级预算单位，下属二级预算单位0个，其中行政单位0个，参照公务员法管理的事业单位0个，其他事业单位0个。</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乐山市沙湾区政府采购管理中心总编制10名，其中：行政编制0名，工勤编制0名，非参公事业编制10名。2022年年末在职人员总数10名，其中：行政0名，工勤0名，</w:t>
      </w:r>
      <w:r>
        <w:rPr>
          <w:rFonts w:hint="default" w:ascii="仿宋_GB2312" w:hAnsi="Segoe UI" w:eastAsia="仿宋_GB2312" w:cs="仿宋_GB2312"/>
          <w:i w:val="0"/>
          <w:iCs w:val="0"/>
          <w:caps w:val="0"/>
          <w:color w:val="000000"/>
          <w:spacing w:val="0"/>
          <w:sz w:val="31"/>
          <w:szCs w:val="31"/>
        </w:rPr>
        <w:t>非参公事业人员10名</w:t>
      </w:r>
      <w:r>
        <w:rPr>
          <w:rFonts w:hint="eastAsia" w:ascii="仿宋" w:hAnsi="仿宋" w:eastAsia="仿宋" w:cs="仿宋"/>
          <w:i w:val="0"/>
          <w:iCs w:val="0"/>
          <w:caps w:val="0"/>
          <w:color w:val="000000"/>
          <w:spacing w:val="0"/>
          <w:sz w:val="31"/>
          <w:szCs w:val="31"/>
        </w:rPr>
        <w:t>。离休0名。</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2"/>
        <w:keepNext w:val="0"/>
        <w:keepLines w:val="0"/>
        <w:widowControl/>
        <w:suppressLineNumbers w:val="0"/>
        <w:ind w:left="0" w:right="435"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43"/>
          <w:szCs w:val="43"/>
        </w:rPr>
        <w:t>第二部分 2022年度部门决算情况说明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1365"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一、 </w:t>
      </w:r>
      <w:r>
        <w:rPr>
          <w:rFonts w:hint="eastAsia" w:ascii="黑体" w:hAnsi="宋体" w:eastAsia="黑体" w:cs="黑体"/>
          <w:i w:val="0"/>
          <w:iCs w:val="0"/>
          <w:caps w:val="0"/>
          <w:color w:val="0099FF"/>
          <w:spacing w:val="0"/>
          <w:sz w:val="31"/>
          <w:szCs w:val="31"/>
          <w:u w:val="none"/>
        </w:rPr>
        <w:t>收</w:t>
      </w:r>
      <w:r>
        <w:rPr>
          <w:rFonts w:hint="eastAsia" w:ascii="黑体" w:hAnsi="宋体" w:eastAsia="黑体" w:cs="黑体"/>
          <w:i w:val="0"/>
          <w:iCs w:val="0"/>
          <w:caps w:val="0"/>
          <w:color w:val="000000"/>
          <w:spacing w:val="0"/>
          <w:sz w:val="31"/>
          <w:szCs w:val="31"/>
        </w:rPr>
        <w:t>入支出决算总体情况说明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2022年度收支总计均为220.87万元。与2021年相比，收支总计各增加19.44万元，增长9.65%。主要变动原因是2022年项目增加，项目支出较上年增长。</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114925" cy="2714625"/>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114925" cy="2714625"/>
                    </a:xfrm>
                    <a:prstGeom prst="rect">
                      <a:avLst/>
                    </a:prstGeom>
                    <a:noFill/>
                    <a:ln w="9525">
                      <a:noFill/>
                    </a:ln>
                  </pic:spPr>
                </pic:pic>
              </a:graphicData>
            </a:graphic>
          </wp:inline>
        </w:drawing>
      </w:r>
      <w:r>
        <w:rPr>
          <w:rFonts w:hint="eastAsia" w:ascii="宋体" w:hAnsi="宋体" w:eastAsia="宋体" w:cs="宋体"/>
          <w:i w:val="0"/>
          <w:iCs w:val="0"/>
          <w:caps w:val="0"/>
          <w:color w:val="000000"/>
          <w:spacing w:val="0"/>
          <w:sz w:val="21"/>
          <w:szCs w:val="2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图1：收、支决算总计变动情况图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1365"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二、 </w:t>
      </w:r>
      <w:r>
        <w:rPr>
          <w:rFonts w:hint="eastAsia" w:ascii="黑体" w:hAnsi="宋体" w:eastAsia="黑体" w:cs="黑体"/>
          <w:i w:val="0"/>
          <w:iCs w:val="0"/>
          <w:caps w:val="0"/>
          <w:color w:val="0099FF"/>
          <w:spacing w:val="0"/>
          <w:sz w:val="31"/>
          <w:szCs w:val="31"/>
          <w:u w:val="none"/>
        </w:rPr>
        <w:t>收</w:t>
      </w:r>
      <w:r>
        <w:rPr>
          <w:rFonts w:hint="eastAsia" w:ascii="黑体" w:hAnsi="宋体" w:eastAsia="黑体" w:cs="黑体"/>
          <w:i w:val="0"/>
          <w:iCs w:val="0"/>
          <w:caps w:val="0"/>
          <w:color w:val="000000"/>
          <w:spacing w:val="0"/>
          <w:sz w:val="31"/>
          <w:szCs w:val="31"/>
        </w:rPr>
        <w:t>入决算情况说明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本年收入合计220.87万元，其中：一般公共预算财政拨款收入195.87万元，占88.68%；政府性基金预算财政拨款收入25万元，占11.32%；国有资本经营预算财政拨款收入0万元，占0%；上级补助收入0万元，占0%；事业收入0万元，占0%；经营收入0万元，占0%；附属单位上缴收入0万元，占0%；其他收入0万元，占0%。</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095875" cy="421005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4"/>
                    <a:stretch>
                      <a:fillRect/>
                    </a:stretch>
                  </pic:blipFill>
                  <pic:spPr>
                    <a:xfrm>
                      <a:off x="0" y="0"/>
                      <a:ext cx="5095875" cy="421005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1"/>
          <w:szCs w:val="3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图2：收入决算结构图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1365"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三、 </w:t>
      </w:r>
      <w:r>
        <w:rPr>
          <w:rFonts w:hint="eastAsia" w:ascii="黑体" w:hAnsi="宋体" w:eastAsia="黑体" w:cs="黑体"/>
          <w:i w:val="0"/>
          <w:iCs w:val="0"/>
          <w:caps w:val="0"/>
          <w:color w:val="0099FF"/>
          <w:spacing w:val="0"/>
          <w:sz w:val="31"/>
          <w:szCs w:val="31"/>
          <w:u w:val="none"/>
        </w:rPr>
        <w:t>支</w:t>
      </w:r>
      <w:r>
        <w:rPr>
          <w:rFonts w:hint="eastAsia" w:ascii="黑体" w:hAnsi="宋体" w:eastAsia="黑体" w:cs="黑体"/>
          <w:i w:val="0"/>
          <w:iCs w:val="0"/>
          <w:caps w:val="0"/>
          <w:color w:val="000000"/>
          <w:spacing w:val="0"/>
          <w:sz w:val="31"/>
          <w:szCs w:val="31"/>
        </w:rPr>
        <w:t>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2022年本年支出合计220.87万元，其中：基本支出171.68万元，占77.73%；项目支出49.20万元，占22.27%；上缴上级支出0万元，占0%；经营支出0万元，占0%；对附属单位补助支出0万元，占0%。</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4991100" cy="3810000"/>
            <wp:effectExtent l="0" t="0" r="0" b="0"/>
            <wp:docPr id="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8"/>
                    <pic:cNvPicPr>
                      <a:picLocks noChangeAspect="1"/>
                    </pic:cNvPicPr>
                  </pic:nvPicPr>
                  <pic:blipFill>
                    <a:blip r:embed="rId4"/>
                    <a:stretch>
                      <a:fillRect/>
                    </a:stretch>
                  </pic:blipFill>
                  <pic:spPr>
                    <a:xfrm>
                      <a:off x="0" y="0"/>
                      <a:ext cx="4991100" cy="381000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1"/>
          <w:szCs w:val="31"/>
          <w:shd w:val="clear" w:fill="7F7F7F"/>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图3：支出决算结构图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99FF"/>
          <w:spacing w:val="0"/>
          <w:sz w:val="31"/>
          <w:szCs w:val="31"/>
          <w:u w:val="none"/>
        </w:rPr>
        <w:t>四、财</w:t>
      </w:r>
      <w:r>
        <w:rPr>
          <w:rFonts w:hint="eastAsia" w:ascii="黑体" w:hAnsi="宋体" w:eastAsia="黑体" w:cs="黑体"/>
          <w:i w:val="0"/>
          <w:iCs w:val="0"/>
          <w:caps w:val="0"/>
          <w:color w:val="000000"/>
          <w:spacing w:val="0"/>
          <w:sz w:val="31"/>
          <w:szCs w:val="31"/>
        </w:rPr>
        <w:t>政拨款收入支出决算总体情况说明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2022年度财政拨款收入、支出均为220.87万元。与2021年相比，财政拨款收入、支出增加19.44万元，增长9.65%。主要变动原因是2022年项目增加，项目支出较上年增长。</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27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267325" cy="3086100"/>
            <wp:effectExtent l="0" t="0" r="0" b="0"/>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4"/>
                    <a:stretch>
                      <a:fillRect/>
                    </a:stretch>
                  </pic:blipFill>
                  <pic:spPr>
                    <a:xfrm>
                      <a:off x="0" y="0"/>
                      <a:ext cx="5267325" cy="308610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1"/>
          <w:szCs w:val="3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（图4：财政拨款收、支决算总计变动情况）（柱状图）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99FF"/>
          <w:spacing w:val="0"/>
          <w:sz w:val="31"/>
          <w:szCs w:val="31"/>
          <w:u w:val="none"/>
        </w:rPr>
        <w:t>五、</w:t>
      </w:r>
      <w:r>
        <w:rPr>
          <w:rStyle w:val="7"/>
          <w:rFonts w:hint="eastAsia" w:ascii="黑体" w:hAnsi="宋体" w:eastAsia="黑体" w:cs="黑体"/>
          <w:i w:val="0"/>
          <w:iCs w:val="0"/>
          <w:caps w:val="0"/>
          <w:color w:val="000000"/>
          <w:spacing w:val="0"/>
          <w:sz w:val="31"/>
          <w:szCs w:val="31"/>
        </w:rPr>
        <w:t>一</w:t>
      </w:r>
      <w:r>
        <w:rPr>
          <w:rFonts w:hint="eastAsia" w:ascii="黑体" w:hAnsi="宋体" w:eastAsia="黑体" w:cs="黑体"/>
          <w:i w:val="0"/>
          <w:iCs w:val="0"/>
          <w:caps w:val="0"/>
          <w:color w:val="000000"/>
          <w:spacing w:val="0"/>
          <w:sz w:val="31"/>
          <w:szCs w:val="31"/>
        </w:rPr>
        <w:t>般公共预算财政拨款支出决算情况说明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（一）一般公共预算财政拨款支出决算总体情况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2022年一般公共预算财政拨款支出195.87万元，占本年支出合计的88.68%。与2021年相比，一般公共预算财政拨款支出总计减少5.57?万元，降低2.77%。主要变动原因是2022年项目减少，项目支出较上年减少。</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095875" cy="3819525"/>
            <wp:effectExtent l="0" t="0" r="0" b="0"/>
            <wp:docPr id="6"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4"/>
                    <a:stretch>
                      <a:fillRect/>
                    </a:stretch>
                  </pic:blipFill>
                  <pic:spPr>
                    <a:xfrm>
                      <a:off x="0" y="0"/>
                      <a:ext cx="5095875" cy="3819525"/>
                    </a:xfrm>
                    <a:prstGeom prst="rect">
                      <a:avLst/>
                    </a:prstGeom>
                    <a:noFill/>
                    <a:ln w="9525">
                      <a:noFill/>
                    </a:ln>
                  </pic:spPr>
                </pic:pic>
              </a:graphicData>
            </a:graphic>
          </wp:inline>
        </w:drawing>
      </w:r>
      <w:r>
        <w:rPr>
          <w:rFonts w:hint="default" w:ascii="Times New Roman" w:hAnsi="Times New Roman" w:eastAsia="Segoe UI" w:cs="Times New Roman"/>
          <w:i w:val="0"/>
          <w:iCs w:val="0"/>
          <w:caps w:val="0"/>
          <w:color w:val="000000"/>
          <w:spacing w:val="0"/>
          <w:sz w:val="21"/>
          <w:szCs w:val="2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图5：一般公共预算财政拨款支出决算变动情况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（二）一般公共预算财政拨款支出决算结构情况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2022年一般公共预算财政拨款支出195.87万元，主要用于以下方面：</w:t>
      </w:r>
      <w:r>
        <w:rPr>
          <w:rStyle w:val="7"/>
          <w:rFonts w:hint="eastAsia" w:ascii="仿宋" w:hAnsi="仿宋" w:eastAsia="仿宋" w:cs="仿宋"/>
          <w:i w:val="0"/>
          <w:iCs w:val="0"/>
          <w:caps w:val="0"/>
          <w:color w:val="000000"/>
          <w:spacing w:val="0"/>
          <w:sz w:val="31"/>
          <w:szCs w:val="31"/>
        </w:rPr>
        <w:t>一般公共服务支出（类）</w:t>
      </w:r>
      <w:r>
        <w:rPr>
          <w:rFonts w:hint="eastAsia" w:ascii="仿宋" w:hAnsi="仿宋" w:eastAsia="仿宋" w:cs="仿宋"/>
          <w:i w:val="0"/>
          <w:iCs w:val="0"/>
          <w:caps w:val="0"/>
          <w:color w:val="000000"/>
          <w:spacing w:val="0"/>
          <w:sz w:val="31"/>
          <w:szCs w:val="31"/>
        </w:rPr>
        <w:t>支出167.33万元，占85.43%，</w:t>
      </w:r>
      <w:r>
        <w:rPr>
          <w:rStyle w:val="7"/>
          <w:rFonts w:hint="eastAsia" w:ascii="仿宋" w:hAnsi="仿宋" w:eastAsia="仿宋" w:cs="仿宋"/>
          <w:i w:val="0"/>
          <w:iCs w:val="0"/>
          <w:caps w:val="0"/>
          <w:color w:val="000000"/>
          <w:spacing w:val="0"/>
          <w:sz w:val="31"/>
          <w:szCs w:val="31"/>
        </w:rPr>
        <w:t>社会保障和就业支出（类）</w:t>
      </w:r>
      <w:r>
        <w:rPr>
          <w:rFonts w:hint="eastAsia" w:ascii="仿宋" w:hAnsi="仿宋" w:eastAsia="仿宋" w:cs="仿宋"/>
          <w:i w:val="0"/>
          <w:iCs w:val="0"/>
          <w:caps w:val="0"/>
          <w:color w:val="000000"/>
          <w:spacing w:val="0"/>
          <w:sz w:val="31"/>
          <w:szCs w:val="31"/>
        </w:rPr>
        <w:t>支出11.79万元，占6.02%，</w:t>
      </w:r>
      <w:r>
        <w:rPr>
          <w:rStyle w:val="7"/>
          <w:rFonts w:hint="eastAsia" w:ascii="仿宋" w:hAnsi="仿宋" w:eastAsia="仿宋" w:cs="仿宋"/>
          <w:i w:val="0"/>
          <w:iCs w:val="0"/>
          <w:caps w:val="0"/>
          <w:color w:val="000000"/>
          <w:spacing w:val="0"/>
          <w:sz w:val="31"/>
          <w:szCs w:val="31"/>
        </w:rPr>
        <w:t>卫生健康支出（类）</w:t>
      </w:r>
      <w:r>
        <w:rPr>
          <w:rFonts w:hint="eastAsia" w:ascii="仿宋" w:hAnsi="仿宋" w:eastAsia="仿宋" w:cs="仿宋"/>
          <w:i w:val="0"/>
          <w:iCs w:val="0"/>
          <w:caps w:val="0"/>
          <w:color w:val="000000"/>
          <w:spacing w:val="0"/>
          <w:sz w:val="31"/>
          <w:szCs w:val="31"/>
        </w:rPr>
        <w:t>支出3.87万元，占1.98%，</w:t>
      </w:r>
      <w:r>
        <w:rPr>
          <w:rStyle w:val="7"/>
          <w:rFonts w:hint="eastAsia" w:ascii="仿宋" w:hAnsi="仿宋" w:eastAsia="仿宋" w:cs="仿宋"/>
          <w:i w:val="0"/>
          <w:iCs w:val="0"/>
          <w:caps w:val="0"/>
          <w:color w:val="000000"/>
          <w:spacing w:val="0"/>
          <w:sz w:val="31"/>
          <w:szCs w:val="31"/>
        </w:rPr>
        <w:t>住房保障支出（类）</w:t>
      </w:r>
      <w:r>
        <w:rPr>
          <w:rFonts w:hint="eastAsia" w:ascii="仿宋" w:hAnsi="仿宋" w:eastAsia="仿宋" w:cs="仿宋"/>
          <w:i w:val="0"/>
          <w:iCs w:val="0"/>
          <w:caps w:val="0"/>
          <w:color w:val="000000"/>
          <w:spacing w:val="0"/>
          <w:sz w:val="31"/>
          <w:szCs w:val="31"/>
        </w:rPr>
        <w:t>支出12.88万元，占6.58%。</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27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343525" cy="2638425"/>
            <wp:effectExtent l="0" t="0" r="0" b="0"/>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4"/>
                    <a:stretch>
                      <a:fillRect/>
                    </a:stretch>
                  </pic:blipFill>
                  <pic:spPr>
                    <a:xfrm>
                      <a:off x="0" y="0"/>
                      <a:ext cx="5343525" cy="2638425"/>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1"/>
          <w:szCs w:val="3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（图6：一般公共预算财政拨款支出决算结构）（饼状图）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（三）一般公共预算财政拨款支出决算具体情况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99FF"/>
          <w:spacing w:val="0"/>
          <w:sz w:val="31"/>
          <w:szCs w:val="31"/>
          <w:u w:val="none"/>
        </w:rPr>
        <w:t>2022年一</w:t>
      </w:r>
      <w:r>
        <w:rPr>
          <w:rStyle w:val="7"/>
          <w:rFonts w:hint="eastAsia" w:ascii="仿宋" w:hAnsi="仿宋" w:eastAsia="仿宋" w:cs="仿宋"/>
          <w:i w:val="0"/>
          <w:iCs w:val="0"/>
          <w:caps w:val="0"/>
          <w:color w:val="000000"/>
          <w:spacing w:val="0"/>
          <w:sz w:val="31"/>
          <w:szCs w:val="31"/>
        </w:rPr>
        <w:t>般公共预算支出全年预算数195.87万元.支出决算数为195.87</w:t>
      </w:r>
      <w:r>
        <w:rPr>
          <w:rFonts w:hint="eastAsia" w:ascii="仿宋" w:hAnsi="仿宋" w:eastAsia="仿宋" w:cs="仿宋"/>
          <w:i w:val="0"/>
          <w:iCs w:val="0"/>
          <w:caps w:val="0"/>
          <w:color w:val="000000"/>
          <w:spacing w:val="0"/>
          <w:sz w:val="31"/>
          <w:szCs w:val="31"/>
        </w:rPr>
        <w:t>万元，</w:t>
      </w:r>
      <w:r>
        <w:rPr>
          <w:rStyle w:val="7"/>
          <w:rFonts w:hint="eastAsia" w:ascii="仿宋" w:hAnsi="仿宋" w:eastAsia="仿宋" w:cs="仿宋"/>
          <w:i w:val="0"/>
          <w:iCs w:val="0"/>
          <w:caps w:val="0"/>
          <w:color w:val="000000"/>
          <w:spacing w:val="0"/>
          <w:sz w:val="31"/>
          <w:szCs w:val="31"/>
        </w:rPr>
        <w:t>完成预算100%。其中：</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1. </w:t>
      </w:r>
      <w:r>
        <w:rPr>
          <w:rStyle w:val="7"/>
          <w:rFonts w:hint="eastAsia" w:ascii="仿宋" w:hAnsi="仿宋" w:eastAsia="仿宋" w:cs="仿宋"/>
          <w:i w:val="0"/>
          <w:iCs w:val="0"/>
          <w:caps w:val="0"/>
          <w:color w:val="000000"/>
          <w:spacing w:val="0"/>
          <w:sz w:val="31"/>
          <w:szCs w:val="31"/>
        </w:rPr>
        <w:t>一般公共服务支出（201）人大事务（01）事业运行（50）：</w:t>
      </w:r>
      <w:r>
        <w:rPr>
          <w:rFonts w:hint="eastAsia" w:ascii="仿宋" w:hAnsi="仿宋" w:eastAsia="仿宋" w:cs="仿宋"/>
          <w:i w:val="0"/>
          <w:iCs w:val="0"/>
          <w:caps w:val="0"/>
          <w:color w:val="000000"/>
          <w:spacing w:val="0"/>
          <w:sz w:val="31"/>
          <w:szCs w:val="31"/>
        </w:rPr>
        <w:t>支出决算为54.57万元，完成预算100%，与全年预算数持平。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2. </w:t>
      </w:r>
      <w:r>
        <w:rPr>
          <w:rStyle w:val="7"/>
          <w:rFonts w:hint="eastAsia" w:ascii="仿宋" w:hAnsi="仿宋" w:eastAsia="仿宋" w:cs="仿宋"/>
          <w:i w:val="0"/>
          <w:iCs w:val="0"/>
          <w:caps w:val="0"/>
          <w:color w:val="000000"/>
          <w:spacing w:val="0"/>
          <w:sz w:val="31"/>
          <w:szCs w:val="31"/>
        </w:rPr>
        <w:t>一般公共服务支出（201）政府办公厅（室）及相关机构事务（03）事业运行（50）：</w:t>
      </w:r>
      <w:r>
        <w:rPr>
          <w:rFonts w:hint="eastAsia" w:ascii="仿宋" w:hAnsi="仿宋" w:eastAsia="仿宋" w:cs="仿宋"/>
          <w:i w:val="0"/>
          <w:iCs w:val="0"/>
          <w:caps w:val="0"/>
          <w:color w:val="000000"/>
          <w:spacing w:val="0"/>
          <w:sz w:val="31"/>
          <w:szCs w:val="31"/>
        </w:rPr>
        <w:t>支出决算为87.76万元，完成预算100%，与全年预算数持平。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3. </w:t>
      </w:r>
      <w:r>
        <w:rPr>
          <w:rStyle w:val="7"/>
          <w:rFonts w:hint="eastAsia" w:ascii="仿宋" w:hAnsi="仿宋" w:eastAsia="仿宋" w:cs="仿宋"/>
          <w:i w:val="0"/>
          <w:iCs w:val="0"/>
          <w:caps w:val="0"/>
          <w:color w:val="000000"/>
          <w:spacing w:val="0"/>
          <w:sz w:val="31"/>
          <w:szCs w:val="31"/>
        </w:rPr>
        <w:t>一般公共服务支出（201）政府办公厅（室）及相关机构事务（03）其他政府办公厅（室）及相关机构事务支出（99）：</w:t>
      </w:r>
      <w:r>
        <w:rPr>
          <w:rFonts w:hint="eastAsia" w:ascii="仿宋" w:hAnsi="仿宋" w:eastAsia="仿宋" w:cs="仿宋"/>
          <w:i w:val="0"/>
          <w:iCs w:val="0"/>
          <w:caps w:val="0"/>
          <w:color w:val="000000"/>
          <w:spacing w:val="0"/>
          <w:sz w:val="31"/>
          <w:szCs w:val="31"/>
        </w:rPr>
        <w:t>支出决算为25万元，完成预算100%，与全年预算数持平。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4. </w:t>
      </w:r>
      <w:r>
        <w:rPr>
          <w:rStyle w:val="7"/>
          <w:rFonts w:hint="eastAsia" w:ascii="仿宋" w:hAnsi="仿宋" w:eastAsia="仿宋" w:cs="仿宋"/>
          <w:i w:val="0"/>
          <w:iCs w:val="0"/>
          <w:caps w:val="0"/>
          <w:color w:val="000000"/>
          <w:spacing w:val="0"/>
          <w:sz w:val="31"/>
          <w:szCs w:val="31"/>
        </w:rPr>
        <w:t>社会保障和就业支出（208）行政事业单位养老支出（05）机关事业单位基本养老保险缴费支出（05）：</w:t>
      </w:r>
      <w:r>
        <w:rPr>
          <w:rFonts w:hint="eastAsia" w:ascii="仿宋" w:hAnsi="仿宋" w:eastAsia="仿宋" w:cs="仿宋"/>
          <w:i w:val="0"/>
          <w:iCs w:val="0"/>
          <w:caps w:val="0"/>
          <w:color w:val="000000"/>
          <w:spacing w:val="0"/>
          <w:sz w:val="31"/>
          <w:szCs w:val="31"/>
        </w:rPr>
        <w:t>支出决算为9.55万元，完成预算100%，与全年预算数持平。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5. </w:t>
      </w:r>
      <w:r>
        <w:rPr>
          <w:rStyle w:val="7"/>
          <w:rFonts w:hint="eastAsia" w:ascii="仿宋" w:hAnsi="仿宋" w:eastAsia="仿宋" w:cs="仿宋"/>
          <w:i w:val="0"/>
          <w:iCs w:val="0"/>
          <w:caps w:val="0"/>
          <w:color w:val="000000"/>
          <w:spacing w:val="0"/>
          <w:sz w:val="31"/>
          <w:szCs w:val="31"/>
        </w:rPr>
        <w:t>社会保障和就业支出（208）其他社会保障和就业支出（99）其他社会保障和就业支出（99）：</w:t>
      </w:r>
      <w:r>
        <w:rPr>
          <w:rFonts w:hint="eastAsia" w:ascii="仿宋" w:hAnsi="仿宋" w:eastAsia="仿宋" w:cs="仿宋"/>
          <w:i w:val="0"/>
          <w:iCs w:val="0"/>
          <w:caps w:val="0"/>
          <w:color w:val="000000"/>
          <w:spacing w:val="0"/>
          <w:sz w:val="31"/>
          <w:szCs w:val="31"/>
        </w:rPr>
        <w:t>支出决算为2.24万元，完成预算100%，与全年预算数持平。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6. </w:t>
      </w:r>
      <w:r>
        <w:rPr>
          <w:rStyle w:val="7"/>
          <w:rFonts w:hint="eastAsia" w:ascii="仿宋" w:hAnsi="仿宋" w:eastAsia="仿宋" w:cs="仿宋"/>
          <w:i w:val="0"/>
          <w:iCs w:val="0"/>
          <w:caps w:val="0"/>
          <w:color w:val="000000"/>
          <w:spacing w:val="0"/>
          <w:sz w:val="31"/>
          <w:szCs w:val="31"/>
        </w:rPr>
        <w:t>卫生健康支出（210）行政事业单位医疗（11）事业单位医疗（02）：</w:t>
      </w:r>
      <w:r>
        <w:rPr>
          <w:rFonts w:hint="eastAsia" w:ascii="仿宋" w:hAnsi="仿宋" w:eastAsia="仿宋" w:cs="仿宋"/>
          <w:i w:val="0"/>
          <w:iCs w:val="0"/>
          <w:caps w:val="0"/>
          <w:color w:val="000000"/>
          <w:spacing w:val="0"/>
          <w:sz w:val="31"/>
          <w:szCs w:val="31"/>
        </w:rPr>
        <w:t>支出决算为3.87万元，完成预算100%，与全年预算数持平。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28"/>
          <w:szCs w:val="28"/>
        </w:rPr>
        <w:t>7. </w:t>
      </w:r>
      <w:r>
        <w:rPr>
          <w:rStyle w:val="7"/>
          <w:rFonts w:hint="eastAsia" w:ascii="仿宋" w:hAnsi="仿宋" w:eastAsia="仿宋" w:cs="仿宋"/>
          <w:i w:val="0"/>
          <w:iCs w:val="0"/>
          <w:caps w:val="0"/>
          <w:color w:val="000000"/>
          <w:spacing w:val="0"/>
          <w:sz w:val="31"/>
          <w:szCs w:val="31"/>
        </w:rPr>
        <w:t>住房保障支出（221）住房改革支出（02）住房公积金（01）：</w:t>
      </w:r>
      <w:r>
        <w:rPr>
          <w:rFonts w:hint="eastAsia" w:ascii="仿宋" w:hAnsi="仿宋" w:eastAsia="仿宋" w:cs="仿宋"/>
          <w:i w:val="0"/>
          <w:iCs w:val="0"/>
          <w:caps w:val="0"/>
          <w:color w:val="000000"/>
          <w:spacing w:val="0"/>
          <w:sz w:val="31"/>
          <w:szCs w:val="31"/>
        </w:rPr>
        <w:t>支出决算为12.88万元，完成预算100%，与全年预算数持平。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六</w:t>
      </w:r>
      <w:r>
        <w:rPr>
          <w:rStyle w:val="7"/>
          <w:rFonts w:hint="eastAsia" w:ascii="黑体" w:hAnsi="宋体" w:eastAsia="黑体" w:cs="黑体"/>
          <w:i w:val="0"/>
          <w:iCs w:val="0"/>
          <w:caps w:val="0"/>
          <w:color w:val="000000"/>
          <w:spacing w:val="0"/>
          <w:sz w:val="31"/>
          <w:szCs w:val="31"/>
        </w:rPr>
        <w:t>、一</w:t>
      </w:r>
      <w:r>
        <w:rPr>
          <w:rFonts w:hint="eastAsia" w:ascii="黑体" w:hAnsi="宋体" w:eastAsia="黑体" w:cs="黑体"/>
          <w:i w:val="0"/>
          <w:iCs w:val="0"/>
          <w:caps w:val="0"/>
          <w:color w:val="000000"/>
          <w:spacing w:val="0"/>
          <w:sz w:val="31"/>
          <w:szCs w:val="31"/>
        </w:rPr>
        <w:t>般公共预算财政拨款基本支出决算情况说明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2022年一般公共预算财政拨款基本支出171.68万元，其中：</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99FF"/>
          <w:spacing w:val="0"/>
          <w:sz w:val="31"/>
          <w:szCs w:val="31"/>
          <w:u w:val="none"/>
        </w:rPr>
        <w:t>人员经费155.46万元，主要包括：基本工资36.94万元、津贴补贴51.18万元、奖金</w:t>
      </w:r>
      <w:r>
        <w:rPr>
          <w:rFonts w:hint="eastAsia" w:ascii="仿宋" w:hAnsi="仿宋" w:eastAsia="仿宋" w:cs="仿宋"/>
          <w:i w:val="0"/>
          <w:iCs w:val="0"/>
          <w:caps w:val="0"/>
          <w:color w:val="000000"/>
          <w:spacing w:val="0"/>
          <w:sz w:val="31"/>
          <w:szCs w:val="31"/>
        </w:rPr>
        <w:t>0万元、伙食补助费0.97万元、绩效工资26.15万元、机关事业单位基本养老保险缴费9.55万元、职业年金缴费0万元、职工基本医疗保险缴费3.87万元、公务员医疗补助缴费0万元、其他社会保障缴费3.23万元、住房公积金12.88万元、医疗费0万元、其他工资福利支出10.61万元、离休费0万元、退休费0万元、退职（役）费0万元、抚恤金0万元、生活补助0万元、救济费0万元、医疗费补助0万元、助学金0万元、奖励金0.08万元、个人农业生产补贴0万元、代缴社会保险0万元、其他对个人和家庭的补助支出0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公用经费16.22万元，主要包括：办公费1.56万元、印刷费0万元、咨询费0万元、手续费0万元、水费0.19万元、电费0.8万元、邮电费0.46万元、取暖费0万元、物业管理费0万元、差旅费2.45万元、因公出国（境）费用0万元、维修（护）费5.29万元、租赁费0万元、会议费0万元、培训费0.52万元、公务接待费0.12元、专用材料费0万元、被装购置费0万元、专用燃料费0万元、劳务费2.87万元、委托业务费0万元、工会经费0万元、福利费1.43万元、公务用车运行维护费0.52万元、其他交通费0万元、税金及附加费用0万元、其他商品和服务支出0万元、国内债务付息0万元、国外债务付息0万元、房屋建筑物构建0万元、办公设备购置0万元、专用设备购置0万元、基础设施建设0万元、大型修缮0万元、信息网络及软件购置更新0万元、物资储备0万元、土地补偿0万元、安置补助0万元、地上附着物和青苗补偿0万元、拆迁补偿0万元、公务用车购置0万元、其他交通工具购置0万元、文物和陈列品购置0万元、无形资产购置0万元、其他资本性支出0万元、国家赔偿费用支出0万元、对民间非营利组织和群众性自治组织补贴0万元、经常性赠与0万元、资本性赠与0万元、其他支出0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七、财政拨款</w:t>
      </w:r>
      <w:r>
        <w:rPr>
          <w:rStyle w:val="7"/>
          <w:rFonts w:hint="eastAsia" w:ascii="黑体" w:hAnsi="宋体" w:eastAsia="黑体" w:cs="黑体"/>
          <w:i w:val="0"/>
          <w:iCs w:val="0"/>
          <w:caps w:val="0"/>
          <w:color w:val="000000"/>
          <w:spacing w:val="0"/>
          <w:sz w:val="31"/>
          <w:szCs w:val="31"/>
        </w:rPr>
        <w:t>“</w:t>
      </w:r>
      <w:r>
        <w:rPr>
          <w:rFonts w:hint="eastAsia" w:ascii="黑体" w:hAnsi="宋体" w:eastAsia="黑体" w:cs="黑体"/>
          <w:i w:val="0"/>
          <w:iCs w:val="0"/>
          <w:caps w:val="0"/>
          <w:color w:val="000000"/>
          <w:spacing w:val="0"/>
          <w:sz w:val="31"/>
          <w:szCs w:val="31"/>
        </w:rPr>
        <w:t>三公”经费支出决算情况说明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（一）“三公”经费财政拨款支出决算总体情况说明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2022年“三公”经费财政拨款支出预算为0.64万元，决算为0.64万元，完成预算100%。决算数与预算数持平。较上年减少4.51万元，下降87.57%。主要原因是2022年因中央八项规定，本单位厉行节约、反对浪费。</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（二）“三公”经费财政拨款支出决算具体情况说明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2022年“三公”经费财政拨款支出决算中，因公出国（境）费支出决算0万元，占0%；公务用车购置及运行维护费支出决算0.52万元，占81.25%；公务接待费支出决算0.12万元，占18.75%。具体情况如下：</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27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Segoe UI" w:hAnsi="Segoe UI" w:eastAsia="Segoe UI" w:cs="Segoe UI"/>
          <w:i w:val="0"/>
          <w:iCs w:val="0"/>
          <w:caps w:val="0"/>
          <w:color w:val="000000"/>
          <w:spacing w:val="0"/>
          <w:sz w:val="18"/>
          <w:szCs w:val="18"/>
        </w:rPr>
        <w:drawing>
          <wp:inline distT="0" distB="0" distL="114300" distR="114300">
            <wp:extent cx="5676900" cy="3676650"/>
            <wp:effectExtent l="0" t="0" r="0" b="0"/>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4"/>
                    <a:stretch>
                      <a:fillRect/>
                    </a:stretch>
                  </pic:blipFill>
                  <pic:spPr>
                    <a:xfrm>
                      <a:off x="0" y="0"/>
                      <a:ext cx="5676900" cy="3676650"/>
                    </a:xfrm>
                    <a:prstGeom prst="rect">
                      <a:avLst/>
                    </a:prstGeom>
                    <a:noFill/>
                    <a:ln w="9525">
                      <a:noFill/>
                    </a:ln>
                  </pic:spPr>
                </pic:pic>
              </a:graphicData>
            </a:graphic>
          </wp:inline>
        </w:drawing>
      </w:r>
      <w:r>
        <w:rPr>
          <w:rFonts w:hint="eastAsia" w:ascii="仿宋" w:hAnsi="仿宋" w:eastAsia="仿宋" w:cs="仿宋"/>
          <w:i w:val="0"/>
          <w:iCs w:val="0"/>
          <w:caps w:val="0"/>
          <w:color w:val="000000"/>
          <w:spacing w:val="0"/>
          <w:sz w:val="31"/>
          <w:szCs w:val="3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（图7：“三公”经费财政拨款支出结构）（饼状图）</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default" w:ascii="仿宋_GB2312" w:hAnsi="Segoe UI" w:eastAsia="仿宋_GB2312" w:cs="仿宋_GB2312"/>
          <w:i w:val="0"/>
          <w:iCs w:val="0"/>
          <w:caps w:val="0"/>
          <w:color w:val="000000"/>
          <w:spacing w:val="0"/>
          <w:sz w:val="31"/>
          <w:szCs w:val="31"/>
        </w:rPr>
        <w:t>1.因公出国（境）经费支出</w:t>
      </w:r>
      <w:r>
        <w:rPr>
          <w:rFonts w:hint="eastAsia" w:ascii="仿宋" w:hAnsi="仿宋" w:eastAsia="仿宋" w:cs="仿宋"/>
          <w:i w:val="0"/>
          <w:iCs w:val="0"/>
          <w:caps w:val="0"/>
          <w:color w:val="000000"/>
          <w:spacing w:val="0"/>
          <w:sz w:val="31"/>
          <w:szCs w:val="31"/>
        </w:rPr>
        <w:t>0</w:t>
      </w:r>
      <w:r>
        <w:rPr>
          <w:rFonts w:hint="default" w:ascii="仿宋_GB2312" w:hAnsi="Segoe UI" w:eastAsia="仿宋_GB2312" w:cs="仿宋_GB2312"/>
          <w:i w:val="0"/>
          <w:iCs w:val="0"/>
          <w:caps w:val="0"/>
          <w:color w:val="000000"/>
          <w:spacing w:val="0"/>
          <w:sz w:val="31"/>
          <w:szCs w:val="31"/>
        </w:rPr>
        <w:t>万元，</w:t>
      </w:r>
      <w:r>
        <w:rPr>
          <w:rFonts w:hint="eastAsia" w:ascii="仿宋" w:hAnsi="仿宋" w:eastAsia="仿宋" w:cs="仿宋"/>
          <w:i w:val="0"/>
          <w:iCs w:val="0"/>
          <w:caps w:val="0"/>
          <w:color w:val="000000"/>
          <w:spacing w:val="0"/>
          <w:sz w:val="31"/>
          <w:szCs w:val="31"/>
        </w:rPr>
        <w:t>完成预算0%。</w:t>
      </w:r>
      <w:r>
        <w:rPr>
          <w:rFonts w:hint="default" w:ascii="仿宋_GB2312" w:hAnsi="Segoe UI" w:eastAsia="仿宋_GB2312" w:cs="仿宋_GB2312"/>
          <w:i w:val="0"/>
          <w:iCs w:val="0"/>
          <w:caps w:val="0"/>
          <w:color w:val="000000"/>
          <w:spacing w:val="0"/>
          <w:sz w:val="31"/>
          <w:szCs w:val="31"/>
        </w:rPr>
        <w:t>全年安排因公出国（境）团组0次，出国（境）0人。因公出国（境）支出决算与2021年持平。</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default" w:ascii="仿宋_GB2312" w:hAnsi="Segoe UI" w:eastAsia="仿宋_GB2312" w:cs="仿宋_GB2312"/>
          <w:i w:val="0"/>
          <w:iCs w:val="0"/>
          <w:caps w:val="0"/>
          <w:color w:val="000000"/>
          <w:spacing w:val="0"/>
          <w:sz w:val="31"/>
          <w:szCs w:val="31"/>
        </w:rPr>
        <w:t>2.公务用车购置及运行维护费支出</w:t>
      </w:r>
      <w:r>
        <w:rPr>
          <w:rFonts w:hint="eastAsia" w:ascii="仿宋" w:hAnsi="仿宋" w:eastAsia="仿宋" w:cs="仿宋"/>
          <w:i w:val="0"/>
          <w:iCs w:val="0"/>
          <w:caps w:val="0"/>
          <w:color w:val="000000"/>
          <w:spacing w:val="0"/>
          <w:sz w:val="31"/>
          <w:szCs w:val="31"/>
        </w:rPr>
        <w:t>0.52</w:t>
      </w:r>
      <w:r>
        <w:rPr>
          <w:rFonts w:hint="default" w:ascii="仿宋_GB2312" w:hAnsi="Segoe UI" w:eastAsia="仿宋_GB2312" w:cs="仿宋_GB2312"/>
          <w:i w:val="0"/>
          <w:iCs w:val="0"/>
          <w:caps w:val="0"/>
          <w:color w:val="000000"/>
          <w:spacing w:val="0"/>
          <w:sz w:val="31"/>
          <w:szCs w:val="31"/>
        </w:rPr>
        <w:t>万元，</w:t>
      </w:r>
      <w:r>
        <w:rPr>
          <w:rFonts w:hint="eastAsia" w:ascii="仿宋" w:hAnsi="仿宋" w:eastAsia="仿宋" w:cs="仿宋"/>
          <w:i w:val="0"/>
          <w:iCs w:val="0"/>
          <w:caps w:val="0"/>
          <w:color w:val="000000"/>
          <w:spacing w:val="0"/>
          <w:sz w:val="31"/>
          <w:szCs w:val="31"/>
        </w:rPr>
        <w:t>完成预算100%，与2021年相比，减少3.38万元，下降86.72%。主要原因是2022年单位公务用车维修费减少。</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其中：</w:t>
      </w:r>
      <w:r>
        <w:rPr>
          <w:rStyle w:val="7"/>
          <w:rFonts w:hint="default" w:ascii="仿宋_GB2312" w:hAnsi="Segoe UI" w:eastAsia="仿宋_GB2312" w:cs="仿宋_GB2312"/>
          <w:i w:val="0"/>
          <w:iCs w:val="0"/>
          <w:caps w:val="0"/>
          <w:color w:val="000000"/>
          <w:spacing w:val="0"/>
          <w:sz w:val="31"/>
          <w:szCs w:val="31"/>
        </w:rPr>
        <w:t>公务用车购置支出</w:t>
      </w:r>
      <w:r>
        <w:rPr>
          <w:rFonts w:hint="default" w:ascii="仿宋_GB2312" w:hAnsi="Segoe UI" w:eastAsia="仿宋_GB2312" w:cs="仿宋_GB2312"/>
          <w:i w:val="0"/>
          <w:iCs w:val="0"/>
          <w:caps w:val="0"/>
          <w:color w:val="000000"/>
          <w:spacing w:val="0"/>
          <w:sz w:val="31"/>
          <w:szCs w:val="31"/>
        </w:rPr>
        <w:t>0万元。全年按规定更新购置公务用车0辆，其中：轿车0辆、金额0万元，越野车0辆、金额0万元，载客汽车0辆、金额0万元。截至2022年12月底，单位共有公务用车0辆，其中：轿车0辆、越野车0辆、载客汽车0辆、其他车型0辆。</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default" w:ascii="仿宋_GB2312" w:hAnsi="Segoe UI" w:eastAsia="仿宋_GB2312" w:cs="仿宋_GB2312"/>
          <w:i w:val="0"/>
          <w:iCs w:val="0"/>
          <w:caps w:val="0"/>
          <w:color w:val="000000"/>
          <w:spacing w:val="0"/>
          <w:sz w:val="31"/>
          <w:szCs w:val="31"/>
        </w:rPr>
        <w:t>公务用车运行维护费支出</w:t>
      </w:r>
      <w:r>
        <w:rPr>
          <w:rFonts w:hint="default" w:ascii="仿宋_GB2312" w:hAnsi="Segoe UI" w:eastAsia="仿宋_GB2312" w:cs="仿宋_GB2312"/>
          <w:i w:val="0"/>
          <w:iCs w:val="0"/>
          <w:caps w:val="0"/>
          <w:color w:val="000000"/>
          <w:spacing w:val="0"/>
          <w:sz w:val="31"/>
          <w:szCs w:val="31"/>
        </w:rPr>
        <w:t>0.52万元，主要用于办公出行等所需的公务用车燃料费、维修费、过路过桥费、保险费等支出。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default" w:ascii="仿宋_GB2312" w:hAnsi="Segoe UI" w:eastAsia="仿宋_GB2312" w:cs="仿宋_GB2312"/>
          <w:i w:val="0"/>
          <w:iCs w:val="0"/>
          <w:caps w:val="0"/>
          <w:color w:val="000000"/>
          <w:spacing w:val="0"/>
          <w:sz w:val="31"/>
          <w:szCs w:val="31"/>
        </w:rPr>
        <w:t>3.公务接待费支出</w:t>
      </w:r>
      <w:r>
        <w:rPr>
          <w:rFonts w:hint="default" w:ascii="仿宋_GB2312" w:hAnsi="Segoe UI" w:eastAsia="仿宋_GB2312" w:cs="仿宋_GB2312"/>
          <w:i w:val="0"/>
          <w:iCs w:val="0"/>
          <w:caps w:val="0"/>
          <w:color w:val="000000"/>
          <w:spacing w:val="0"/>
          <w:sz w:val="31"/>
          <w:szCs w:val="31"/>
        </w:rPr>
        <w:t>0.12万元，</w:t>
      </w:r>
      <w:r>
        <w:rPr>
          <w:rFonts w:hint="eastAsia" w:ascii="仿宋" w:hAnsi="仿宋" w:eastAsia="仿宋" w:cs="仿宋"/>
          <w:i w:val="0"/>
          <w:iCs w:val="0"/>
          <w:caps w:val="0"/>
          <w:color w:val="000000"/>
          <w:spacing w:val="0"/>
          <w:sz w:val="31"/>
          <w:szCs w:val="31"/>
        </w:rPr>
        <w:t>完成预算100%，与2021年相比，公务接待费支出决算比2021年减少1.13万元，下降90.24%。主要变动原因是因中央八项规定，本单位厉行节约、反对浪费的要求。</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国内公务接待支出</w:t>
      </w:r>
      <w:r>
        <w:rPr>
          <w:rFonts w:hint="default" w:ascii="仿宋_GB2312" w:hAnsi="Segoe UI" w:eastAsia="仿宋_GB2312" w:cs="仿宋_GB2312"/>
          <w:i w:val="0"/>
          <w:iCs w:val="0"/>
          <w:caps w:val="0"/>
          <w:color w:val="000000"/>
          <w:spacing w:val="0"/>
          <w:sz w:val="31"/>
          <w:szCs w:val="31"/>
        </w:rPr>
        <w:t>0.12万元。国内公务接待1批次，24人次（不包括陪同人员），共计支出0.12万元。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外事接待支出</w:t>
      </w:r>
      <w:r>
        <w:rPr>
          <w:rFonts w:hint="default" w:ascii="仿宋_GB2312" w:hAnsi="Segoe UI" w:eastAsia="仿宋_GB2312" w:cs="仿宋_GB2312"/>
          <w:i w:val="0"/>
          <w:iCs w:val="0"/>
          <w:caps w:val="0"/>
          <w:color w:val="000000"/>
          <w:spacing w:val="0"/>
          <w:sz w:val="31"/>
          <w:szCs w:val="31"/>
        </w:rPr>
        <w:t>0万元，外事接待0批次，0人，共计支出0万元。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八、政府性基金预算支出决算情况说明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2022年政府性基金预算财政拨款支出25万元。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九、</w:t>
      </w:r>
      <w:r>
        <w:rPr>
          <w:rFonts w:hint="eastAsia" w:ascii="黑体" w:hAnsi="宋体" w:eastAsia="黑体" w:cs="黑体"/>
          <w:i w:val="0"/>
          <w:iCs w:val="0"/>
          <w:caps w:val="0"/>
          <w:color w:val="0099FF"/>
          <w:spacing w:val="0"/>
          <w:sz w:val="31"/>
          <w:szCs w:val="31"/>
          <w:u w:val="none"/>
        </w:rPr>
        <w:t>国有资本经营预算支出决算情况说明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2022年国有资本经营预算财政拨款支出0万元。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31"/>
          <w:szCs w:val="31"/>
        </w:rPr>
        <w:t>十、</w:t>
      </w:r>
      <w:r>
        <w:rPr>
          <w:rFonts w:hint="eastAsia" w:ascii="黑体" w:hAnsi="宋体" w:eastAsia="黑体" w:cs="黑体"/>
          <w:i w:val="0"/>
          <w:iCs w:val="0"/>
          <w:caps w:val="0"/>
          <w:color w:val="0099FF"/>
          <w:spacing w:val="0"/>
          <w:sz w:val="31"/>
          <w:szCs w:val="31"/>
          <w:u w:val="none"/>
        </w:rPr>
        <w:t>其他重要事项的情况说明</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（一）机关运行经费支出情况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2022年，四川省乐山市沙湾区政府采购管理中心机关运行经费支出0万元，</w:t>
      </w:r>
      <w:r>
        <w:rPr>
          <w:rFonts w:hint="eastAsia" w:ascii="仿宋" w:hAnsi="仿宋" w:eastAsia="仿宋" w:cs="仿宋"/>
          <w:i w:val="0"/>
          <w:iCs w:val="0"/>
          <w:caps w:val="0"/>
          <w:color w:val="000000"/>
          <w:spacing w:val="0"/>
          <w:sz w:val="31"/>
          <w:szCs w:val="31"/>
        </w:rPr>
        <w:t>与2021年决算数持平。本单位为事业单位，未使用机关运行经费相关科目，机关运行经费安排为零。</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（二）政府采购支出情况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2022年，四川省乐山市沙湾区政府采购管理中心采购支出总额0万元，其中：政府采购货物支出0万元、政府采购工程支出0万元、政府采购服务支出0万元。授予中小企业合同金额0万元，占政府采购支出总额的0%。</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（三）国有资产占有使用情况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_GB2312" w:hAnsi="Segoe UI" w:eastAsia="仿宋_GB2312" w:cs="仿宋_GB2312"/>
          <w:i w:val="0"/>
          <w:iCs w:val="0"/>
          <w:caps w:val="0"/>
          <w:color w:val="000000"/>
          <w:spacing w:val="0"/>
          <w:sz w:val="31"/>
          <w:szCs w:val="31"/>
          <w:lang w:val="en-US" w:eastAsia="zh-CN"/>
        </w:rPr>
        <w:t>截至</w:t>
      </w:r>
      <w:r>
        <w:rPr>
          <w:rFonts w:hint="default" w:ascii="仿宋_GB2312" w:hAnsi="Segoe UI" w:eastAsia="仿宋_GB2312" w:cs="仿宋_GB2312"/>
          <w:i w:val="0"/>
          <w:iCs w:val="0"/>
          <w:caps w:val="0"/>
          <w:color w:val="000000"/>
          <w:spacing w:val="0"/>
          <w:sz w:val="31"/>
          <w:szCs w:val="31"/>
        </w:rPr>
        <w:t>2022年12月31日，四川省乐山市沙湾区政府采购管理中心共有车辆1辆，其中：主要领导干部用车0辆、机要通信用车1辆、应急保障用车0辆、执法执勤用车0辆，特种专业技术用车0辆，离退休干部用车0辆，其他用车0辆，其他用车主要是用于办公使用，单价50万元以上通用设备0台（套），单价100万元以上专用设备0台（套）。</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（四）预算绩效管理情况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根据预算绩效管理要求，本部门在2022年度预算编制阶段，组织对标准化、示范化交易中心创建、评审费、交易平台维护、采购专项经费、创建工作等5个项目开展了预算事前绩效评估，对5个项目编制了绩效目标，预算执行过程中，选取5个项目开展绩效监控。</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组织对2022年度一般公共预算、政府性基金预算、国有资本经营预算、社会保险基金预算以及资本资产、债券资金等全面开展绩效自评，形成乐山市沙湾区政府采购管理中心部门整体（含部门预算项目）绩效自评报告，其中，部门整体（含部门预算项目）绩效自评得分为90分。年终执行完毕后，对5个项目开展了绩效自评，绩效自评报告详见附件。（第四部分）。</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43"/>
          <w:szCs w:val="43"/>
        </w:rPr>
        <w:t>第三部分 </w:t>
      </w:r>
      <w:r>
        <w:rPr>
          <w:rFonts w:hint="eastAsia" w:ascii="黑体" w:hAnsi="宋体" w:eastAsia="黑体" w:cs="黑体"/>
          <w:i w:val="0"/>
          <w:iCs w:val="0"/>
          <w:caps w:val="0"/>
          <w:color w:val="0099FF"/>
          <w:spacing w:val="0"/>
          <w:sz w:val="43"/>
          <w:szCs w:val="43"/>
          <w:u w:val="none"/>
        </w:rPr>
        <w:t>名</w:t>
      </w:r>
      <w:r>
        <w:rPr>
          <w:rFonts w:hint="eastAsia" w:ascii="黑体" w:hAnsi="宋体" w:eastAsia="黑体" w:cs="黑体"/>
          <w:i w:val="0"/>
          <w:iCs w:val="0"/>
          <w:caps w:val="0"/>
          <w:color w:val="000000"/>
          <w:spacing w:val="0"/>
          <w:sz w:val="43"/>
          <w:szCs w:val="43"/>
        </w:rPr>
        <w:t>词解释</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1.财政拨款收入：指单位从同级财政部门取得的财政预算资金。</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2.事业收入：指事业单位开展专业业务活动及辅助活动取得的收入。</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3.经营收入：指事业单位在专业业务活动及其辅助活动之外开展非独立核算经营活动取得的收入。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4.其他收入：指单位取得的除上述收入以外的各项收入。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5.使用非财政拨款结余：指事业单位使用以前年度积累的非财政拨款结余弥补当年收支差额的金额。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6.年初结转和结余：指以前年度尚未完成、结转到本年按有关规定继续使用的资金。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7.结余分配：指事业单位按照会计制度规定缴纳的所得税、提取的专用结余以及转入非财政拨款结余的金额等。</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8.年末结转和结余：指单位按有关规定结转到下年或以后年度继续使用的资金。</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9.一般公共服务支出（类）人大事务（款）事业运行（项）：反映事业单位的基本支出，不包括行政单位(包括实行公务 员管理的事业单位)后勤服务中心、医务室等附属事业单位。</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10.一般公共服务支出（类）政府办公厅（室）及相关机构事务（款）事业运行（项）：反映事业单位的基本支出，不包括行政单位(包括实行公务员管理的事业单位)后勤服务中心、医务室等附属事业单位。</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11.一般公共服务支出（类）政府办公厅（室）及相关机构事务（款）其他政府办公厅（室）及相关机构事务支出（项）：反映以外的其他政府办公厅(室)及相关机构事务支出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12.社会保障和就业支出（类）行政事业单位养老支出（款）机关事业单位基本养老保险缴费支出（项）：反映机关事业单位实施养老保险制度由单位缴纳的基本养老保险费支出。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13.社会保障和就业支出（类）其他社会保障和就业支出（款）其他社会保障和就业支出（项）：反映以外其他用于社会保障和就业方面的支出。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14.卫生健康支出（类）行政事业单位医疗（款）事业单位医疗（项）：反映财政部门安排的事业单位基本医疗保险缴费经费，未参 加医疗保险的事业单位的公费医疗经费，按国家规定享受离休 人员待遇的医疗经费。</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15.住房保障支出（类）住房改革支出（款）住房公积金（项）：反映行政事业单位按人力资源和社会保障部、财政部规定的 基本工资和津贴补贴以及规定比例为职工缴纳的住房公积金。</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16.基本支出：指为保障机构正常运转、完成日常工作任务而发生的人员支出和公用支出。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17.项目支出：指在基本支出之外为完成特定行政任务和事业发展目标所发生的支出。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18.经营支出：指事业单位在专业业务活动及其辅助活动之外开展非独立核算经营活动发生的支出。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宋体" w:hAnsi="宋体" w:eastAsia="宋体" w:cs="宋体"/>
          <w:i w:val="0"/>
          <w:iCs w:val="0"/>
          <w:caps w:val="0"/>
          <w:color w:val="000000"/>
          <w:spacing w:val="0"/>
          <w:sz w:val="43"/>
          <w:szCs w:val="43"/>
        </w:rPr>
        <w:br w:type="textWrapping"/>
      </w:r>
      <w:r>
        <w:rPr>
          <w:rFonts w:hint="eastAsia" w:ascii="黑体" w:hAnsi="宋体" w:eastAsia="黑体" w:cs="黑体"/>
          <w:i w:val="0"/>
          <w:iCs w:val="0"/>
          <w:caps w:val="0"/>
          <w:color w:val="000000"/>
          <w:spacing w:val="0"/>
          <w:sz w:val="43"/>
          <w:szCs w:val="43"/>
        </w:rPr>
        <w:t>第四部分 附件</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ascii="方正仿宋_GBK" w:hAnsi="方正仿宋_GBK" w:eastAsia="方正仿宋_GBK" w:cs="方正仿宋_GBK"/>
          <w:i w:val="0"/>
          <w:iCs w:val="0"/>
          <w:caps w:val="0"/>
          <w:color w:val="000000"/>
          <w:spacing w:val="0"/>
          <w:sz w:val="31"/>
          <w:szCs w:val="31"/>
          <w:shd w:val="clear" w:fill="FFFFFF"/>
        </w:rPr>
        <w:t>202</w:t>
      </w:r>
      <w:r>
        <w:rPr>
          <w:rStyle w:val="7"/>
          <w:rFonts w:hint="default" w:ascii="方正仿宋_GBK" w:hAnsi="方正仿宋_GBK" w:eastAsia="方正仿宋_GBK" w:cs="方正仿宋_GBK"/>
          <w:i w:val="0"/>
          <w:iCs w:val="0"/>
          <w:caps w:val="0"/>
          <w:color w:val="000000"/>
          <w:spacing w:val="0"/>
          <w:sz w:val="31"/>
          <w:szCs w:val="31"/>
          <w:shd w:val="clear" w:fill="FFFFFF"/>
        </w:rPr>
        <w:t>2年区级部门整体绩效评价报告</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方正仿宋_GBK" w:hAnsi="方正仿宋_GBK" w:eastAsia="方正仿宋_GBK" w:cs="方正仿宋_GBK"/>
          <w:i w:val="0"/>
          <w:iCs w:val="0"/>
          <w:caps w:val="0"/>
          <w:color w:val="000000"/>
          <w:spacing w:val="0"/>
          <w:sz w:val="31"/>
          <w:szCs w:val="31"/>
          <w:shd w:val="clear" w:fill="FFFFFF"/>
        </w:rPr>
        <w:t>（报告范围包括机关和下属单位）</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31"/>
          <w:szCs w:val="31"/>
          <w:shd w:val="clear" w:fill="FFFFFF"/>
        </w:rPr>
        <w:t>一、</w:t>
      </w:r>
      <w:r>
        <w:rPr>
          <w:rStyle w:val="7"/>
          <w:rFonts w:hint="eastAsia" w:ascii="仿宋" w:hAnsi="仿宋" w:eastAsia="仿宋" w:cs="仿宋"/>
          <w:i w:val="0"/>
          <w:iCs w:val="0"/>
          <w:caps w:val="0"/>
          <w:color w:val="000000"/>
          <w:spacing w:val="0"/>
          <w:sz w:val="31"/>
          <w:szCs w:val="31"/>
          <w:shd w:val="clear" w:fill="FFFFFF"/>
        </w:rPr>
        <w:t>部门概况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bCs/>
          <w:i w:val="0"/>
          <w:iCs w:val="0"/>
          <w:caps w:val="0"/>
          <w:color w:val="000000"/>
          <w:spacing w:val="0"/>
          <w:sz w:val="31"/>
          <w:szCs w:val="31"/>
          <w:shd w:val="clear" w:fill="FFFFFF"/>
        </w:rPr>
        <w:t>（一）</w:t>
      </w:r>
      <w:r>
        <w:rPr>
          <w:rStyle w:val="7"/>
          <w:rFonts w:hint="eastAsia" w:ascii="仿宋" w:hAnsi="仿宋" w:eastAsia="仿宋" w:cs="仿宋"/>
          <w:i w:val="0"/>
          <w:iCs w:val="0"/>
          <w:caps w:val="0"/>
          <w:color w:val="000000"/>
          <w:spacing w:val="0"/>
          <w:sz w:val="31"/>
          <w:szCs w:val="31"/>
          <w:shd w:val="clear" w:fill="FFFFFF"/>
        </w:rPr>
        <w:t>机构组成。</w:t>
      </w:r>
      <w:r>
        <w:rPr>
          <w:rFonts w:hint="default" w:ascii="仿宋_GB2312" w:hAnsi="Segoe UI" w:eastAsia="仿宋_GB2312" w:cs="仿宋_GB2312"/>
          <w:i w:val="0"/>
          <w:iCs w:val="0"/>
          <w:caps w:val="0"/>
          <w:color w:val="000000"/>
          <w:spacing w:val="0"/>
          <w:sz w:val="31"/>
          <w:szCs w:val="31"/>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 乐山市沙湾区公共资源交易服务中心（乐山市沙湾区政府采购管理中心），为区政府直属事业单位，内设“综合股、受理股、组织股、评审股、监督股”机构。</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（二）机构职能。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主要职能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1.贯彻落实公共资源交易服务活动的有关法律、法规和政策，为我区公共资源交易活动提供场所、设施和服务。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2.制定公共资源交易现场管理规章制度、工作流程并组织实施。</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3.承担区公共资源信息平台及电子交易平台建设和管理；按照有关规定统一发布公共资源交易信息，为交易各方提供交易咨询等服务。</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4.对全区进入区</w:t>
      </w:r>
      <w:r>
        <w:rPr>
          <w:rFonts w:hint="eastAsia" w:ascii="仿宋" w:hAnsi="仿宋" w:eastAsia="仿宋" w:cs="仿宋"/>
          <w:i w:val="0"/>
          <w:iCs w:val="0"/>
          <w:caps w:val="0"/>
          <w:color w:val="0099FF"/>
          <w:spacing w:val="0"/>
          <w:sz w:val="31"/>
          <w:szCs w:val="31"/>
          <w:u w:val="none"/>
        </w:rPr>
        <w:t>公共资源交易平台运作的建设工程招投标、政府采购、土地和矿产资源、国有产权和国有资产交易以及特殊资源、特许经营权出（转）让等</w:t>
      </w:r>
      <w:r>
        <w:rPr>
          <w:rFonts w:hint="eastAsia" w:ascii="仿宋" w:hAnsi="仿宋" w:eastAsia="仿宋" w:cs="仿宋"/>
          <w:i w:val="0"/>
          <w:iCs w:val="0"/>
          <w:caps w:val="0"/>
          <w:color w:val="000000"/>
          <w:spacing w:val="0"/>
          <w:sz w:val="31"/>
          <w:szCs w:val="31"/>
        </w:rPr>
        <w:t>公共资源交易提供现场服务。</w:t>
      </w:r>
      <w:r>
        <w:rPr>
          <w:rFonts w:hint="eastAsia" w:ascii="仿宋" w:hAnsi="仿宋" w:eastAsia="仿宋" w:cs="仿宋"/>
          <w:i w:val="0"/>
          <w:iCs w:val="0"/>
          <w:caps w:val="0"/>
          <w:color w:val="000000"/>
          <w:spacing w:val="0"/>
          <w:sz w:val="31"/>
          <w:szCs w:val="31"/>
        </w:rPr>
        <w:br w:type="textWrapping"/>
      </w:r>
      <w:r>
        <w:rPr>
          <w:rFonts w:hint="eastAsia" w:ascii="仿宋" w:hAnsi="仿宋" w:eastAsia="仿宋" w:cs="仿宋"/>
          <w:i w:val="0"/>
          <w:iCs w:val="0"/>
          <w:caps w:val="0"/>
          <w:color w:val="000000"/>
          <w:spacing w:val="0"/>
          <w:sz w:val="31"/>
          <w:szCs w:val="31"/>
        </w:rPr>
        <w:t>　　5.核查进场交易项目相关手续和参与交易活动各方主体资格。</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6.负责对进入区公共资源交易平台的交易各方进行现场监管，记录、制止和纠正违反交易现场管理制度的行为。</w:t>
      </w:r>
      <w:r>
        <w:rPr>
          <w:rFonts w:hint="eastAsia" w:ascii="仿宋" w:hAnsi="仿宋" w:eastAsia="仿宋" w:cs="仿宋"/>
          <w:i w:val="0"/>
          <w:iCs w:val="0"/>
          <w:caps w:val="0"/>
          <w:color w:val="000000"/>
          <w:spacing w:val="0"/>
          <w:sz w:val="31"/>
          <w:szCs w:val="31"/>
        </w:rPr>
        <w:br w:type="textWrapping"/>
      </w:r>
      <w:r>
        <w:rPr>
          <w:rFonts w:hint="eastAsia" w:ascii="仿宋" w:hAnsi="仿宋" w:eastAsia="仿宋" w:cs="仿宋"/>
          <w:i w:val="0"/>
          <w:iCs w:val="0"/>
          <w:caps w:val="0"/>
          <w:color w:val="000000"/>
          <w:spacing w:val="0"/>
          <w:sz w:val="31"/>
          <w:szCs w:val="31"/>
        </w:rPr>
        <w:t>    7.承担区委、区政府及区招监委安排的其它工作。</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（三）人员概况。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截</w:t>
      </w:r>
      <w:r>
        <w:rPr>
          <w:rFonts w:hint="eastAsia" w:ascii="仿宋" w:hAnsi="仿宋" w:eastAsia="仿宋" w:cs="仿宋"/>
          <w:i w:val="0"/>
          <w:iCs w:val="0"/>
          <w:caps w:val="0"/>
          <w:color w:val="000000"/>
          <w:spacing w:val="0"/>
          <w:sz w:val="31"/>
          <w:szCs w:val="31"/>
          <w:lang w:val="en-US" w:eastAsia="zh-CN"/>
        </w:rPr>
        <w:t>至</w:t>
      </w:r>
      <w:r>
        <w:rPr>
          <w:rFonts w:hint="eastAsia" w:ascii="仿宋" w:hAnsi="仿宋" w:eastAsia="仿宋" w:cs="仿宋"/>
          <w:i w:val="0"/>
          <w:iCs w:val="0"/>
          <w:caps w:val="0"/>
          <w:color w:val="000000"/>
          <w:spacing w:val="0"/>
          <w:sz w:val="31"/>
          <w:szCs w:val="31"/>
        </w:rPr>
        <w:t>2022年12月31日我中心有在职人员10人，其中管理的事业人员10人。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二、部门财政资金收支情况</w:t>
      </w:r>
      <w:bookmarkStart w:id="0" w:name="_GoBack"/>
      <w:bookmarkEnd w:id="0"/>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（一）部门财政资金收入情况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2022年部门财政资金总收入220.87万元，一般公共预算财政拨款收入195.87万元，政府性资金预算财政拨款收入0 万元。其中社会保障和就业收入11.79万元，卫生健康收入3.87万元，城乡社区收入25万元，住房保障收入12.88万元。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（二）部门财政资金支出情况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2022年部门财政资金总支出 220.87万元，其中人员经费155.46万元，公用经费16.22万元，项目支出49.2万元。</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三、部门整体绩效管理情况（根据自评体系进行描述）</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（一）部门整体履职绩效分析。</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我部门2022年预算编制严格按照区级部门预算编制通知、编制口径及有关要求，依据我部门2022年工作任务测算，提前细化专项预算，按时完成了预决算编制工作、绩效目标填报等。实行预决算动态管理，于8月和11月对预算进度进行了统计分析，适时调整进度及指标用途调剂。强化预决算硬约束性，加大资金支付内控管理。2022年基本支出决算执行完成预算的100%；项目支出完成预算的100%。</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（二）特定目标类项目绩效分析。</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1.整体情况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绩效目标制定，部门组织对本部门绩效目标开展内部审核，部门绩效目标基本科学合理、规范完整、细化量化并与预算安排相匹配。绩效目标实现，支出控制，部门日常公用经费、项目支出中“办公费、印刷费、水费、电费、物业管理费”等科目年初预算数与决算数偏差程度在10%以内，严格按照厉行节约的方针要求支出管理。及时处置，绩效运行监控对发现问题提出预算收回、调整处置意见并加以落实。执行进度，部门预算执行进度在6、9、11月实际支出进度分别达到39.5%、65.5%、86.5%的要求。预算完成情况，2022年基本支出决算执行完成预算的100%；项目支出完成预算的100%。资金结余率，按支出结余为零。违规记录，依据评价年度审计监督、财会监督和部门自查结果，未出现未落实党政机关过紧日子相关要求，以及部门预算管理方面违纪违规等问题。                </w:t>
      </w:r>
      <w:r>
        <w:rPr>
          <w:rFonts w:ascii="楷体" w:hAnsi="楷体" w:eastAsia="楷体" w:cs="楷体"/>
          <w:i w:val="0"/>
          <w:iCs w:val="0"/>
          <w:caps w:val="0"/>
          <w:color w:val="000000"/>
          <w:spacing w:val="0"/>
          <w:sz w:val="31"/>
          <w:szCs w:val="31"/>
          <w:shd w:val="clear" w:fill="FFFFFF"/>
        </w:rPr>
        <w:t>   </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shd w:val="clear" w:fill="FFFFFF"/>
        </w:rPr>
        <w:t>2.100万以上项目：</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shd w:val="clear" w:fill="FFFFFF"/>
        </w:rPr>
        <w:t>我部门无100万以上项目。</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85" w:lineRule="atLeast"/>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（三）结果应用情况。</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将把绩效评价结果充分运用到部门预算编制工作中，开展项目预算事前绩效评估，以绩效定预算，在确保基本人员开支和正常运行支出的前提下，坚持“保重点、促发展”的原则，统筹安排公共资源交易项目，开展预算执行进度绩效监控，适时对绩效目标进行调整，让绩效管理贯穿于预算编制全过程。项目完成后部门组织对项目开展绩效自评，按时公开部门绩效自评报告。</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rPr>
        <w:t>四、评价结论及建议</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（一）评价结论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2022年我单位整体支出绩效评价自评91分。2022年，我单位预算执行规范有序，预算资金严格按照财政预算管理制度运行，严格按“新预算法”执行基本支出和项目支出，加大管控执行力度，增强支出的计划性和严肃性，合理调配资金，压缩“三公经费”，突出保障重点，提高了资金使用效益。</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（二）存在问题。</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1.预算管理不够精细。在预算管理过程中，需加强中心内设机构的协调联动，保证预算编制的合理与精细；</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2.对绩效目标动态监控重视度不够；</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3.资产管理有待加强；</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4.绩效评价结果应用没有达到预期效果。</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Style w:val="7"/>
          <w:rFonts w:hint="eastAsia" w:ascii="仿宋" w:hAnsi="仿宋" w:eastAsia="仿宋" w:cs="仿宋"/>
          <w:i w:val="0"/>
          <w:iCs w:val="0"/>
          <w:caps w:val="0"/>
          <w:color w:val="000000"/>
          <w:spacing w:val="0"/>
          <w:sz w:val="31"/>
          <w:szCs w:val="31"/>
          <w:shd w:val="clear" w:fill="FFFFFF"/>
        </w:rPr>
        <w:t>（三）改进建议。</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1.财政应多组织加强政策和业务方面学习的培训，建议细化预算指标、提高预算科学性；</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2.预算编制做到合理、精细；</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3.加强沟通,积极汇报,加快资金拨付进度；</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4.加强对项目资金全过程监管，强化绩效管理；</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5.资料数据的真实性与可靠性,加强对绩效评价结果的应用。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555" w:lineRule="atLeast"/>
        <w:ind w:left="0" w:right="0" w:firstLine="420"/>
        <w:jc w:val="left"/>
        <w:rPr>
          <w:rFonts w:hint="default" w:ascii="Segoe UI" w:hAnsi="Segoe UI" w:eastAsia="Segoe UI" w:cs="Segoe UI"/>
          <w:i w:val="0"/>
          <w:iCs w:val="0"/>
          <w:caps w:val="0"/>
          <w:color w:val="000000"/>
          <w:spacing w:val="0"/>
          <w:sz w:val="18"/>
          <w:szCs w:val="18"/>
        </w:rPr>
      </w:pPr>
      <w:r>
        <w:rPr>
          <w:rFonts w:hint="default" w:ascii="仿宋_GB2312" w:hAnsi="Segoe UI" w:eastAsia="仿宋_GB2312" w:cs="仿宋_GB2312"/>
          <w:i w:val="0"/>
          <w:iCs w:val="0"/>
          <w:caps w:val="0"/>
          <w:color w:val="000000"/>
          <w:spacing w:val="0"/>
          <w:sz w:val="31"/>
          <w:szCs w:val="31"/>
        </w:rPr>
        <w:t>附表：部门预算项目支出绩效自评表（</w:t>
      </w:r>
      <w:r>
        <w:rPr>
          <w:rFonts w:hint="default" w:ascii="Times New Roman" w:hAnsi="Times New Roman" w:eastAsia="仿宋_GB2312" w:cs="Times New Roman"/>
          <w:i w:val="0"/>
          <w:iCs w:val="0"/>
          <w:caps w:val="0"/>
          <w:color w:val="000000"/>
          <w:spacing w:val="0"/>
          <w:sz w:val="31"/>
          <w:szCs w:val="31"/>
        </w:rPr>
        <w:t>2022</w:t>
      </w:r>
      <w:r>
        <w:rPr>
          <w:rFonts w:hint="default" w:ascii="仿宋_GB2312" w:hAnsi="Segoe UI" w:eastAsia="仿宋_GB2312" w:cs="仿宋_GB2312"/>
          <w:i w:val="0"/>
          <w:iCs w:val="0"/>
          <w:caps w:val="0"/>
          <w:color w:val="000000"/>
          <w:spacing w:val="0"/>
          <w:sz w:val="31"/>
          <w:szCs w:val="31"/>
        </w:rPr>
        <w:t>年度）</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22"/>
        <w:gridCol w:w="454"/>
        <w:gridCol w:w="454"/>
        <w:gridCol w:w="1656"/>
        <w:gridCol w:w="1043"/>
        <w:gridCol w:w="1159"/>
        <w:gridCol w:w="977"/>
        <w:gridCol w:w="927"/>
        <w:gridCol w:w="9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Style w:val="7"/>
                <w:rFonts w:hint="eastAsia" w:ascii="宋体" w:hAnsi="宋体" w:eastAsia="宋体" w:cs="宋体"/>
                <w:i w:val="0"/>
                <w:iCs w:val="0"/>
                <w:caps w:val="0"/>
                <w:color w:val="000000"/>
                <w:spacing w:val="0"/>
                <w:sz w:val="36"/>
                <w:szCs w:val="36"/>
              </w:rPr>
              <w:t>区级项目支出绩效自评表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项目名称：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专家评审费</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w:t>
            </w:r>
          </w:p>
        </w:tc>
        <w:tc>
          <w:tcPr>
            <w:tcW w:w="0" w:type="auto"/>
            <w:gridSpan w:val="4"/>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主管部门：</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乐山市沙湾区人民政府</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实施单位：</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乐山市沙湾区政府采购管理中心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全年预算数</w:t>
            </w:r>
          </w:p>
        </w:tc>
        <w:tc>
          <w:tcPr>
            <w:tcW w:w="0" w:type="auto"/>
            <w:gridSpan w:val="2"/>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全年执行数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年度资金总额</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其中：财政拨款</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其他资金</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年度总体目标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预期目标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全区采购项目专家评审劳务费</w:t>
            </w:r>
          </w:p>
        </w:tc>
        <w:tc>
          <w:tcPr>
            <w:tcW w:w="0" w:type="auto"/>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全区采购项目专家评审劳务费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一级指标</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二级指标</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三级指标</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年度指标值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实际完成值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分值/权重</w:t>
            </w:r>
            <w:r>
              <w:rPr>
                <w:rFonts w:hint="eastAsia" w:ascii="宋体" w:hAnsi="宋体" w:eastAsia="宋体" w:cs="宋体"/>
                <w:i w:val="0"/>
                <w:iCs w:val="0"/>
                <w:caps w:val="0"/>
                <w:color w:val="000000"/>
                <w:spacing w:val="0"/>
                <w:sz w:val="18"/>
                <w:szCs w:val="18"/>
              </w:rPr>
              <w:br w:type="textWrapping"/>
            </w:r>
            <w:r>
              <w:rPr>
                <w:rFonts w:hint="eastAsia" w:ascii="宋体" w:hAnsi="宋体" w:eastAsia="宋体" w:cs="宋体"/>
                <w:i w:val="0"/>
                <w:iCs w:val="0"/>
                <w:caps w:val="0"/>
                <w:color w:val="000000"/>
                <w:spacing w:val="0"/>
                <w:sz w:val="18"/>
                <w:szCs w:val="18"/>
              </w:rPr>
              <w:t>（百分制）</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得分</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扣分原因分析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    分</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4"/>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预算执行率（10分）</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产出指标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数量指标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专家评审项目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29个项目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29个项目</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质量指标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完成全区政府采购项目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时效指标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成本指标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效益指标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经济效益指标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资金使用无重大违规违纪问题</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社会效益指标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生态效益指标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可持续影响指标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通过政府采购项目，更好地履行了政府采购职责，提高了采购质量和效率，有效节约财政资金。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群众、服务对象满意度</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ascii="Arial" w:hAnsi="Arial" w:eastAsia="Segoe UI" w:cs="Arial"/>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22"/>
                <w:szCs w:val="22"/>
              </w:rPr>
              <w:t>说明：1.预算执行率得分=全年执行数/全年预算数*10分；</w:t>
            </w:r>
            <w:r>
              <w:rPr>
                <w:rFonts w:hint="eastAsia" w:ascii="宋体" w:hAnsi="宋体" w:eastAsia="宋体" w:cs="宋体"/>
                <w:i w:val="0"/>
                <w:iCs w:val="0"/>
                <w:caps w:val="0"/>
                <w:color w:val="000000"/>
                <w:spacing w:val="0"/>
                <w:sz w:val="22"/>
                <w:szCs w:val="22"/>
              </w:rPr>
              <w:br w:type="textWrapping"/>
            </w:r>
            <w:r>
              <w:rPr>
                <w:rFonts w:hint="eastAsia" w:ascii="宋体" w:hAnsi="宋体" w:eastAsia="宋体" w:cs="宋体"/>
                <w:i w:val="0"/>
                <w:iCs w:val="0"/>
                <w:caps w:val="0"/>
                <w:color w:val="000000"/>
                <w:spacing w:val="0"/>
                <w:sz w:val="22"/>
                <w:szCs w:val="22"/>
              </w:rPr>
              <w:t>      2.“产出指标、效益指标、满意度指标”一共90分，对应的是一体化系统中单位编制的项目绩效目标。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Style w:val="7"/>
                <w:rFonts w:hint="eastAsia" w:ascii="宋体" w:hAnsi="宋体" w:eastAsia="宋体" w:cs="宋体"/>
                <w:i w:val="0"/>
                <w:iCs w:val="0"/>
                <w:caps w:val="0"/>
                <w:color w:val="000000"/>
                <w:spacing w:val="0"/>
                <w:sz w:val="36"/>
                <w:szCs w:val="36"/>
              </w:rPr>
              <w:t>区级项目支出绩效自评表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项目名称：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采购专项经费</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w:t>
            </w:r>
          </w:p>
        </w:tc>
        <w:tc>
          <w:tcPr>
            <w:tcW w:w="0" w:type="auto"/>
            <w:gridSpan w:val="4"/>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主管部门：</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乐山市沙湾区人民政府</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实施单位：</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乐山市沙湾区政府采购管理中心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全年预算数</w:t>
            </w:r>
          </w:p>
        </w:tc>
        <w:tc>
          <w:tcPr>
            <w:tcW w:w="0" w:type="auto"/>
            <w:gridSpan w:val="2"/>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全年执行数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年度资金总额</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其中：财政拨款</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其他资金</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年度总体目标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预期目标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完成全区采购项目现场会务专项费</w:t>
            </w:r>
          </w:p>
        </w:tc>
        <w:tc>
          <w:tcPr>
            <w:tcW w:w="0" w:type="auto"/>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完成全区采购项目现场会务专项费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一级指标</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二级指标</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三级指标</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年度指标值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实际完成值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分值/权重</w:t>
            </w:r>
            <w:r>
              <w:rPr>
                <w:rFonts w:hint="eastAsia" w:ascii="宋体" w:hAnsi="宋体" w:eastAsia="宋体" w:cs="宋体"/>
                <w:i w:val="0"/>
                <w:iCs w:val="0"/>
                <w:caps w:val="0"/>
                <w:color w:val="000000"/>
                <w:spacing w:val="0"/>
                <w:sz w:val="18"/>
                <w:szCs w:val="18"/>
              </w:rPr>
              <w:br w:type="textWrapping"/>
            </w:r>
            <w:r>
              <w:rPr>
                <w:rFonts w:hint="eastAsia" w:ascii="宋体" w:hAnsi="宋体" w:eastAsia="宋体" w:cs="宋体"/>
                <w:i w:val="0"/>
                <w:iCs w:val="0"/>
                <w:caps w:val="0"/>
                <w:color w:val="000000"/>
                <w:spacing w:val="0"/>
                <w:sz w:val="18"/>
                <w:szCs w:val="18"/>
              </w:rPr>
              <w:t>（百分制）</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得分</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扣分原因分析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    分</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4"/>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预算执行率（10分）</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产出指标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数量指标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专家评审项目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29个项目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29个项目</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质量指标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完成全区政府采购项目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时效指标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成本指标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效益指标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经济效益指标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资金使用无重大违规违纪问题</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社会效益指标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生态效益指标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可持续影响指标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通过政府采购项目，更好地履行了政府采购职责，提高了采购质量和效率，有效节约财政资金。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群众、服务对象满意度</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default" w:ascii="Arial" w:hAnsi="Arial" w:eastAsia="Segoe UI" w:cs="Arial"/>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22"/>
                <w:szCs w:val="22"/>
              </w:rPr>
              <w:t>说明：1.预算执行率得分=全年执行数/全年预算数*10分；</w:t>
            </w:r>
            <w:r>
              <w:rPr>
                <w:rFonts w:hint="eastAsia" w:ascii="宋体" w:hAnsi="宋体" w:eastAsia="宋体" w:cs="宋体"/>
                <w:i w:val="0"/>
                <w:iCs w:val="0"/>
                <w:caps w:val="0"/>
                <w:color w:val="000000"/>
                <w:spacing w:val="0"/>
                <w:sz w:val="22"/>
                <w:szCs w:val="22"/>
              </w:rPr>
              <w:br w:type="textWrapping"/>
            </w:r>
            <w:r>
              <w:rPr>
                <w:rFonts w:hint="eastAsia" w:ascii="宋体" w:hAnsi="宋体" w:eastAsia="宋体" w:cs="宋体"/>
                <w:i w:val="0"/>
                <w:iCs w:val="0"/>
                <w:caps w:val="0"/>
                <w:color w:val="000000"/>
                <w:spacing w:val="0"/>
                <w:sz w:val="22"/>
                <w:szCs w:val="22"/>
              </w:rPr>
              <w:t>      2.“产出指标、效益指标、满意度指标”一共90分，对应的是一体化系统中单位编制的项目绩效目标。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Style w:val="7"/>
                <w:rFonts w:hint="eastAsia" w:ascii="宋体" w:hAnsi="宋体" w:eastAsia="宋体" w:cs="宋体"/>
                <w:i w:val="0"/>
                <w:iCs w:val="0"/>
                <w:caps w:val="0"/>
                <w:color w:val="000000"/>
                <w:spacing w:val="0"/>
                <w:sz w:val="36"/>
                <w:szCs w:val="36"/>
              </w:rPr>
              <w:t>区级项目支出绩效自评表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项目名称：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电子平台维护费</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w:t>
            </w:r>
          </w:p>
        </w:tc>
        <w:tc>
          <w:tcPr>
            <w:tcW w:w="0" w:type="auto"/>
            <w:gridSpan w:val="4"/>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主管部门：</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乐山市沙湾区人民政府</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实施单位：</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乐山市沙湾区政府采购管理中心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全年预算数</w:t>
            </w:r>
          </w:p>
        </w:tc>
        <w:tc>
          <w:tcPr>
            <w:tcW w:w="0" w:type="auto"/>
            <w:gridSpan w:val="2"/>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全年执行数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年度资金总额</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其中：财政拨款</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4</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其他资金</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年度总体目标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预期目标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全区政府采购电子化交易平台的维护</w:t>
            </w:r>
          </w:p>
        </w:tc>
        <w:tc>
          <w:tcPr>
            <w:tcW w:w="0" w:type="auto"/>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全区政府采购电子化交易平台的维护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一级指标</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二级指标</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三级指标</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年度指标值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实际完成值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分值/权重</w:t>
            </w:r>
            <w:r>
              <w:rPr>
                <w:rFonts w:hint="eastAsia" w:ascii="宋体" w:hAnsi="宋体" w:eastAsia="宋体" w:cs="宋体"/>
                <w:i w:val="0"/>
                <w:iCs w:val="0"/>
                <w:caps w:val="0"/>
                <w:color w:val="000000"/>
                <w:spacing w:val="0"/>
                <w:sz w:val="18"/>
                <w:szCs w:val="18"/>
              </w:rPr>
              <w:br w:type="textWrapping"/>
            </w:r>
            <w:r>
              <w:rPr>
                <w:rFonts w:hint="eastAsia" w:ascii="宋体" w:hAnsi="宋体" w:eastAsia="宋体" w:cs="宋体"/>
                <w:i w:val="0"/>
                <w:iCs w:val="0"/>
                <w:caps w:val="0"/>
                <w:color w:val="000000"/>
                <w:spacing w:val="0"/>
                <w:sz w:val="18"/>
                <w:szCs w:val="18"/>
              </w:rPr>
              <w:t>（百分制）</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得分</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扣分原因分析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    分</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4"/>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预算执行率（10分）</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产出指标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数量指标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全区电子化交易项目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30个项目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30个项目</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质量指标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完成全区电子化交易项目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时效指标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成本指标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效益指标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经济效益指标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资金使用无重大违规违纪问题</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社会效益指标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有效节约财政资金打造公开、公正阳光政采平台</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生态效益指标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可持续影响指标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通过政府采购项目，更好地履行了政府采购职责，提高了采购质量和效率，有效节约财政资金。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群众、服务对象满意度</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default" w:ascii="Arial" w:hAnsi="Arial" w:eastAsia="Segoe UI" w:cs="Arial"/>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22"/>
                <w:szCs w:val="22"/>
              </w:rPr>
              <w:t>说明：1.预算执行率得分=全年执行数/全年预算数*10分；</w:t>
            </w:r>
            <w:r>
              <w:rPr>
                <w:rFonts w:hint="eastAsia" w:ascii="宋体" w:hAnsi="宋体" w:eastAsia="宋体" w:cs="宋体"/>
                <w:i w:val="0"/>
                <w:iCs w:val="0"/>
                <w:caps w:val="0"/>
                <w:color w:val="000000"/>
                <w:spacing w:val="0"/>
                <w:sz w:val="22"/>
                <w:szCs w:val="22"/>
              </w:rPr>
              <w:br w:type="textWrapping"/>
            </w:r>
            <w:r>
              <w:rPr>
                <w:rFonts w:hint="eastAsia" w:ascii="宋体" w:hAnsi="宋体" w:eastAsia="宋体" w:cs="宋体"/>
                <w:i w:val="0"/>
                <w:iCs w:val="0"/>
                <w:caps w:val="0"/>
                <w:color w:val="000000"/>
                <w:spacing w:val="0"/>
                <w:sz w:val="22"/>
                <w:szCs w:val="22"/>
              </w:rPr>
              <w:t>      2.“产出指标、效益指标、满意度指标”一共90分，对应的是一体化系统中单位编制的项目绩效目标。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Style w:val="7"/>
                <w:rFonts w:hint="eastAsia" w:ascii="宋体" w:hAnsi="宋体" w:eastAsia="宋体" w:cs="宋体"/>
                <w:i w:val="0"/>
                <w:iCs w:val="0"/>
                <w:caps w:val="0"/>
                <w:color w:val="000000"/>
                <w:spacing w:val="0"/>
                <w:sz w:val="36"/>
                <w:szCs w:val="36"/>
              </w:rPr>
              <w:t>区级项目支出绩效自评表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项目名称：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示范交易中心创建</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w:t>
            </w:r>
          </w:p>
        </w:tc>
        <w:tc>
          <w:tcPr>
            <w:tcW w:w="0" w:type="auto"/>
            <w:gridSpan w:val="4"/>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主管部门：</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乐山市沙湾区人民政府</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实施单位：</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乐山市沙湾区政府采购管理中心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全年预算数</w:t>
            </w:r>
          </w:p>
        </w:tc>
        <w:tc>
          <w:tcPr>
            <w:tcW w:w="0" w:type="auto"/>
            <w:gridSpan w:val="2"/>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全年执行数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年度资金总额</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12.2</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12.2</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其中：财政拨款</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12.2</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12.2</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其他资金</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年度总体目标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预期目标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开展省级公共资源交易服务公开标准化规范化 “示范交易中心”创建活动</w:t>
            </w:r>
          </w:p>
        </w:tc>
        <w:tc>
          <w:tcPr>
            <w:tcW w:w="0" w:type="auto"/>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开展省级公共资源交易服务公开标准化规范化 “示范交易中心”创建活动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一级指标</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二级指标</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三级指标</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年度指标值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实际完成值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分值/权重</w:t>
            </w:r>
            <w:r>
              <w:rPr>
                <w:rFonts w:hint="eastAsia" w:ascii="宋体" w:hAnsi="宋体" w:eastAsia="宋体" w:cs="宋体"/>
                <w:i w:val="0"/>
                <w:iCs w:val="0"/>
                <w:caps w:val="0"/>
                <w:color w:val="000000"/>
                <w:spacing w:val="0"/>
                <w:sz w:val="18"/>
                <w:szCs w:val="18"/>
              </w:rPr>
              <w:br w:type="textWrapping"/>
            </w:r>
            <w:r>
              <w:rPr>
                <w:rFonts w:hint="eastAsia" w:ascii="宋体" w:hAnsi="宋体" w:eastAsia="宋体" w:cs="宋体"/>
                <w:i w:val="0"/>
                <w:iCs w:val="0"/>
                <w:caps w:val="0"/>
                <w:color w:val="000000"/>
                <w:spacing w:val="0"/>
                <w:sz w:val="18"/>
                <w:szCs w:val="18"/>
              </w:rPr>
              <w:t>（百分制）</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得分</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扣分原因分析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    分</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4"/>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预算执行率（10分）</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产出指标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数量指标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省级公共资源交易服务公开标准化规范化 “示范交易中心”创建活动</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1个项目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1个项目</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质量指标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完成“示范交易中心”创建活动</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时效指标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成本指标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效益指标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经济效益指标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资金使用无重大违规违纪问题</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6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社会效益指标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促进公共资源交易服务公开标准化规范化，打造公开、公正阳光政采平台</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生态效益指标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可持续影响指标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通过政府采购项目，更好地履行了政府采购职责，提高了采购质量和效率，有效节约财政资金。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群众、服务对象满意度</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default" w:ascii="Arial" w:hAnsi="Arial" w:eastAsia="Segoe UI" w:cs="Arial"/>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22"/>
                <w:szCs w:val="22"/>
              </w:rPr>
              <w:t>说明：1.预算执行率得分=全年执行数/全年预算数*10分；</w:t>
            </w:r>
            <w:r>
              <w:rPr>
                <w:rFonts w:hint="eastAsia" w:ascii="宋体" w:hAnsi="宋体" w:eastAsia="宋体" w:cs="宋体"/>
                <w:i w:val="0"/>
                <w:iCs w:val="0"/>
                <w:caps w:val="0"/>
                <w:color w:val="000000"/>
                <w:spacing w:val="0"/>
                <w:sz w:val="22"/>
                <w:szCs w:val="22"/>
              </w:rPr>
              <w:br w:type="textWrapping"/>
            </w:r>
            <w:r>
              <w:rPr>
                <w:rFonts w:hint="eastAsia" w:ascii="宋体" w:hAnsi="宋体" w:eastAsia="宋体" w:cs="宋体"/>
                <w:i w:val="0"/>
                <w:iCs w:val="0"/>
                <w:caps w:val="0"/>
                <w:color w:val="000000"/>
                <w:spacing w:val="0"/>
                <w:sz w:val="22"/>
                <w:szCs w:val="22"/>
              </w:rPr>
              <w:t>      2.“产出指标、效益指标、满意度指标”一共90分，对应的是一体化系统中单位编制的项目绩效目标。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Style w:val="7"/>
                <w:rFonts w:hint="eastAsia" w:ascii="宋体" w:hAnsi="宋体" w:eastAsia="宋体" w:cs="宋体"/>
                <w:i w:val="0"/>
                <w:iCs w:val="0"/>
                <w:caps w:val="0"/>
                <w:color w:val="000000"/>
                <w:spacing w:val="0"/>
                <w:sz w:val="36"/>
                <w:szCs w:val="36"/>
              </w:rPr>
              <w:t>区级项目支出绩效自评表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项目名称：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创建工作</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w:t>
            </w:r>
          </w:p>
        </w:tc>
        <w:tc>
          <w:tcPr>
            <w:tcW w:w="0" w:type="auto"/>
            <w:gridSpan w:val="4"/>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主管部门：</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乐山市沙湾区人民政府</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实施单位：</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乐山市沙湾区政府采购管理中心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9"/>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项目资金（万元）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全年预算数</w:t>
            </w:r>
          </w:p>
        </w:tc>
        <w:tc>
          <w:tcPr>
            <w:tcW w:w="0" w:type="auto"/>
            <w:gridSpan w:val="2"/>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全年执行数</w:t>
            </w:r>
          </w:p>
        </w:tc>
        <w:tc>
          <w:tcPr>
            <w:tcW w:w="0" w:type="auto"/>
            <w:gridSpan w:val="3"/>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年度资金总额</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25</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25</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其中：财政拨款</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25</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25</w:t>
            </w: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2"/>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其他资金</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gridSpan w:val="3"/>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年度总体目标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预期目标</w:t>
            </w: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4"/>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开展公共资源交易服务公开标准化规范化 创建活动</w:t>
            </w:r>
          </w:p>
        </w:tc>
        <w:tc>
          <w:tcPr>
            <w:tcW w:w="0" w:type="auto"/>
            <w:gridSpan w:val="4"/>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9"/>
                <w:szCs w:val="19"/>
              </w:rPr>
              <w:t>开展公共资源交易服务公开标准化规范化 创建活动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一级指标</w:t>
            </w:r>
          </w:p>
        </w:tc>
        <w:tc>
          <w:tcPr>
            <w:tcW w:w="0" w:type="auto"/>
            <w:gridSpan w:val="2"/>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二级指标</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三级指标</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年度指标值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实际完成值</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分值/权重</w:t>
            </w:r>
            <w:r>
              <w:rPr>
                <w:rFonts w:hint="eastAsia" w:ascii="宋体" w:hAnsi="宋体" w:eastAsia="宋体" w:cs="宋体"/>
                <w:i w:val="0"/>
                <w:iCs w:val="0"/>
                <w:caps w:val="0"/>
                <w:color w:val="000000"/>
                <w:spacing w:val="0"/>
                <w:sz w:val="18"/>
                <w:szCs w:val="18"/>
              </w:rPr>
              <w:br w:type="textWrapping"/>
            </w:r>
            <w:r>
              <w:rPr>
                <w:rFonts w:hint="eastAsia" w:ascii="宋体" w:hAnsi="宋体" w:eastAsia="宋体" w:cs="宋体"/>
                <w:i w:val="0"/>
                <w:iCs w:val="0"/>
                <w:caps w:val="0"/>
                <w:color w:val="000000"/>
                <w:spacing w:val="0"/>
                <w:sz w:val="18"/>
                <w:szCs w:val="18"/>
              </w:rPr>
              <w:t>（百分制）</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得分</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扣分原因分析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6"/>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得    分</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gridSpan w:val="4"/>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预算执行率（10分）</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产出指标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数量指标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公共资源交易服务公开标准化规范化创建活动</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1个项目</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1个项目</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质量指标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完成标准化创建活动</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规范</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时效指标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成本指标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0" w:type="auto"/>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效益指标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经济效益指标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资金使用无重大违规违纪问题</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20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6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社会效益指标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促进公共资源交易服务公开标准化规范化，打造公开、公正阳光政采平台</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生态效益指标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00" w:hRule="atLeast"/>
        </w:trPr>
        <w:tc>
          <w:tcPr>
            <w:tcW w:w="0" w:type="auto"/>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rPr>
                <w:rFonts w:hint="default" w:ascii="Segoe UI" w:hAnsi="Segoe UI" w:eastAsia="Segoe UI" w:cs="Segoe UI"/>
                <w:i w:val="0"/>
                <w:iCs w:val="0"/>
                <w:caps w:val="0"/>
                <w:color w:val="000000"/>
                <w:spacing w:val="0"/>
                <w:sz w:val="21"/>
                <w:szCs w:val="21"/>
              </w:rPr>
            </w:pP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可持续影响指标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9"/>
                <w:szCs w:val="19"/>
              </w:rPr>
              <w:t>通过政府采购项目，更好地履行了政府采购职责，提高了采购质量和效率，有效节约财政资金。</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100%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15</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群众、服务对象满意度</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default" w:ascii="Arial" w:hAnsi="Arial" w:eastAsia="Segoe UI" w:cs="Arial"/>
                <w:i w:val="0"/>
                <w:iCs w:val="0"/>
                <w:caps w:val="0"/>
                <w:color w:val="333333"/>
                <w:spacing w:val="0"/>
                <w:sz w:val="18"/>
                <w:szCs w:val="18"/>
              </w:rPr>
              <w:t>≥90%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18"/>
                <w:szCs w:val="18"/>
              </w:rPr>
              <w:t>10</w:t>
            </w: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gridSpan w:val="2"/>
            <w:tcBorders>
              <w:top w:val="nil"/>
              <w:left w:val="nil"/>
              <w:bottom w:val="single" w:color="000000" w:sz="6" w:space="0"/>
              <w:right w:val="nil"/>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333333"/>
                <w:spacing w:val="0"/>
                <w:sz w:val="18"/>
                <w:szCs w:val="18"/>
              </w:rPr>
              <w:t>满意度指标</w:t>
            </w:r>
          </w:p>
        </w:tc>
        <w:tc>
          <w:tcPr>
            <w:tcW w:w="0" w:type="auto"/>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c>
          <w:tcPr>
            <w:tcW w:w="0" w:type="auto"/>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0" w:type="auto"/>
            <w:gridSpan w:val="9"/>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center"/>
              <w:rPr>
                <w:sz w:val="18"/>
                <w:szCs w:val="18"/>
              </w:rPr>
            </w:pPr>
            <w:r>
              <w:rPr>
                <w:rFonts w:hint="eastAsia" w:ascii="宋体" w:hAnsi="宋体" w:eastAsia="宋体" w:cs="宋体"/>
                <w:i w:val="0"/>
                <w:iCs w:val="0"/>
                <w:caps w:val="0"/>
                <w:color w:val="000000"/>
                <w:spacing w:val="0"/>
                <w:sz w:val="22"/>
                <w:szCs w:val="22"/>
              </w:rPr>
              <w:t>说明：1.预算执行率得分=全年执行数/全年预算数*10分；</w:t>
            </w:r>
            <w:r>
              <w:rPr>
                <w:rFonts w:hint="eastAsia" w:ascii="宋体" w:hAnsi="宋体" w:eastAsia="宋体" w:cs="宋体"/>
                <w:i w:val="0"/>
                <w:iCs w:val="0"/>
                <w:caps w:val="0"/>
                <w:color w:val="000000"/>
                <w:spacing w:val="0"/>
                <w:sz w:val="22"/>
                <w:szCs w:val="22"/>
              </w:rPr>
              <w:br w:type="textWrapping"/>
            </w:r>
            <w:r>
              <w:rPr>
                <w:rFonts w:hint="eastAsia" w:ascii="宋体" w:hAnsi="宋体" w:eastAsia="宋体" w:cs="宋体"/>
                <w:i w:val="0"/>
                <w:iCs w:val="0"/>
                <w:caps w:val="0"/>
                <w:color w:val="000000"/>
                <w:spacing w:val="0"/>
                <w:sz w:val="22"/>
                <w:szCs w:val="22"/>
              </w:rPr>
              <w:t>      2.“产出指标、效益指标、满意度指标”一共90分，对应的是一体化系统中单位编制的项目绩效目标。</w:t>
            </w:r>
          </w:p>
        </w:tc>
      </w:tr>
    </w:tbl>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line="600" w:lineRule="atLeast"/>
        <w:ind w:left="0" w:right="0" w:firstLine="420"/>
        <w:jc w:val="left"/>
        <w:rPr>
          <w:rFonts w:hint="default" w:ascii="Segoe UI" w:hAnsi="Segoe UI" w:eastAsia="Segoe UI" w:cs="Segoe UI"/>
          <w:i w:val="0"/>
          <w:iCs w:val="0"/>
          <w:caps w:val="0"/>
          <w:color w:val="000000"/>
          <w:spacing w:val="0"/>
          <w:sz w:val="18"/>
          <w:szCs w:val="18"/>
        </w:rPr>
      </w:pPr>
      <w:r>
        <w:rPr>
          <w:rFonts w:hint="eastAsia" w:ascii="黑体" w:hAnsi="宋体" w:eastAsia="黑体" w:cs="黑体"/>
          <w:i w:val="0"/>
          <w:iCs w:val="0"/>
          <w:caps w:val="0"/>
          <w:color w:val="000000"/>
          <w:spacing w:val="0"/>
          <w:sz w:val="43"/>
          <w:szCs w:val="43"/>
        </w:rPr>
        <w:t>第五部分 附表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一、收</w:t>
      </w:r>
      <w:r>
        <w:rPr>
          <w:rFonts w:hint="eastAsia" w:ascii="仿宋" w:hAnsi="仿宋" w:eastAsia="仿宋" w:cs="仿宋"/>
          <w:b w:val="0"/>
          <w:bCs w:val="0"/>
          <w:i w:val="0"/>
          <w:iCs w:val="0"/>
          <w:caps w:val="0"/>
          <w:color w:val="000000"/>
          <w:spacing w:val="0"/>
          <w:sz w:val="31"/>
          <w:szCs w:val="31"/>
        </w:rPr>
        <w:t>入支出决算总表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0000"/>
          <w:spacing w:val="0"/>
          <w:sz w:val="31"/>
          <w:szCs w:val="31"/>
        </w:rPr>
        <w:t>二、收</w:t>
      </w:r>
      <w:r>
        <w:rPr>
          <w:rFonts w:hint="eastAsia" w:ascii="仿宋" w:hAnsi="仿宋" w:eastAsia="仿宋" w:cs="仿宋"/>
          <w:b w:val="0"/>
          <w:bCs w:val="0"/>
          <w:i w:val="0"/>
          <w:iCs w:val="0"/>
          <w:caps w:val="0"/>
          <w:color w:val="000000"/>
          <w:spacing w:val="0"/>
          <w:sz w:val="31"/>
          <w:szCs w:val="31"/>
        </w:rPr>
        <w:t>入决算表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三、</w:t>
      </w:r>
      <w:r>
        <w:rPr>
          <w:rFonts w:hint="eastAsia" w:ascii="仿宋" w:hAnsi="仿宋" w:eastAsia="仿宋" w:cs="仿宋"/>
          <w:i w:val="0"/>
          <w:iCs w:val="0"/>
          <w:caps w:val="0"/>
          <w:color w:val="000000"/>
          <w:spacing w:val="0"/>
          <w:sz w:val="31"/>
          <w:szCs w:val="31"/>
        </w:rPr>
        <w:t>支</w:t>
      </w:r>
      <w:r>
        <w:rPr>
          <w:rFonts w:hint="eastAsia" w:ascii="仿宋" w:hAnsi="仿宋" w:eastAsia="仿宋" w:cs="仿宋"/>
          <w:b w:val="0"/>
          <w:bCs w:val="0"/>
          <w:i w:val="0"/>
          <w:iCs w:val="0"/>
          <w:caps w:val="0"/>
          <w:color w:val="000000"/>
          <w:spacing w:val="0"/>
          <w:sz w:val="31"/>
          <w:szCs w:val="31"/>
        </w:rPr>
        <w:t>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四、</w:t>
      </w:r>
      <w:r>
        <w:rPr>
          <w:rFonts w:hint="eastAsia" w:ascii="仿宋" w:hAnsi="仿宋" w:eastAsia="仿宋" w:cs="仿宋"/>
          <w:i w:val="0"/>
          <w:iCs w:val="0"/>
          <w:caps w:val="0"/>
          <w:color w:val="000000"/>
          <w:spacing w:val="0"/>
          <w:sz w:val="31"/>
          <w:szCs w:val="31"/>
        </w:rPr>
        <w:t>财</w:t>
      </w:r>
      <w:r>
        <w:rPr>
          <w:rFonts w:hint="eastAsia" w:ascii="仿宋" w:hAnsi="仿宋" w:eastAsia="仿宋" w:cs="仿宋"/>
          <w:b w:val="0"/>
          <w:bCs w:val="0"/>
          <w:i w:val="0"/>
          <w:iCs w:val="0"/>
          <w:caps w:val="0"/>
          <w:color w:val="000000"/>
          <w:spacing w:val="0"/>
          <w:sz w:val="31"/>
          <w:szCs w:val="31"/>
        </w:rPr>
        <w:t>政拨款收入支出决算总表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五、</w:t>
      </w:r>
      <w:r>
        <w:rPr>
          <w:rFonts w:hint="eastAsia" w:ascii="仿宋" w:hAnsi="仿宋" w:eastAsia="仿宋" w:cs="仿宋"/>
          <w:i w:val="0"/>
          <w:iCs w:val="0"/>
          <w:caps w:val="0"/>
          <w:color w:val="000000"/>
          <w:spacing w:val="0"/>
          <w:sz w:val="31"/>
          <w:szCs w:val="31"/>
        </w:rPr>
        <w:t>财</w:t>
      </w:r>
      <w:r>
        <w:rPr>
          <w:rFonts w:hint="eastAsia" w:ascii="仿宋" w:hAnsi="仿宋" w:eastAsia="仿宋" w:cs="仿宋"/>
          <w:b w:val="0"/>
          <w:bCs w:val="0"/>
          <w:i w:val="0"/>
          <w:iCs w:val="0"/>
          <w:caps w:val="0"/>
          <w:color w:val="000000"/>
          <w:spacing w:val="0"/>
          <w:sz w:val="31"/>
          <w:szCs w:val="31"/>
        </w:rPr>
        <w:t>政拨款支出决算明细表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六、</w:t>
      </w:r>
      <w:r>
        <w:rPr>
          <w:rFonts w:hint="eastAsia" w:ascii="仿宋" w:hAnsi="仿宋" w:eastAsia="仿宋" w:cs="仿宋"/>
          <w:i w:val="0"/>
          <w:iCs w:val="0"/>
          <w:caps w:val="0"/>
          <w:color w:val="000000"/>
          <w:spacing w:val="0"/>
          <w:sz w:val="31"/>
          <w:szCs w:val="31"/>
        </w:rPr>
        <w:t>一</w:t>
      </w:r>
      <w:r>
        <w:rPr>
          <w:rFonts w:hint="eastAsia" w:ascii="仿宋" w:hAnsi="仿宋" w:eastAsia="仿宋" w:cs="仿宋"/>
          <w:b w:val="0"/>
          <w:bCs w:val="0"/>
          <w:i w:val="0"/>
          <w:iCs w:val="0"/>
          <w:caps w:val="0"/>
          <w:color w:val="000000"/>
          <w:spacing w:val="0"/>
          <w:sz w:val="31"/>
          <w:szCs w:val="31"/>
        </w:rPr>
        <w:t>般公共预算财政拨款支出决算表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七、</w:t>
      </w:r>
      <w:r>
        <w:rPr>
          <w:rFonts w:hint="eastAsia" w:ascii="仿宋" w:hAnsi="仿宋" w:eastAsia="仿宋" w:cs="仿宋"/>
          <w:i w:val="0"/>
          <w:iCs w:val="0"/>
          <w:caps w:val="0"/>
          <w:color w:val="000000"/>
          <w:spacing w:val="0"/>
          <w:sz w:val="31"/>
          <w:szCs w:val="31"/>
        </w:rPr>
        <w:t>一</w:t>
      </w:r>
      <w:r>
        <w:rPr>
          <w:rFonts w:hint="eastAsia" w:ascii="仿宋" w:hAnsi="仿宋" w:eastAsia="仿宋" w:cs="仿宋"/>
          <w:b w:val="0"/>
          <w:bCs w:val="0"/>
          <w:i w:val="0"/>
          <w:iCs w:val="0"/>
          <w:caps w:val="0"/>
          <w:color w:val="000000"/>
          <w:spacing w:val="0"/>
          <w:sz w:val="31"/>
          <w:szCs w:val="31"/>
        </w:rPr>
        <w:t>般公共预算财政拨款支出决算明细表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八、</w:t>
      </w:r>
      <w:r>
        <w:rPr>
          <w:rFonts w:hint="eastAsia" w:ascii="仿宋" w:hAnsi="仿宋" w:eastAsia="仿宋" w:cs="仿宋"/>
          <w:i w:val="0"/>
          <w:iCs w:val="0"/>
          <w:caps w:val="0"/>
          <w:color w:val="000000"/>
          <w:spacing w:val="0"/>
          <w:sz w:val="31"/>
          <w:szCs w:val="31"/>
        </w:rPr>
        <w:t>一</w:t>
      </w:r>
      <w:r>
        <w:rPr>
          <w:rFonts w:hint="eastAsia" w:ascii="仿宋" w:hAnsi="仿宋" w:eastAsia="仿宋" w:cs="仿宋"/>
          <w:b w:val="0"/>
          <w:bCs w:val="0"/>
          <w:i w:val="0"/>
          <w:iCs w:val="0"/>
          <w:caps w:val="0"/>
          <w:color w:val="000000"/>
          <w:spacing w:val="0"/>
          <w:sz w:val="31"/>
          <w:szCs w:val="31"/>
        </w:rPr>
        <w:t>般公共预算财政拨款基本支出决算表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九、</w:t>
      </w:r>
      <w:r>
        <w:rPr>
          <w:rFonts w:hint="eastAsia" w:ascii="仿宋" w:hAnsi="仿宋" w:eastAsia="仿宋" w:cs="仿宋"/>
          <w:i w:val="0"/>
          <w:iCs w:val="0"/>
          <w:caps w:val="0"/>
          <w:color w:val="000000"/>
          <w:spacing w:val="0"/>
          <w:sz w:val="31"/>
          <w:szCs w:val="31"/>
        </w:rPr>
        <w:t>一</w:t>
      </w:r>
      <w:r>
        <w:rPr>
          <w:rFonts w:hint="eastAsia" w:ascii="仿宋" w:hAnsi="仿宋" w:eastAsia="仿宋" w:cs="仿宋"/>
          <w:b w:val="0"/>
          <w:bCs w:val="0"/>
          <w:i w:val="0"/>
          <w:iCs w:val="0"/>
          <w:caps w:val="0"/>
          <w:color w:val="000000"/>
          <w:spacing w:val="0"/>
          <w:sz w:val="31"/>
          <w:szCs w:val="31"/>
        </w:rPr>
        <w:t>般公共预算财政拨款项目支出决算表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十、</w:t>
      </w:r>
      <w:r>
        <w:rPr>
          <w:rFonts w:hint="eastAsia" w:ascii="仿宋" w:hAnsi="仿宋" w:eastAsia="仿宋" w:cs="仿宋"/>
          <w:i w:val="0"/>
          <w:iCs w:val="0"/>
          <w:caps w:val="0"/>
          <w:color w:val="000000"/>
          <w:spacing w:val="0"/>
          <w:sz w:val="31"/>
          <w:szCs w:val="31"/>
        </w:rPr>
        <w:t>政</w:t>
      </w:r>
      <w:r>
        <w:rPr>
          <w:rFonts w:hint="eastAsia" w:ascii="仿宋" w:hAnsi="仿宋" w:eastAsia="仿宋" w:cs="仿宋"/>
          <w:b w:val="0"/>
          <w:bCs w:val="0"/>
          <w:i w:val="0"/>
          <w:iCs w:val="0"/>
          <w:caps w:val="0"/>
          <w:color w:val="000000"/>
          <w:spacing w:val="0"/>
          <w:sz w:val="31"/>
          <w:szCs w:val="31"/>
        </w:rPr>
        <w:t>府性基金预算财政拨款收入支出决算表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0000"/>
          <w:spacing w:val="0"/>
          <w:sz w:val="31"/>
          <w:szCs w:val="31"/>
        </w:rPr>
        <w:t>十一、</w:t>
      </w:r>
      <w:r>
        <w:rPr>
          <w:rFonts w:hint="eastAsia" w:ascii="仿宋" w:hAnsi="仿宋" w:eastAsia="仿宋" w:cs="仿宋"/>
          <w:i w:val="0"/>
          <w:iCs w:val="0"/>
          <w:caps w:val="0"/>
          <w:color w:val="000000"/>
          <w:spacing w:val="0"/>
          <w:sz w:val="31"/>
          <w:szCs w:val="31"/>
        </w:rPr>
        <w:t>国</w:t>
      </w:r>
      <w:r>
        <w:rPr>
          <w:rFonts w:hint="eastAsia" w:ascii="仿宋" w:hAnsi="仿宋" w:eastAsia="仿宋" w:cs="仿宋"/>
          <w:b w:val="0"/>
          <w:bCs w:val="0"/>
          <w:i w:val="0"/>
          <w:iCs w:val="0"/>
          <w:caps w:val="0"/>
          <w:color w:val="000000"/>
          <w:spacing w:val="0"/>
          <w:sz w:val="31"/>
          <w:szCs w:val="31"/>
        </w:rPr>
        <w:t>有资本经营预算财政拨款收入支出决算表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3"/>
        <w:keepNext w:val="0"/>
        <w:keepLines w:val="0"/>
        <w:widowControl/>
        <w:suppressLineNumbers w:val="0"/>
        <w:ind w:lef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b w:val="0"/>
          <w:bCs w:val="0"/>
          <w:i w:val="0"/>
          <w:iCs w:val="0"/>
          <w:caps w:val="0"/>
          <w:color w:val="0099FF"/>
          <w:spacing w:val="0"/>
          <w:sz w:val="31"/>
          <w:szCs w:val="31"/>
          <w:u w:val="none"/>
        </w:rPr>
        <w:t>十二、</w:t>
      </w:r>
      <w:r>
        <w:rPr>
          <w:rFonts w:hint="eastAsia" w:ascii="仿宋" w:hAnsi="仿宋" w:eastAsia="仿宋" w:cs="仿宋"/>
          <w:b w:val="0"/>
          <w:bCs w:val="0"/>
          <w:i w:val="0"/>
          <w:iCs w:val="0"/>
          <w:caps w:val="0"/>
          <w:color w:val="000000"/>
          <w:spacing w:val="0"/>
          <w:sz w:val="31"/>
          <w:szCs w:val="31"/>
        </w:rPr>
        <w:t>国有资本经营预算财政拨款支出决算表</w:t>
      </w:r>
    </w:p>
    <w:p>
      <w:pPr>
        <w:pStyle w:val="4"/>
        <w:keepNext w:val="0"/>
        <w:keepLines w:val="0"/>
        <w:widowControl/>
        <w:suppressLineNumbers w:val="0"/>
        <w:spacing w:before="75" w:beforeAutospacing="0" w:after="210" w:afterAutospacing="0"/>
        <w:ind w:left="0" w:right="0" w:firstLine="0"/>
        <w:rPr>
          <w:rFonts w:hint="default" w:ascii="Segoe UI" w:hAnsi="Segoe UI" w:eastAsia="Segoe UI" w:cs="Segoe UI"/>
          <w:i w:val="0"/>
          <w:iCs w:val="0"/>
          <w:caps w:val="0"/>
          <w:color w:val="000000"/>
          <w:spacing w:val="0"/>
          <w:sz w:val="21"/>
          <w:szCs w:val="21"/>
        </w:rPr>
      </w:pPr>
    </w:p>
    <w:p>
      <w:pPr>
        <w:pStyle w:val="4"/>
        <w:keepNext w:val="0"/>
        <w:keepLines w:val="0"/>
        <w:widowControl/>
        <w:suppressLineNumbers w:val="0"/>
        <w:spacing w:before="75" w:beforeAutospacing="0" w:after="210" w:afterAutospacing="0"/>
        <w:ind w:left="0" w:right="0" w:firstLine="420"/>
        <w:jc w:val="left"/>
        <w:rPr>
          <w:rFonts w:hint="default" w:ascii="Segoe UI" w:hAnsi="Segoe UI" w:eastAsia="Segoe UI" w:cs="Segoe UI"/>
          <w:i w:val="0"/>
          <w:iCs w:val="0"/>
          <w:caps w:val="0"/>
          <w:color w:val="000000"/>
          <w:spacing w:val="0"/>
          <w:sz w:val="18"/>
          <w:szCs w:val="18"/>
        </w:rPr>
      </w:pPr>
      <w:r>
        <w:rPr>
          <w:rFonts w:hint="eastAsia" w:ascii="仿宋" w:hAnsi="仿宋" w:eastAsia="仿宋" w:cs="仿宋"/>
          <w:i w:val="0"/>
          <w:iCs w:val="0"/>
          <w:caps w:val="0"/>
          <w:color w:val="0099FF"/>
          <w:spacing w:val="0"/>
          <w:sz w:val="31"/>
          <w:szCs w:val="31"/>
          <w:u w:val="none"/>
        </w:rPr>
        <w:t>十三、</w:t>
      </w:r>
      <w:r>
        <w:rPr>
          <w:rFonts w:hint="eastAsia" w:ascii="仿宋" w:hAnsi="仿宋" w:eastAsia="仿宋" w:cs="仿宋"/>
          <w:i w:val="0"/>
          <w:iCs w:val="0"/>
          <w:caps w:val="0"/>
          <w:color w:val="000000"/>
          <w:spacing w:val="0"/>
          <w:sz w:val="31"/>
          <w:szCs w:val="31"/>
        </w:rPr>
        <w:t>财政拨款“三公”经费支出决算表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方正小标宋简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53C1B"/>
    <w:rsid w:val="0A553C1B"/>
    <w:rsid w:val="43A622AA"/>
    <w:rsid w:val="78D76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2026-07-27T06:58:00Z</dcterms:created>
  <dc:creator>李俐洁</dc:creator>
  <cp:lastModifiedBy>李俐洁</cp:lastModifiedBy>
  <dcterms:modified xsi:type="dcterms:W3CDTF">2026-08-11T06:31:43Z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3604EFD275DE48DDBB2D3BDE635D037A</vt:lpwstr>
  </property>
</Properties>
</file>