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tabs>
          <w:tab w:val="right" w:pos="7560"/>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黑体"/>
          <w:color w:val="auto"/>
          <w:spacing w:val="0"/>
          <w:sz w:val="32"/>
          <w:szCs w:val="32"/>
          <w:highlight w:val="none"/>
          <w:lang w:val="en-US" w:eastAsia="zh-CN"/>
        </w:rPr>
      </w:pPr>
      <w:bookmarkStart w:id="0" w:name="_GoBack"/>
      <w:r>
        <w:rPr>
          <w:rFonts w:hint="eastAsia" w:ascii="黑体" w:eastAsia="黑体"/>
          <w:sz w:val="32"/>
          <w:szCs w:val="32"/>
          <w:lang w:val="en-US" w:eastAsia="zh-CN"/>
        </w:rPr>
        <w:t>附件</w:t>
      </w:r>
    </w:p>
    <w:bookmarkEnd w:id="0"/>
    <w:p>
      <w:pPr>
        <w:pStyle w:val="5"/>
        <w:keepNext w:val="0"/>
        <w:keepLines w:val="0"/>
        <w:pageBreakBefore w:val="0"/>
        <w:widowControl w:val="0"/>
        <w:numPr>
          <w:ilvl w:val="0"/>
          <w:numId w:val="0"/>
        </w:numPr>
        <w:kinsoku/>
        <w:wordWrap/>
        <w:overflowPunct/>
        <w:topLinePunct w:val="0"/>
        <w:autoSpaceDE/>
        <w:autoSpaceDN/>
        <w:bidi/>
        <w:adjustRightInd/>
        <w:snapToGrid/>
        <w:spacing w:after="0" w:line="560" w:lineRule="exact"/>
        <w:ind w:left="0" w:leftChars="0" w:right="0" w:firstLine="0" w:firstLineChars="0"/>
        <w:jc w:val="center"/>
        <w:textAlignment w:val="auto"/>
        <w:rPr>
          <w:rFonts w:hint="eastAsia" w:ascii="方正小标宋_GBK" w:hAnsi="方正小标宋_GBK" w:eastAsia="方正小标宋_GBK" w:cs="方正小标宋_GBK"/>
          <w:color w:val="auto"/>
          <w:spacing w:val="0"/>
          <w:sz w:val="44"/>
          <w:szCs w:val="44"/>
          <w:highlight w:val="none"/>
          <w:lang w:val="en-US" w:eastAsia="zh-CN"/>
        </w:rPr>
      </w:pPr>
      <w:r>
        <w:rPr>
          <w:rFonts w:hint="eastAsia" w:ascii="方正小标宋_GBK" w:hAnsi="方正小标宋_GBK" w:eastAsia="方正小标宋_GBK" w:cs="方正小标宋_GBK"/>
          <w:color w:val="auto"/>
          <w:spacing w:val="0"/>
          <w:sz w:val="44"/>
          <w:szCs w:val="44"/>
          <w:highlight w:val="none"/>
          <w:lang w:val="en-US" w:eastAsia="zh-CN"/>
        </w:rPr>
        <w:t>乐山市沙湾区2026年第4批次建设用地</w:t>
      </w:r>
    </w:p>
    <w:p>
      <w:pPr>
        <w:pStyle w:val="5"/>
        <w:keepNext w:val="0"/>
        <w:keepLines w:val="0"/>
        <w:pageBreakBefore w:val="0"/>
        <w:widowControl w:val="0"/>
        <w:numPr>
          <w:ilvl w:val="0"/>
          <w:numId w:val="0"/>
        </w:numPr>
        <w:kinsoku/>
        <w:wordWrap/>
        <w:overflowPunct/>
        <w:topLinePunct w:val="0"/>
        <w:autoSpaceDE/>
        <w:autoSpaceDN/>
        <w:bidi/>
        <w:adjustRightInd/>
        <w:snapToGrid/>
        <w:spacing w:after="0" w:line="560" w:lineRule="exact"/>
        <w:ind w:left="0" w:leftChars="0" w:right="0" w:firstLine="0" w:firstLineChars="0"/>
        <w:jc w:val="center"/>
        <w:textAlignment w:val="auto"/>
        <w:rPr>
          <w:rFonts w:hint="eastAsia" w:ascii="方正小标宋_GBK" w:hAnsi="方正小标宋_GBK" w:eastAsia="方正小标宋_GBK" w:cs="方正小标宋_GBK"/>
          <w:color w:val="auto"/>
          <w:spacing w:val="0"/>
          <w:sz w:val="44"/>
          <w:szCs w:val="44"/>
          <w:highlight w:val="none"/>
        </w:rPr>
      </w:pPr>
      <w:r>
        <w:rPr>
          <w:rFonts w:hint="eastAsia" w:ascii="方正小标宋_GBK" w:hAnsi="方正小标宋_GBK" w:eastAsia="方正小标宋_GBK" w:cs="方正小标宋_GBK"/>
          <w:color w:val="auto"/>
          <w:spacing w:val="0"/>
          <w:sz w:val="44"/>
          <w:szCs w:val="44"/>
          <w:highlight w:val="none"/>
          <w:lang w:val="en-US" w:eastAsia="zh-CN"/>
        </w:rPr>
        <w:t>征地补偿安置方案</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right="0" w:firstLine="0" w:firstLineChars="0"/>
        <w:jc w:val="center"/>
        <w:textAlignment w:val="auto"/>
        <w:rPr>
          <w:rFonts w:hint="eastAsia" w:ascii="Times New Roman" w:hAnsi="Times New Roman"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根据征收土地预公告（公告〔2026〕9号），依据社会稳定风险评估结果，结合土地现状调查情况，按照《中华人民共和国土地管理法》《中华人民共和国土地管理法实施条例》等法律法规的规定，制定本方案。</w:t>
      </w:r>
    </w:p>
    <w:p>
      <w:pPr>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color w:val="auto"/>
          <w:spacing w:val="0"/>
          <w:sz w:val="32"/>
          <w:szCs w:val="32"/>
          <w:highlight w:val="none"/>
          <w:lang w:val="en-US" w:eastAsia="zh-CN"/>
        </w:rPr>
      </w:pPr>
      <w:r>
        <w:rPr>
          <w:rFonts w:ascii="Times New Roman" w:hAnsi="Times New Roman" w:eastAsia="黑体" w:cs="黑体"/>
          <w:color w:val="auto"/>
          <w:spacing w:val="0"/>
          <w:sz w:val="32"/>
          <w:szCs w:val="32"/>
          <w:highlight w:val="none"/>
        </w:rPr>
        <w:t>拟征收土地范围</w:t>
      </w:r>
      <w:r>
        <w:rPr>
          <w:rFonts w:hint="eastAsia" w:ascii="Times New Roman" w:hAnsi="Times New Roman" w:eastAsia="黑体" w:cs="黑体"/>
          <w:color w:val="auto"/>
          <w:spacing w:val="0"/>
          <w:sz w:val="32"/>
          <w:szCs w:val="32"/>
          <w:highlight w:val="none"/>
          <w:lang w:eastAsia="zh-CN"/>
        </w:rPr>
        <w:t>、</w:t>
      </w:r>
      <w:r>
        <w:rPr>
          <w:rFonts w:hint="eastAsia" w:ascii="Times New Roman" w:hAnsi="Times New Roman" w:eastAsia="黑体" w:cs="黑体"/>
          <w:color w:val="auto"/>
          <w:spacing w:val="0"/>
          <w:sz w:val="32"/>
          <w:szCs w:val="32"/>
          <w:highlight w:val="none"/>
          <w:lang w:val="en-US" w:eastAsia="zh-CN"/>
        </w:rPr>
        <w:t>现状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根据拟征收土地现状调查结果，本次拟征收土地面积</w:t>
      </w:r>
      <w:r>
        <w:rPr>
          <w:rFonts w:hint="eastAsia" w:ascii="仿宋_GB2312" w:hAnsi="仿宋_GB2312" w:eastAsia="仿宋_GB2312" w:cs="仿宋_GB2312"/>
          <w:color w:val="auto"/>
          <w:sz w:val="32"/>
          <w:szCs w:val="32"/>
          <w:lang w:val="en-US" w:eastAsia="zh-CN"/>
        </w:rPr>
        <w:t>0.7745</w:t>
      </w:r>
      <w:r>
        <w:rPr>
          <w:rFonts w:hint="eastAsia" w:ascii="仿宋_GB2312" w:hAnsi="仿宋_GB2312" w:eastAsia="仿宋_GB2312" w:cs="仿宋_GB2312"/>
          <w:color w:val="auto"/>
          <w:sz w:val="32"/>
          <w:szCs w:val="32"/>
        </w:rPr>
        <w:t>公顷（</w:t>
      </w:r>
      <w:r>
        <w:rPr>
          <w:rFonts w:hint="eastAsia" w:ascii="仿宋_GB2312" w:hAnsi="仿宋_GB2312" w:eastAsia="仿宋_GB2312" w:cs="仿宋_GB2312"/>
          <w:color w:val="auto"/>
          <w:sz w:val="32"/>
          <w:szCs w:val="32"/>
          <w:lang w:val="en-US" w:eastAsia="zh-CN"/>
        </w:rPr>
        <w:t>11.6175</w:t>
      </w:r>
      <w:r>
        <w:rPr>
          <w:rFonts w:hint="eastAsia" w:ascii="仿宋_GB2312" w:hAnsi="仿宋_GB2312" w:eastAsia="仿宋_GB2312" w:cs="仿宋_GB2312"/>
          <w:color w:val="auto"/>
          <w:sz w:val="32"/>
          <w:szCs w:val="32"/>
        </w:rPr>
        <w:t>亩），其中：农用地</w:t>
      </w:r>
      <w:r>
        <w:rPr>
          <w:rFonts w:hint="eastAsia" w:ascii="仿宋_GB2312" w:hAnsi="仿宋_GB2312" w:eastAsia="仿宋_GB2312" w:cs="仿宋_GB2312"/>
          <w:color w:val="auto"/>
          <w:sz w:val="32"/>
          <w:szCs w:val="32"/>
          <w:lang w:val="en-US" w:eastAsia="zh-CN"/>
        </w:rPr>
        <w:t>0.7745</w:t>
      </w:r>
      <w:r>
        <w:rPr>
          <w:rFonts w:hint="eastAsia" w:ascii="仿宋_GB2312" w:hAnsi="仿宋_GB2312" w:eastAsia="仿宋_GB2312" w:cs="仿宋_GB2312"/>
          <w:color w:val="auto"/>
          <w:sz w:val="32"/>
          <w:szCs w:val="32"/>
        </w:rPr>
        <w:t>公顷（</w:t>
      </w:r>
      <w:r>
        <w:rPr>
          <w:rFonts w:hint="eastAsia" w:ascii="仿宋_GB2312" w:hAnsi="仿宋_GB2312" w:eastAsia="仿宋_GB2312" w:cs="仿宋_GB2312"/>
          <w:color w:val="auto"/>
          <w:sz w:val="32"/>
          <w:szCs w:val="32"/>
          <w:lang w:val="en-US" w:eastAsia="zh-CN"/>
        </w:rPr>
        <w:t>11.6175</w:t>
      </w:r>
      <w:r>
        <w:rPr>
          <w:rFonts w:hint="eastAsia" w:ascii="仿宋_GB2312" w:hAnsi="仿宋_GB2312" w:eastAsia="仿宋_GB2312" w:cs="仿宋_GB2312"/>
          <w:color w:val="auto"/>
          <w:sz w:val="32"/>
          <w:szCs w:val="32"/>
        </w:rPr>
        <w:t>亩），含耕地</w:t>
      </w:r>
      <w:r>
        <w:rPr>
          <w:rFonts w:hint="eastAsia" w:ascii="仿宋_GB2312" w:hAnsi="仿宋_GB2312" w:eastAsia="仿宋_GB2312" w:cs="仿宋_GB2312"/>
          <w:color w:val="auto"/>
          <w:sz w:val="32"/>
          <w:szCs w:val="32"/>
          <w:lang w:val="en-US" w:eastAsia="zh-CN"/>
        </w:rPr>
        <w:t>0.0962</w:t>
      </w:r>
      <w:r>
        <w:rPr>
          <w:rFonts w:hint="eastAsia" w:ascii="仿宋_GB2312" w:hAnsi="仿宋_GB2312" w:eastAsia="仿宋_GB2312" w:cs="仿宋_GB2312"/>
          <w:color w:val="auto"/>
          <w:sz w:val="32"/>
          <w:szCs w:val="32"/>
        </w:rPr>
        <w:t>公顷（</w:t>
      </w:r>
      <w:r>
        <w:rPr>
          <w:rFonts w:hint="eastAsia" w:ascii="仿宋_GB2312" w:hAnsi="仿宋_GB2312" w:eastAsia="仿宋_GB2312" w:cs="仿宋_GB2312"/>
          <w:color w:val="auto"/>
          <w:sz w:val="32"/>
          <w:szCs w:val="32"/>
          <w:lang w:val="en-US" w:eastAsia="zh-CN"/>
        </w:rPr>
        <w:t>1.4430</w:t>
      </w:r>
      <w:r>
        <w:rPr>
          <w:rFonts w:hint="eastAsia" w:ascii="仿宋_GB2312" w:hAnsi="仿宋_GB2312" w:eastAsia="仿宋_GB2312" w:cs="仿宋_GB2312"/>
          <w:color w:val="auto"/>
          <w:sz w:val="32"/>
          <w:szCs w:val="32"/>
        </w:rPr>
        <w:t>亩）</w:t>
      </w:r>
      <w:r>
        <w:rPr>
          <w:rFonts w:hint="eastAsia" w:ascii="仿宋_GB2312" w:hAnsi="仿宋_GB2312" w:eastAsia="仿宋_GB2312" w:cs="仿宋_GB2312"/>
          <w:color w:val="auto"/>
          <w:sz w:val="32"/>
          <w:szCs w:val="32"/>
          <w:lang w:val="en-US" w:eastAsia="zh-CN"/>
        </w:rPr>
        <w:t>、园地0.3429公顷（5.1435亩）、其他农用地0.3354公顷（5.0310亩）</w:t>
      </w:r>
      <w:r>
        <w:rPr>
          <w:rFonts w:hint="eastAsia" w:ascii="仿宋_GB2312" w:hAnsi="仿宋_GB2312" w:eastAsia="仿宋_GB2312" w:cs="仿宋_GB2312"/>
          <w:color w:val="auto"/>
          <w:sz w:val="32"/>
          <w:szCs w:val="32"/>
        </w:rPr>
        <w:t>；建设用地</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公顷（</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亩）；未利用地</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公顷（</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亩）。</w:t>
      </w:r>
    </w:p>
    <w:p>
      <w:pPr>
        <w:pStyle w:val="12"/>
        <w:keepNext w:val="0"/>
        <w:keepLines w:val="0"/>
        <w:pageBreakBefore w:val="0"/>
        <w:widowControl w:val="0"/>
        <w:kinsoku/>
        <w:wordWrap/>
        <w:overflowPunct/>
        <w:topLinePunct w:val="0"/>
        <w:autoSpaceDE w:val="0"/>
        <w:autoSpaceDN w:val="0"/>
        <w:bidi w:val="0"/>
        <w:adjustRightInd w:val="0"/>
        <w:snapToGrid/>
        <w:spacing w:before="313" w:beforeLines="100" w:line="560" w:lineRule="exact"/>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乐山市沙湾区2026年第4批次建设用地拟征收土地情况表</w:t>
      </w:r>
    </w:p>
    <w:tbl>
      <w:tblPr>
        <w:tblStyle w:val="9"/>
        <w:tblpPr w:leftFromText="180" w:rightFromText="180" w:vertAnchor="text" w:horzAnchor="page" w:tblpX="1676" w:tblpY="382"/>
        <w:tblOverlap w:val="never"/>
        <w:tblW w:w="8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1200"/>
        <w:gridCol w:w="1044"/>
        <w:gridCol w:w="1077"/>
        <w:gridCol w:w="1013"/>
        <w:gridCol w:w="990"/>
        <w:gridCol w:w="1161"/>
        <w:gridCol w:w="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467" w:type="dxa"/>
            <w:vMerge w:val="restart"/>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征地位置</w:t>
            </w:r>
          </w:p>
        </w:tc>
        <w:tc>
          <w:tcPr>
            <w:tcW w:w="1200" w:type="dxa"/>
            <w:vMerge w:val="restart"/>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小计</w:t>
            </w:r>
          </w:p>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（亩）</w:t>
            </w:r>
          </w:p>
        </w:tc>
        <w:tc>
          <w:tcPr>
            <w:tcW w:w="4124" w:type="dxa"/>
            <w:gridSpan w:val="4"/>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农用地（亩）</w:t>
            </w:r>
          </w:p>
        </w:tc>
        <w:tc>
          <w:tcPr>
            <w:tcW w:w="1161" w:type="dxa"/>
            <w:vMerge w:val="restart"/>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建设用地（亩）</w:t>
            </w:r>
          </w:p>
        </w:tc>
        <w:tc>
          <w:tcPr>
            <w:tcW w:w="927" w:type="dxa"/>
            <w:vMerge w:val="restart"/>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未利用地（亩）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vMerge w:val="continue"/>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rPr>
            </w:pPr>
          </w:p>
        </w:tc>
        <w:tc>
          <w:tcPr>
            <w:tcW w:w="1200" w:type="dxa"/>
            <w:vMerge w:val="continue"/>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rPr>
            </w:pPr>
          </w:p>
        </w:tc>
        <w:tc>
          <w:tcPr>
            <w:tcW w:w="1044"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耕地</w:t>
            </w:r>
          </w:p>
        </w:tc>
        <w:tc>
          <w:tcPr>
            <w:tcW w:w="1077"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林地</w:t>
            </w:r>
          </w:p>
        </w:tc>
        <w:tc>
          <w:tcPr>
            <w:tcW w:w="1013"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园地</w:t>
            </w:r>
          </w:p>
        </w:tc>
        <w:tc>
          <w:tcPr>
            <w:tcW w:w="990"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其他农用地</w:t>
            </w:r>
          </w:p>
        </w:tc>
        <w:tc>
          <w:tcPr>
            <w:tcW w:w="1161" w:type="dxa"/>
            <w:vMerge w:val="continue"/>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p>
        </w:tc>
        <w:tc>
          <w:tcPr>
            <w:tcW w:w="927" w:type="dxa"/>
            <w:vMerge w:val="continue"/>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467"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嘉农镇</w:t>
            </w:r>
          </w:p>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玉龙村17组</w:t>
            </w:r>
          </w:p>
        </w:tc>
        <w:tc>
          <w:tcPr>
            <w:tcW w:w="1200"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11.6175</w:t>
            </w:r>
            <w:r>
              <w:rPr>
                <w:rFonts w:hint="eastAsia" w:ascii="仿宋_GB2312" w:hAnsi="仿宋_GB2312" w:eastAsia="仿宋_GB2312" w:cs="仿宋_GB2312"/>
                <w:color w:val="auto"/>
                <w:spacing w:val="0"/>
                <w:sz w:val="24"/>
                <w:szCs w:val="24"/>
                <w:highlight w:val="none"/>
                <w:vertAlign w:val="baseline"/>
                <w:lang w:val="en-US" w:eastAsia="zh-CN"/>
              </w:rPr>
              <w:fldChar w:fldCharType="begin"/>
            </w:r>
            <w:r>
              <w:rPr>
                <w:rFonts w:hint="eastAsia" w:ascii="仿宋_GB2312" w:hAnsi="仿宋_GB2312" w:eastAsia="仿宋_GB2312" w:cs="仿宋_GB2312"/>
                <w:color w:val="auto"/>
                <w:spacing w:val="0"/>
                <w:sz w:val="24"/>
                <w:szCs w:val="24"/>
                <w:highlight w:val="none"/>
                <w:vertAlign w:val="baseline"/>
                <w:lang w:val="en-US" w:eastAsia="zh-CN"/>
              </w:rPr>
              <w:instrText xml:space="preserve"> = sum(C3:G3) \* MERGEFORMAT </w:instrText>
            </w:r>
            <w:r>
              <w:rPr>
                <w:rFonts w:hint="eastAsia" w:ascii="仿宋_GB2312" w:hAnsi="仿宋_GB2312" w:eastAsia="仿宋_GB2312" w:cs="仿宋_GB2312"/>
                <w:color w:val="auto"/>
                <w:spacing w:val="0"/>
                <w:sz w:val="24"/>
                <w:szCs w:val="24"/>
                <w:highlight w:val="none"/>
                <w:vertAlign w:val="baseline"/>
                <w:lang w:val="en-US" w:eastAsia="zh-CN"/>
              </w:rPr>
              <w:fldChar w:fldCharType="separate"/>
            </w:r>
            <w:r>
              <w:rPr>
                <w:rFonts w:hint="eastAsia" w:ascii="仿宋_GB2312" w:hAnsi="仿宋_GB2312" w:eastAsia="仿宋_GB2312" w:cs="仿宋_GB2312"/>
                <w:color w:val="auto"/>
                <w:spacing w:val="0"/>
                <w:sz w:val="24"/>
                <w:szCs w:val="24"/>
                <w:highlight w:val="none"/>
                <w:vertAlign w:val="baseline"/>
                <w:lang w:val="en-US" w:eastAsia="zh-CN"/>
              </w:rPr>
              <w:fldChar w:fldCharType="end"/>
            </w:r>
          </w:p>
        </w:tc>
        <w:tc>
          <w:tcPr>
            <w:tcW w:w="1044"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1.4430</w:t>
            </w:r>
          </w:p>
        </w:tc>
        <w:tc>
          <w:tcPr>
            <w:tcW w:w="1077"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0</w:t>
            </w:r>
          </w:p>
        </w:tc>
        <w:tc>
          <w:tcPr>
            <w:tcW w:w="1013" w:type="dxa"/>
            <w:noWrap w:val="0"/>
            <w:vAlign w:val="center"/>
          </w:tcPr>
          <w:p>
            <w:pPr>
              <w:pStyle w:val="12"/>
              <w:spacing w:line="240" w:lineRule="auto"/>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5.1435</w:t>
            </w:r>
          </w:p>
        </w:tc>
        <w:tc>
          <w:tcPr>
            <w:tcW w:w="990"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5.0310</w:t>
            </w:r>
          </w:p>
        </w:tc>
        <w:tc>
          <w:tcPr>
            <w:tcW w:w="1161"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0</w:t>
            </w:r>
          </w:p>
        </w:tc>
        <w:tc>
          <w:tcPr>
            <w:tcW w:w="927" w:type="dxa"/>
            <w:noWrap w:val="0"/>
            <w:vAlign w:val="center"/>
          </w:tcPr>
          <w:p>
            <w:pPr>
              <w:pStyle w:val="12"/>
              <w:jc w:val="center"/>
              <w:rPr>
                <w:rFonts w:hint="eastAsia" w:ascii="仿宋_GB2312" w:hAnsi="仿宋_GB2312" w:eastAsia="仿宋_GB2312" w:cs="仿宋_GB2312"/>
                <w:color w:val="auto"/>
                <w:spacing w:val="0"/>
                <w:sz w:val="24"/>
                <w:szCs w:val="24"/>
                <w:highlight w:val="none"/>
                <w:vertAlign w:val="baseline"/>
                <w:lang w:val="en-US" w:eastAsia="zh-CN"/>
              </w:rPr>
            </w:pPr>
            <w:r>
              <w:rPr>
                <w:rFonts w:hint="eastAsia" w:ascii="仿宋_GB2312" w:hAnsi="仿宋_GB2312" w:eastAsia="仿宋_GB2312" w:cs="仿宋_GB2312"/>
                <w:color w:val="auto"/>
                <w:spacing w:val="0"/>
                <w:sz w:val="24"/>
                <w:szCs w:val="24"/>
                <w:highlight w:val="none"/>
                <w:vertAlign w:val="baseline"/>
                <w:lang w:val="en-US" w:eastAsia="zh-CN"/>
              </w:rPr>
              <w:t>0</w:t>
            </w:r>
          </w:p>
        </w:tc>
      </w:tr>
    </w:tbl>
    <w:p>
      <w:pPr>
        <w:keepNext w:val="0"/>
        <w:keepLines w:val="0"/>
        <w:pageBreakBefore w:val="0"/>
        <w:widowControl w:val="0"/>
        <w:kinsoku/>
        <w:wordWrap/>
        <w:overflowPunct w:val="0"/>
        <w:topLinePunct w:val="0"/>
        <w:autoSpaceDE/>
        <w:autoSpaceDN/>
        <w:bidi w:val="0"/>
        <w:adjustRightInd w:val="0"/>
        <w:snapToGrid w:val="0"/>
        <w:spacing w:before="313" w:beforeLines="100" w:line="560" w:lineRule="exact"/>
        <w:ind w:firstLine="640" w:firstLineChars="200"/>
        <w:jc w:val="both"/>
        <w:textAlignment w:val="baseline"/>
        <w:rPr>
          <w:rFonts w:hint="default" w:ascii="Times New Roman" w:hAnsi="Times New Roman" w:eastAsia="黑体" w:cs="黑体"/>
          <w:color w:val="auto"/>
          <w:sz w:val="32"/>
          <w:szCs w:val="32"/>
          <w:highlight w:val="none"/>
          <w:lang w:val="en-US" w:eastAsia="zh-CN"/>
        </w:rPr>
      </w:pPr>
      <w:r>
        <w:rPr>
          <w:rFonts w:ascii="Times New Roman" w:hAnsi="Times New Roman" w:eastAsia="黑体" w:cs="黑体"/>
          <w:color w:val="auto"/>
          <w:spacing w:val="0"/>
          <w:sz w:val="32"/>
          <w:szCs w:val="32"/>
          <w:highlight w:val="none"/>
        </w:rPr>
        <w:t>二、</w:t>
      </w:r>
      <w:r>
        <w:rPr>
          <w:rFonts w:hint="eastAsia" w:ascii="Times New Roman" w:hAnsi="Times New Roman" w:eastAsia="黑体" w:cs="黑体"/>
          <w:color w:val="auto"/>
          <w:spacing w:val="0"/>
          <w:sz w:val="32"/>
          <w:szCs w:val="32"/>
          <w:highlight w:val="none"/>
          <w:lang w:val="en-US" w:eastAsia="zh-CN"/>
        </w:rPr>
        <w:t>征收目的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本次拟征收土地目的为城市发展需要，拟用于乐山市沙湾区2026年第4批次建设用地，属于《中华人民共和国土地管理法》 第四十五条第一款第三项“由政府组织实施的科技、教育、文化、卫生、体育、生态环境和资源保护、防灾减灾、文物保护、社区 综合服务、社会福利、市政公用、优抚安置、英烈保护等公共事 业需要用地的”规定可以征收集体所有土地的情形。</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eastAsia" w:ascii="Times New Roman" w:hAnsi="Times New Roman" w:eastAsia="黑体" w:cs="黑体"/>
          <w:color w:val="auto"/>
          <w:sz w:val="32"/>
          <w:szCs w:val="32"/>
          <w:highlight w:val="none"/>
          <w:lang w:eastAsia="zh-CN"/>
        </w:rPr>
      </w:pPr>
      <w:r>
        <w:rPr>
          <w:rFonts w:ascii="Times New Roman" w:hAnsi="Times New Roman" w:eastAsia="黑体" w:cs="黑体"/>
          <w:color w:val="auto"/>
          <w:spacing w:val="0"/>
          <w:sz w:val="32"/>
          <w:szCs w:val="32"/>
          <w:highlight w:val="none"/>
        </w:rPr>
        <w:t>三、补偿方式</w:t>
      </w:r>
      <w:r>
        <w:rPr>
          <w:rFonts w:hint="eastAsia" w:ascii="Times New Roman" w:hAnsi="Times New Roman" w:eastAsia="黑体" w:cs="黑体"/>
          <w:color w:val="auto"/>
          <w:spacing w:val="0"/>
          <w:sz w:val="32"/>
          <w:szCs w:val="32"/>
          <w:highlight w:val="none"/>
          <w:lang w:eastAsia="zh-CN"/>
        </w:rPr>
        <w:t>和</w:t>
      </w:r>
      <w:r>
        <w:rPr>
          <w:rFonts w:ascii="Times New Roman" w:hAnsi="Times New Roman" w:eastAsia="黑体" w:cs="黑体"/>
          <w:color w:val="auto"/>
          <w:spacing w:val="0"/>
          <w:sz w:val="32"/>
          <w:szCs w:val="32"/>
          <w:highlight w:val="none"/>
        </w:rPr>
        <w:t>标准</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Times New Roman" w:hAnsi="Times New Roman" w:eastAsia="楷体_GB2312" w:cs="楷体_GB2312"/>
          <w:color w:val="auto"/>
          <w:spacing w:val="0"/>
          <w:sz w:val="32"/>
          <w:szCs w:val="32"/>
          <w:highlight w:val="none"/>
          <w:lang w:val="en-US" w:eastAsia="zh-CN"/>
        </w:rPr>
        <w:t>（一）土地补偿费和安置补助费。</w:t>
      </w:r>
      <w:r>
        <w:rPr>
          <w:rFonts w:hint="eastAsia" w:ascii="仿宋_GB2312" w:hAnsi="仿宋_GB2312" w:eastAsia="仿宋_GB2312" w:cs="仿宋_GB2312"/>
          <w:color w:val="auto"/>
          <w:sz w:val="32"/>
          <w:szCs w:val="32"/>
        </w:rPr>
        <w:t>本次征收土地补偿费、安置补助费标准按照《四川省人民政府办公厅关于进一步做好征地工作的通知》（川办发〔2024〕18号）</w:t>
      </w:r>
      <w:r>
        <w:rPr>
          <w:rFonts w:hint="eastAsia" w:ascii="仿宋_GB2312" w:hAnsi="仿宋_GB2312" w:eastAsia="仿宋_GB2312" w:cs="仿宋_GB2312"/>
          <w:color w:val="auto"/>
          <w:sz w:val="32"/>
          <w:szCs w:val="32"/>
          <w:lang w:eastAsia="zh-CN"/>
        </w:rPr>
        <w:t>和《乐山市沙湾区人民政府关于公布实施乐山市沙湾区征收农用地区片综合地价标准的通知》（乐沙府函〔</w:t>
      </w: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5号）</w:t>
      </w:r>
      <w:r>
        <w:rPr>
          <w:rFonts w:hint="eastAsia" w:ascii="仿宋_GB2312" w:hAnsi="仿宋_GB2312" w:eastAsia="仿宋_GB2312" w:cs="仿宋_GB2312"/>
          <w:color w:val="auto"/>
          <w:sz w:val="32"/>
          <w:szCs w:val="32"/>
        </w:rPr>
        <w:t>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Times New Roman" w:hAnsi="Times New Roman" w:eastAsia="楷体_GB2312" w:cs="楷体_GB2312"/>
          <w:color w:val="auto"/>
          <w:spacing w:val="0"/>
          <w:sz w:val="32"/>
          <w:szCs w:val="32"/>
          <w:highlight w:val="none"/>
          <w:lang w:val="en-US" w:eastAsia="zh-CN"/>
        </w:rPr>
        <w:t>（二）地上附着物及青苗。</w:t>
      </w:r>
      <w:r>
        <w:rPr>
          <w:rFonts w:hint="eastAsia" w:ascii="仿宋_GB2312" w:hAnsi="仿宋_GB2312" w:eastAsia="仿宋_GB2312" w:cs="仿宋_GB2312"/>
          <w:color w:val="auto"/>
          <w:sz w:val="32"/>
          <w:szCs w:val="32"/>
          <w:lang w:val="en-US" w:eastAsia="zh-CN"/>
        </w:rPr>
        <w:t>本次拟征收土地地上附着物和青苗补偿费按照《乐山市人民政府关于公布实施乐山市征地地上附着物和青苗补偿标准的通知》（乐府函〔2024〕109号</w:t>
      </w:r>
      <w:r>
        <w:rPr>
          <w:rFonts w:hint="eastAsia" w:ascii="仿宋_GB2312" w:hAnsi="仿宋_GB2312" w:eastAsia="仿宋_GB2312" w:cs="仿宋_GB2312"/>
          <w:color w:val="auto"/>
          <w:sz w:val="32"/>
          <w:szCs w:val="32"/>
          <w:lang w:eastAsia="zh-CN"/>
        </w:rPr>
        <w:t>）执行</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本次土地征收的补偿方式为：货币补偿。</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jc w:val="both"/>
        <w:textAlignment w:val="baseline"/>
        <w:rPr>
          <w:rFonts w:ascii="Times New Roman" w:hAnsi="Times New Roman" w:eastAsia="黑体" w:cs="黑体"/>
          <w:color w:val="auto"/>
          <w:spacing w:val="0"/>
          <w:sz w:val="32"/>
          <w:szCs w:val="32"/>
          <w:highlight w:val="none"/>
        </w:rPr>
      </w:pPr>
      <w:r>
        <w:rPr>
          <w:rFonts w:hint="eastAsia" w:ascii="Times New Roman" w:hAnsi="Times New Roman" w:eastAsia="黑体" w:cs="黑体"/>
          <w:color w:val="auto"/>
          <w:spacing w:val="0"/>
          <w:sz w:val="32"/>
          <w:szCs w:val="32"/>
          <w:highlight w:val="none"/>
          <w:lang w:val="en-US" w:eastAsia="zh-CN"/>
        </w:rPr>
        <w:t>四、</w:t>
      </w:r>
      <w:r>
        <w:rPr>
          <w:rFonts w:ascii="Times New Roman" w:hAnsi="Times New Roman" w:eastAsia="黑体" w:cs="黑体"/>
          <w:color w:val="auto"/>
          <w:spacing w:val="0"/>
          <w:sz w:val="32"/>
          <w:szCs w:val="32"/>
          <w:highlight w:val="none"/>
        </w:rPr>
        <w:t>安置对象</w:t>
      </w:r>
      <w:r>
        <w:rPr>
          <w:rFonts w:hint="default" w:ascii="Times New Roman" w:hAnsi="Times New Roman" w:eastAsia="黑体" w:cs="黑体"/>
          <w:color w:val="auto"/>
          <w:spacing w:val="0"/>
          <w:sz w:val="32"/>
          <w:szCs w:val="32"/>
          <w:highlight w:val="none"/>
          <w:lang w:eastAsia="zh-CN"/>
        </w:rPr>
        <w:t>和安置方式</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0" w:firstLine="640" w:firstLineChars="200"/>
        <w:jc w:val="both"/>
        <w:textAlignment w:val="baseline"/>
        <w:rPr>
          <w:rFonts w:hint="eastAsia" w:ascii="Times New Roman" w:hAnsi="Times New Roman" w:eastAsia="楷体_GB2312" w:cs="楷体_GB2312"/>
          <w:color w:val="auto"/>
          <w:spacing w:val="0"/>
          <w:sz w:val="32"/>
          <w:szCs w:val="32"/>
          <w:highlight w:val="none"/>
          <w:lang w:val="en-US" w:eastAsia="zh-CN"/>
        </w:rPr>
      </w:pPr>
      <w:r>
        <w:rPr>
          <w:rFonts w:hint="eastAsia" w:ascii="Times New Roman" w:hAnsi="Times New Roman" w:eastAsia="楷体_GB2312" w:cs="楷体_GB2312"/>
          <w:color w:val="auto"/>
          <w:spacing w:val="0"/>
          <w:sz w:val="32"/>
          <w:szCs w:val="32"/>
          <w:highlight w:val="none"/>
          <w:lang w:val="en-US" w:eastAsia="zh-CN"/>
        </w:rPr>
        <w:t>（一）人员安置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被征地的农村集体组织根据相关规定，以征地补偿安置公告时间为节点确定需纳入养老保障等社会保障体系的安置对象。本次征收土地享受社会保障的人数，采用人均耕地计算，即被征收耕地面积除以被征地的农村集体经济组织人均耕地面积计算确定（已纳入征地社会保障人员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本次拟征收土地需安置14人，拟采取养老保障安置进行安置。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0" w:firstLine="640" w:firstLineChars="200"/>
        <w:jc w:val="both"/>
        <w:textAlignment w:val="baseline"/>
        <w:rPr>
          <w:rFonts w:hint="eastAsia" w:ascii="Times New Roman" w:hAnsi="Times New Roman" w:eastAsia="楷体_GB2312" w:cs="楷体_GB2312"/>
          <w:color w:val="auto"/>
          <w:spacing w:val="0"/>
          <w:sz w:val="32"/>
          <w:szCs w:val="32"/>
          <w:highlight w:val="none"/>
          <w:lang w:val="en-US" w:eastAsia="zh-CN"/>
        </w:rPr>
      </w:pPr>
      <w:r>
        <w:rPr>
          <w:rFonts w:hint="eastAsia" w:ascii="Times New Roman" w:hAnsi="Times New Roman" w:eastAsia="楷体_GB2312" w:cs="楷体_GB2312"/>
          <w:color w:val="auto"/>
          <w:spacing w:val="0"/>
          <w:sz w:val="32"/>
          <w:szCs w:val="32"/>
          <w:highlight w:val="none"/>
          <w:lang w:val="en-US" w:eastAsia="zh-CN"/>
        </w:rPr>
        <w:t>（二）农村村民住宅安置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本次征地不涉及农村村民住宅安置。</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黑体" w:cs="黑体"/>
          <w:color w:val="auto"/>
          <w:spacing w:val="0"/>
          <w:sz w:val="32"/>
          <w:szCs w:val="32"/>
          <w:highlight w:val="none"/>
        </w:rPr>
      </w:pPr>
      <w:r>
        <w:rPr>
          <w:rFonts w:hint="default" w:ascii="Times New Roman" w:hAnsi="Times New Roman" w:eastAsia="黑体" w:cs="黑体"/>
          <w:color w:val="auto"/>
          <w:spacing w:val="0"/>
          <w:sz w:val="32"/>
          <w:szCs w:val="32"/>
          <w:highlight w:val="none"/>
        </w:rPr>
        <w:t>社会保障措施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本次被征地农民的社会保障措施按照《四川省人力资源和社会保障厅 四川省财政厅 四川省自然资源厅关于印发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四川省被征地农民养老保障实施办法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的通知》（川人社发〔2018〕46号）《乐山市人力资源和社会保障局 乐山市财政局 乐山市自然资源局关于贯彻落实川人社发〔2018〕46号文件几个具体问题的通知》（乐人社发〔2019〕30号）《乐山市征地农转非人员安置保障暂行办法》（乐山市人民政府令第6号）《乐山市人民政府办公室关于印发乐山市基本医疗保险实施办法的通知》（乐府办发〔2016〕9号）的规定执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以发布</w:t>
      </w:r>
      <w:r>
        <w:rPr>
          <w:rFonts w:hint="eastAsia" w:ascii="仿宋_GB2312" w:hAnsi="仿宋_GB2312" w:eastAsia="仿宋_GB2312" w:cs="仿宋_GB2312"/>
          <w:color w:val="auto"/>
          <w:sz w:val="32"/>
          <w:szCs w:val="32"/>
          <w:lang w:eastAsia="zh-CN"/>
        </w:rPr>
        <w:t>征地补偿安置公告</w:t>
      </w:r>
      <w:r>
        <w:rPr>
          <w:rFonts w:hint="eastAsia" w:ascii="仿宋_GB2312" w:hAnsi="仿宋_GB2312" w:eastAsia="仿宋_GB2312" w:cs="仿宋_GB2312"/>
          <w:color w:val="auto"/>
          <w:sz w:val="32"/>
          <w:szCs w:val="32"/>
        </w:rPr>
        <w:t>时间节点确定</w:t>
      </w:r>
      <w:r>
        <w:rPr>
          <w:rFonts w:hint="eastAsia" w:ascii="仿宋_GB2312" w:hAnsi="仿宋_GB2312" w:eastAsia="仿宋_GB2312" w:cs="仿宋_GB2312"/>
          <w:color w:val="auto"/>
          <w:sz w:val="32"/>
          <w:szCs w:val="32"/>
          <w:lang w:eastAsia="zh-CN"/>
        </w:rPr>
        <w:t>需纳入养老保障等社会保障体系的安置对象</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topLinePunct w:val="0"/>
        <w:autoSpaceDE/>
        <w:autoSpaceDN/>
        <w:bidi w:val="0"/>
        <w:spacing w:after="0" w:line="560" w:lineRule="exact"/>
        <w:ind w:firstLine="640" w:firstLineChars="200"/>
        <w:rPr>
          <w:rFonts w:hint="default" w:ascii="Times New Roman" w:hAnsi="Times New Roman" w:eastAsia="黑体" w:cs="黑体"/>
          <w:color w:val="auto"/>
          <w:spacing w:val="0"/>
          <w:sz w:val="32"/>
          <w:szCs w:val="32"/>
          <w:highlight w:val="none"/>
          <w:lang w:val="en-US" w:eastAsia="en-US"/>
        </w:rPr>
      </w:pPr>
      <w:r>
        <w:rPr>
          <w:rFonts w:hint="default" w:ascii="Times New Roman" w:hAnsi="Times New Roman" w:eastAsia="黑体" w:cs="黑体"/>
          <w:color w:val="auto"/>
          <w:spacing w:val="0"/>
          <w:sz w:val="32"/>
          <w:szCs w:val="32"/>
          <w:highlight w:val="none"/>
          <w:lang w:val="en-US" w:eastAsia="en-US"/>
        </w:rPr>
        <w:t>六、其他事项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本次土地征收范围和面积以最终土地征收批准文件载明的内容为准。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sectPr>
          <w:footerReference r:id="rId3" w:type="default"/>
          <w:footerReference r:id="rId4" w:type="even"/>
          <w:pgSz w:w="11906" w:h="16838"/>
          <w:pgMar w:top="2098" w:right="1474" w:bottom="1701" w:left="1588" w:header="851" w:footer="1361" w:gutter="0"/>
          <w:cols w:space="720" w:num="1"/>
          <w:titlePg/>
          <w:docGrid w:type="lines" w:linePitch="312" w:charSpace="0"/>
        </w:sectPr>
      </w:pPr>
      <w:r>
        <w:rPr>
          <w:rFonts w:hint="eastAsia" w:ascii="仿宋_GB2312" w:hAnsi="仿宋_GB2312" w:eastAsia="仿宋_GB2312" w:cs="仿宋_GB2312"/>
          <w:color w:val="auto"/>
          <w:sz w:val="32"/>
          <w:szCs w:val="32"/>
        </w:rPr>
        <w:t>附</w:t>
      </w:r>
      <w:r>
        <w:rPr>
          <w:rFonts w:hint="eastAsia" w:ascii="仿宋_GB2312" w:hAnsi="仿宋_GB2312" w:eastAsia="仿宋_GB2312" w:cs="仿宋_GB2312"/>
          <w:color w:val="auto"/>
          <w:sz w:val="32"/>
          <w:szCs w:val="32"/>
          <w:lang w:val="en-US" w:eastAsia="zh-CN"/>
        </w:rPr>
        <w:t>件：1-1.拟征收土地范围示意图</w:t>
      </w:r>
    </w:p>
    <w:p>
      <w:pPr>
        <w:pStyle w:val="6"/>
        <w:tabs>
          <w:tab w:val="right" w:pos="7560"/>
        </w:tabs>
        <w:spacing w:line="560" w:lineRule="exact"/>
        <w:ind w:left="0" w:leftChars="0"/>
        <w:rPr>
          <w:rFonts w:hint="default" w:ascii="黑体" w:eastAsia="黑体"/>
          <w:sz w:val="32"/>
          <w:szCs w:val="32"/>
          <w:lang w:val="en-US" w:eastAsia="zh-CN"/>
        </w:rPr>
      </w:pPr>
      <w:r>
        <w:rPr>
          <w:rFonts w:hint="eastAsia" w:ascii="黑体" w:eastAsia="黑体"/>
          <w:sz w:val="32"/>
          <w:szCs w:val="32"/>
          <w:lang w:val="en-US" w:eastAsia="zh-CN"/>
        </w:rPr>
        <w:t>附件1-1</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sz w:val="44"/>
          <w:szCs w:val="44"/>
        </w:rPr>
      </w:pPr>
      <w:r>
        <w:rPr>
          <w:rFonts w:hint="eastAsia" w:ascii="方正小标宋_GBK" w:hAnsi="方正小标宋_GBK" w:eastAsia="方正小标宋_GBK" w:cs="方正小标宋_GBK"/>
          <w:sz w:val="44"/>
          <w:szCs w:val="44"/>
          <w:lang w:val="en-US" w:eastAsia="zh-CN"/>
        </w:rPr>
        <w:t>拟征收土地范围示意图</w:t>
      </w:r>
    </w:p>
    <w:p>
      <w:pPr>
        <w:pStyle w:val="12"/>
        <w:jc w:val="center"/>
      </w:pPr>
      <w:r>
        <w:rPr>
          <w:rFonts w:hint="eastAsia" w:ascii="仿宋_GB2312" w:hAnsi="仿宋_GB2312" w:eastAsia="仿宋_GB2312" w:cs="仿宋_GB2312"/>
          <w:sz w:val="44"/>
          <w:szCs w:val="44"/>
        </w:rPr>
        <w:drawing>
          <wp:anchor distT="0" distB="0" distL="114300" distR="114300" simplePos="0" relativeHeight="251659264" behindDoc="0" locked="0" layoutInCell="1" allowOverlap="1">
            <wp:simplePos x="0" y="0"/>
            <wp:positionH relativeFrom="column">
              <wp:posOffset>462915</wp:posOffset>
            </wp:positionH>
            <wp:positionV relativeFrom="paragraph">
              <wp:posOffset>97790</wp:posOffset>
            </wp:positionV>
            <wp:extent cx="7385050" cy="5219065"/>
            <wp:effectExtent l="0" t="0" r="6350" b="63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7385050" cy="5219065"/>
                    </a:xfrm>
                    <a:prstGeom prst="rect">
                      <a:avLst/>
                    </a:prstGeom>
                    <a:noFill/>
                    <a:ln>
                      <a:noFill/>
                    </a:ln>
                  </pic:spPr>
                </pic:pic>
              </a:graphicData>
            </a:graphic>
          </wp:anchor>
        </w:drawing>
      </w:r>
    </w:p>
    <w:p>
      <w:pPr>
        <w:pStyle w:val="12"/>
        <w:jc w:val="center"/>
        <w:rPr>
          <w:rFonts w:hint="eastAsia" w:eastAsia="宋体"/>
          <w:lang w:eastAsia="zh-CN"/>
        </w:rPr>
      </w:pPr>
    </w:p>
    <w:p>
      <w:pPr>
        <w:pStyle w:val="2"/>
        <w:rPr>
          <w:rFonts w:hint="eastAsia"/>
        </w:rPr>
      </w:pPr>
    </w:p>
    <w:p>
      <w:pPr>
        <w:pStyle w:val="12"/>
        <w:rPr>
          <w:rFonts w:hint="eastAsia"/>
        </w:rPr>
      </w:pPr>
    </w:p>
    <w:p/>
    <w:sectPr>
      <w:pgSz w:w="16838" w:h="11906" w:orient="landscape"/>
      <w:pgMar w:top="1588" w:right="2098" w:bottom="1474" w:left="1701" w:header="851" w:footer="136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swiss"/>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1"/>
        <w:rFonts w:hint="eastAsia" w:ascii="宋体" w:hAnsi="宋体"/>
        <w:sz w:val="28"/>
        <w:szCs w:val="28"/>
      </w:rPr>
    </w:pPr>
    <w:r>
      <w:rPr>
        <w:rStyle w:val="11"/>
        <w:rFonts w:hint="eastAsia" w:ascii="宋体" w:hAnsi="宋体"/>
        <w:sz w:val="28"/>
        <w:szCs w:val="28"/>
      </w:rPr>
      <w:t xml:space="preserve">— </w:t>
    </w:r>
    <w:r>
      <w:rPr>
        <w:rStyle w:val="11"/>
        <w:rFonts w:ascii="宋体" w:hAnsi="宋体"/>
        <w:sz w:val="28"/>
        <w:szCs w:val="28"/>
      </w:rPr>
      <w:fldChar w:fldCharType="begin"/>
    </w:r>
    <w:r>
      <w:rPr>
        <w:rStyle w:val="11"/>
        <w:rFonts w:ascii="宋体" w:hAnsi="宋体"/>
        <w:sz w:val="28"/>
        <w:szCs w:val="28"/>
      </w:rPr>
      <w:instrText xml:space="preserve">PAGE  </w:instrText>
    </w:r>
    <w:r>
      <w:rPr>
        <w:rStyle w:val="11"/>
        <w:rFonts w:ascii="宋体" w:hAnsi="宋体"/>
        <w:sz w:val="28"/>
        <w:szCs w:val="28"/>
      </w:rPr>
      <w:fldChar w:fldCharType="separate"/>
    </w:r>
    <w:r>
      <w:rPr>
        <w:rStyle w:val="11"/>
        <w:rFonts w:ascii="宋体" w:hAnsi="宋体"/>
        <w:sz w:val="28"/>
        <w:szCs w:val="28"/>
      </w:rPr>
      <w:t>2</w:t>
    </w:r>
    <w:r>
      <w:rPr>
        <w:rStyle w:val="11"/>
        <w:rFonts w:ascii="宋体" w:hAnsi="宋体"/>
        <w:sz w:val="28"/>
        <w:szCs w:val="28"/>
      </w:rPr>
      <w:fldChar w:fldCharType="end"/>
    </w:r>
    <w:r>
      <w:rPr>
        <w:rStyle w:val="11"/>
        <w:rFonts w:hint="eastAsia" w:ascii="宋体" w:hAnsi="宋体"/>
        <w:sz w:val="28"/>
        <w:szCs w:val="28"/>
      </w:rPr>
      <w:t xml:space="preserve"> —</w:t>
    </w:r>
  </w:p>
  <w:p>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577B01"/>
    <w:multiLevelType w:val="singleLevel"/>
    <w:tmpl w:val="ED577B01"/>
    <w:lvl w:ilvl="0" w:tentative="0">
      <w:start w:val="5"/>
      <w:numFmt w:val="chineseCounting"/>
      <w:suff w:val="nothing"/>
      <w:lvlText w:val="%1、"/>
      <w:lvlJc w:val="left"/>
      <w:rPr>
        <w:rFonts w:hint="eastAsia" w:cs="Times New Roman"/>
        <w:sz w:val="32"/>
        <w:szCs w:val="32"/>
      </w:rPr>
    </w:lvl>
  </w:abstractNum>
  <w:abstractNum w:abstractNumId="1">
    <w:nsid w:val="5F9F7A44"/>
    <w:multiLevelType w:val="singleLevel"/>
    <w:tmpl w:val="5F9F7A4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VkYmVhODUzYzY2NzI1ZWU5NjE5YWUwYjMyNjAifQ=="/>
  </w:docVars>
  <w:rsids>
    <w:rsidRoot w:val="45DA70CB"/>
    <w:rsid w:val="45DA7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before="0" w:after="140" w:line="276" w:lineRule="auto"/>
    </w:pPr>
  </w:style>
  <w:style w:type="paragraph" w:styleId="3">
    <w:name w:val="toc 5"/>
    <w:basedOn w:val="1"/>
    <w:next w:val="1"/>
    <w:qFormat/>
    <w:uiPriority w:val="0"/>
    <w:pPr>
      <w:ind w:left="1680" w:leftChars="800"/>
    </w:pPr>
  </w:style>
  <w:style w:type="paragraph" w:styleId="4">
    <w:name w:val="Body Text Indent"/>
    <w:basedOn w:val="1"/>
    <w:next w:val="5"/>
    <w:uiPriority w:val="0"/>
    <w:pPr>
      <w:spacing w:after="120"/>
      <w:ind w:left="420" w:leftChars="200"/>
    </w:pPr>
  </w:style>
  <w:style w:type="paragraph" w:styleId="5">
    <w:name w:val="Body Text First Indent 2"/>
    <w:basedOn w:val="4"/>
    <w:uiPriority w:val="0"/>
    <w:pPr>
      <w:ind w:firstLine="420" w:firstLineChars="200"/>
    </w:pPr>
  </w:style>
  <w:style w:type="paragraph" w:styleId="6">
    <w:name w:val="Date"/>
    <w:basedOn w:val="1"/>
    <w:next w:val="1"/>
    <w:uiPriority w:val="0"/>
    <w:pPr>
      <w:ind w:left="100" w:leftChars="2500"/>
    </w:pPr>
  </w:style>
  <w:style w:type="paragraph" w:styleId="7">
    <w:name w:val="footer"/>
    <w:basedOn w:val="1"/>
    <w:qFormat/>
    <w:uiPriority w:val="0"/>
    <w:pPr>
      <w:tabs>
        <w:tab w:val="center" w:pos="4153"/>
        <w:tab w:val="right" w:pos="8306"/>
      </w:tabs>
      <w:snapToGrid w:val="0"/>
      <w:jc w:val="left"/>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iPriority w:val="0"/>
  </w:style>
  <w:style w:type="paragraph" w:customStyle="1" w:styleId="12">
    <w:name w:val="Default"/>
    <w:qFormat/>
    <w:uiPriority w:val="0"/>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2026-11-06T08:13:00Z</dcterms:created>
  <dc:creator>袋里有米唐</dc:creator>
  <cp:lastModifiedBy>袋里有米唐</cp:lastModifiedBy>
  <dcterms:modified xsi:type="dcterms:W3CDTF">2026-11-06T08:14:54Z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10E0E046D7BC4FC8A2F70E6C9079C092_11</vt:lpwstr>
  </property>
</Properties>
</file>