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lang w:eastAsia="zh-CN"/>
        </w:rPr>
        <w:t>沙湾区</w:t>
      </w:r>
      <w:r>
        <w:rPr>
          <w:rFonts w:hint="eastAsia" w:ascii="黑体" w:hAnsi="黑体" w:eastAsia="黑体" w:cs="黑体"/>
          <w:sz w:val="44"/>
          <w:szCs w:val="44"/>
          <w:lang w:val="en-US" w:eastAsia="zh-CN"/>
        </w:rPr>
        <w:t>2025年财政衔接推进乡村振兴补助资金储备项</w:t>
      </w:r>
      <w:r>
        <w:rPr>
          <w:rFonts w:hint="eastAsia" w:ascii="黑体" w:hAnsi="黑体" w:eastAsia="黑体" w:cs="黑体"/>
          <w:sz w:val="44"/>
          <w:szCs w:val="44"/>
        </w:rPr>
        <w:t>目库</w:t>
      </w:r>
      <w:r>
        <w:rPr>
          <w:rFonts w:hint="eastAsia" w:ascii="黑体" w:hAnsi="黑体" w:eastAsia="黑体" w:cs="黑体"/>
          <w:sz w:val="44"/>
          <w:szCs w:val="44"/>
          <w:lang w:eastAsia="zh-CN"/>
        </w:rPr>
        <w:t>中期调整</w:t>
      </w:r>
      <w:r>
        <w:rPr>
          <w:rFonts w:hint="eastAsia" w:ascii="黑体" w:hAnsi="黑体" w:eastAsia="黑体" w:cs="黑体"/>
          <w:sz w:val="44"/>
          <w:szCs w:val="44"/>
        </w:rPr>
        <w:t>公告</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根据四川省农业农村厅《关于做好2025年度县级巩固拓展脱贫攻坚成果和乡村振兴项目库建设工作的通知》(N</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2024</w:t>
      </w:r>
      <w:r>
        <w:rPr>
          <w:rFonts w:hint="eastAsia" w:ascii="仿宋_GB2312" w:hAnsi="仿宋_GB2312" w:eastAsia="仿宋_GB2312" w:cs="仿宋_GB2312"/>
          <w:sz w:val="32"/>
          <w:szCs w:val="32"/>
          <w:lang w:val="en-US" w:eastAsia="zh-CN"/>
        </w:rPr>
        <w:t>〕</w:t>
      </w:r>
      <w:r>
        <w:rPr>
          <w:rFonts w:hint="eastAsia" w:ascii="仿宋" w:hAnsi="仿宋" w:eastAsia="仿宋" w:cs="仿宋"/>
          <w:sz w:val="32"/>
          <w:szCs w:val="32"/>
          <w:lang w:val="en-US" w:eastAsia="zh-CN"/>
        </w:rPr>
        <w:t>一2623号）文件要求</w:t>
      </w:r>
      <w:r>
        <w:rPr>
          <w:rFonts w:hint="eastAsia" w:ascii="仿宋_GB2312" w:hAnsi="仿宋" w:eastAsia="仿宋_GB2312" w:cs="仿宋"/>
          <w:sz w:val="32"/>
          <w:szCs w:val="32"/>
          <w:lang w:eastAsia="zh-CN"/>
        </w:rPr>
        <w:t>，</w:t>
      </w:r>
      <w:r>
        <w:rPr>
          <w:rFonts w:hint="eastAsia" w:ascii="仿宋" w:hAnsi="仿宋" w:eastAsia="仿宋" w:cs="仿宋"/>
          <w:sz w:val="32"/>
          <w:szCs w:val="32"/>
          <w:lang w:val="en-US" w:eastAsia="zh-CN"/>
        </w:rPr>
        <w:t>中期调整申报项目16个，</w:t>
      </w:r>
      <w:r>
        <w:rPr>
          <w:rFonts w:hint="eastAsia" w:ascii="仿宋" w:hAnsi="仿宋" w:eastAsia="仿宋" w:cs="仿宋"/>
          <w:color w:val="auto"/>
          <w:sz w:val="32"/>
          <w:szCs w:val="32"/>
          <w:lang w:val="en-US" w:eastAsia="zh-CN"/>
        </w:rPr>
        <w:t>项目总投资5698.9317</w:t>
      </w:r>
      <w:r>
        <w:rPr>
          <w:rFonts w:hint="eastAsia" w:ascii="仿宋" w:hAnsi="仿宋" w:eastAsia="仿宋" w:cs="仿宋"/>
          <w:sz w:val="32"/>
          <w:szCs w:val="32"/>
          <w:lang w:val="en-US" w:eastAsia="zh-CN"/>
        </w:rPr>
        <w:t>万元，申请补助财政衔接资金3820.6367万元，已</w:t>
      </w:r>
      <w:r>
        <w:rPr>
          <w:rFonts w:hint="eastAsia" w:ascii="仿宋" w:hAnsi="仿宋" w:eastAsia="仿宋" w:cs="仿宋"/>
          <w:sz w:val="32"/>
          <w:szCs w:val="32"/>
          <w:lang w:eastAsia="zh-CN"/>
        </w:rPr>
        <w:t>报中共沙湾区委农村工作领导小组同意，现予以公告</w:t>
      </w:r>
      <w:r>
        <w:rPr>
          <w:rFonts w:hint="eastAsia" w:ascii="仿宋" w:hAnsi="仿宋" w:eastAsia="仿宋" w:cs="仿宋"/>
          <w:sz w:val="32"/>
          <w:szCs w:val="32"/>
          <w:lang w:val="en-US" w:eastAsia="zh-CN"/>
        </w:rPr>
        <w:t>,敬请社会各界和广大群众监督。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监督电话：08333441255</w:t>
      </w:r>
      <w:bookmarkStart w:id="0" w:name="_GoBack"/>
      <w:bookmarkEnd w:id="0"/>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意见收集人：张海军 ， 电子邮箱：</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"mailto:416152215@qq.com，"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416152215@qq.com，</w:t>
      </w:r>
      <w:r>
        <w:rPr>
          <w:rFonts w:hint="eastAsia" w:ascii="仿宋" w:hAnsi="仿宋" w:eastAsia="仿宋" w:cs="仿宋"/>
          <w:sz w:val="32"/>
          <w:szCs w:val="32"/>
          <w:lang w:val="en-US" w:eastAsia="zh-CN"/>
        </w:rPr>
        <w:fldChar w:fldCharType="end"/>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通讯地址：乐山市沙湾区农业农村局</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p>
    <w:p>
      <w:pPr>
        <w:ind w:firstLine="5440" w:firstLineChars="1700"/>
        <w:rPr>
          <w:rFonts w:hint="eastAsia" w:ascii="仿宋" w:hAnsi="仿宋" w:eastAsia="仿宋" w:cs="仿宋"/>
          <w:sz w:val="32"/>
          <w:szCs w:val="32"/>
          <w:lang w:eastAsia="zh-CN"/>
        </w:rPr>
      </w:pPr>
      <w:r>
        <w:rPr>
          <w:rFonts w:hint="eastAsia" w:ascii="仿宋" w:hAnsi="仿宋" w:eastAsia="仿宋" w:cs="仿宋"/>
          <w:sz w:val="32"/>
          <w:szCs w:val="32"/>
          <w:lang w:eastAsia="zh-CN"/>
        </w:rPr>
        <w:t>乐山市沙湾区农业农村局</w:t>
      </w:r>
    </w:p>
    <w:p>
      <w:pPr>
        <w:ind w:firstLine="6080" w:firstLineChars="19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w:t>
      </w:r>
      <w:r>
        <w:rPr>
          <w:rFonts w:hint="eastAsia" w:ascii="仿宋" w:hAnsi="仿宋" w:eastAsia="仿宋" w:cs="仿宋"/>
          <w:sz w:val="32"/>
          <w:szCs w:val="32"/>
          <w:lang w:val="en-US" w:eastAsia="zh-CN"/>
        </w:rPr>
        <w:t>9</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pPr>
        <w:rPr>
          <w:rFonts w:hint="eastAsia" w:ascii="仿宋" w:hAnsi="仿宋" w:eastAsia="仿宋" w:cs="仿宋"/>
          <w:sz w:val="32"/>
          <w:szCs w:val="32"/>
          <w:lang w:val="en-US" w:eastAsia="zh-CN"/>
        </w:rPr>
        <w:sectPr>
          <w:pgSz w:w="11906" w:h="16838"/>
          <w:pgMar w:top="1383" w:right="1349" w:bottom="1383" w:left="1349" w:header="851" w:footer="992" w:gutter="0"/>
          <w:cols w:space="0" w:num="1"/>
          <w:rtlGutter w:val="0"/>
          <w:docGrid w:type="lines" w:linePitch="312" w:charSpace="0"/>
        </w:sectPr>
      </w:pPr>
    </w:p>
    <w:tbl>
      <w:tblPr>
        <w:tblStyle w:val="6"/>
        <w:tblpPr w:leftFromText="180" w:rightFromText="180" w:vertAnchor="text" w:horzAnchor="page" w:tblpX="1151" w:tblpY="1278"/>
        <w:tblOverlap w:val="never"/>
        <w:tblW w:w="2162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1185"/>
        <w:gridCol w:w="1665"/>
        <w:gridCol w:w="1110"/>
        <w:gridCol w:w="1245"/>
        <w:gridCol w:w="2757"/>
        <w:gridCol w:w="2790"/>
        <w:gridCol w:w="915"/>
        <w:gridCol w:w="1020"/>
        <w:gridCol w:w="1055"/>
        <w:gridCol w:w="610"/>
        <w:gridCol w:w="780"/>
        <w:gridCol w:w="900"/>
        <w:gridCol w:w="780"/>
        <w:gridCol w:w="735"/>
        <w:gridCol w:w="1005"/>
        <w:gridCol w:w="810"/>
        <w:gridCol w:w="825"/>
        <w:gridCol w:w="6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1627" w:type="dxa"/>
            <w:gridSpan w:val="1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黑体" w:hAnsi="黑体" w:eastAsia="黑体" w:cs="黑体"/>
                <w:i w:val="0"/>
                <w:iCs w:val="0"/>
                <w:color w:val="000000"/>
                <w:kern w:val="0"/>
                <w:sz w:val="44"/>
                <w:szCs w:val="44"/>
                <w:u w:val="none"/>
                <w:lang w:val="en-US" w:eastAsia="zh-CN" w:bidi="ar"/>
              </w:rPr>
              <w:t>沙湾区2025年财政衔接推进乡村振兴补助资金项目中期调整表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项目类别</w:t>
            </w:r>
          </w:p>
        </w:tc>
        <w:tc>
          <w:tcPr>
            <w:tcW w:w="1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实施地点</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建设性质</w:t>
            </w:r>
          </w:p>
        </w:tc>
        <w:tc>
          <w:tcPr>
            <w:tcW w:w="27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项目内容</w:t>
            </w:r>
          </w:p>
        </w:tc>
        <w:tc>
          <w:tcPr>
            <w:tcW w:w="2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群众参与和利益联结机制</w:t>
            </w:r>
          </w:p>
        </w:tc>
        <w:tc>
          <w:tcPr>
            <w:tcW w:w="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是否以以工代赈方式实施</w:t>
            </w:r>
          </w:p>
        </w:tc>
        <w:tc>
          <w:tcPr>
            <w:tcW w:w="4365" w:type="dxa"/>
            <w:gridSpan w:val="5"/>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规划总投资（万元）</w:t>
            </w:r>
          </w:p>
        </w:tc>
        <w:tc>
          <w:tcPr>
            <w:tcW w:w="3330" w:type="dxa"/>
            <w:gridSpan w:val="4"/>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受益对象（人）</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项目主管部门</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5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政府投入</w:t>
            </w:r>
          </w:p>
        </w:tc>
        <w:tc>
          <w:tcPr>
            <w:tcW w:w="61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业主投入</w:t>
            </w:r>
          </w:p>
        </w:tc>
        <w:tc>
          <w:tcPr>
            <w:tcW w:w="780"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农户自筹</w:t>
            </w:r>
          </w:p>
        </w:tc>
        <w:tc>
          <w:tcPr>
            <w:tcW w:w="900" w:type="dxa"/>
            <w:vMerge w:val="restart"/>
            <w:tcBorders>
              <w:top w:val="nil"/>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行业部门投入</w:t>
            </w:r>
          </w:p>
        </w:tc>
        <w:tc>
          <w:tcPr>
            <w:tcW w:w="1515" w:type="dxa"/>
            <w:gridSpan w:val="2"/>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农户</w:t>
            </w:r>
          </w:p>
        </w:tc>
        <w:tc>
          <w:tcPr>
            <w:tcW w:w="18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脱贫户（监测户）</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2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5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1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vMerge w:val="continue"/>
            <w:tcBorders>
              <w:top w:val="nil"/>
              <w:left w:val="single" w:color="000000" w:sz="4" w:space="0"/>
              <w:bottom w:val="single" w:color="000000"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户数</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人口</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户数</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人口</w:t>
            </w: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乐山市沙湾区</w:t>
            </w:r>
            <w:r>
              <w:rPr>
                <w:rFonts w:ascii="Courier New" w:hAnsi="Courier New" w:eastAsia="宋体" w:cs="Courier New"/>
                <w:i w:val="0"/>
                <w:iCs w:val="0"/>
                <w:color w:val="000000"/>
                <w:kern w:val="0"/>
                <w:sz w:val="22"/>
                <w:szCs w:val="22"/>
                <w:u w:val="none"/>
                <w:lang w:val="en-US" w:eastAsia="zh-CN" w:bidi="ar"/>
              </w:rPr>
              <w:t>2025</w:t>
            </w:r>
            <w:r>
              <w:rPr>
                <w:rFonts w:hint="eastAsia" w:ascii="宋体" w:hAnsi="宋体" w:eastAsia="宋体" w:cs="宋体"/>
                <w:i w:val="0"/>
                <w:iCs w:val="0"/>
                <w:color w:val="000000"/>
                <w:kern w:val="0"/>
                <w:sz w:val="22"/>
                <w:szCs w:val="22"/>
                <w:u w:val="none"/>
                <w:lang w:val="en-US" w:eastAsia="zh-CN" w:bidi="ar"/>
              </w:rPr>
              <w:t>年省级财政畜牧产业发展项目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新建蛋鸡舍1栋，蛋鸡育雏舍3栋，实现蛋鸡高质量发展</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流转农户土地每亩约600元/年的，新增养殖工程师、鸡蛋分拣员、管理人员等岗位约25个，优先聘用本地农户，按人均年薪5万元测算，每年预计发放工资125万元</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2628</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788</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941</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r>
              <w:rPr>
                <w:rFonts w:ascii="Courier New" w:hAnsi="Courier New" w:eastAsia="宋体" w:cs="Courier New"/>
                <w:i w:val="0"/>
                <w:iCs w:val="0"/>
                <w:color w:val="000000"/>
                <w:kern w:val="0"/>
                <w:sz w:val="22"/>
                <w:szCs w:val="22"/>
                <w:u w:val="none"/>
                <w:lang w:val="en-US" w:eastAsia="zh-CN" w:bidi="ar"/>
              </w:rPr>
              <w:t>2025</w:t>
            </w:r>
            <w:r>
              <w:rPr>
                <w:rFonts w:hint="eastAsia" w:ascii="宋体" w:hAnsi="宋体" w:eastAsia="宋体" w:cs="宋体"/>
                <w:i w:val="0"/>
                <w:iCs w:val="0"/>
                <w:color w:val="000000"/>
                <w:kern w:val="0"/>
                <w:sz w:val="22"/>
                <w:szCs w:val="22"/>
                <w:u w:val="none"/>
                <w:lang w:val="en-US" w:eastAsia="zh-CN" w:bidi="ar"/>
              </w:rPr>
              <w:t>年稳定畜牧业产能项目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调动养殖户积极性，稳定畜牧业产能，全区生猪出栏10.84万头，确保全区能繁母猪存栏维持在0.61万头左右的产能调控绿色区间</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20.4</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746</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沙湾区农业产品品牌宣传项目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制作4条3分钟以内的产品品牌宣传短视频推荐四川电视台采用和四川观察客户端发布</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5879</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区委宣传部</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葫芦镇四峨山村蓄水保灌项目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葫芦镇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整治自然沟渠100米，修建引水沟渠465米，新建水井1口，配置特色产业品牌宣传4处</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推动流转土地约150余亩特色水稻种植基地，带动农户55户205人，带动10户23人脱贫户务工增收，预计人均增收500元左右。</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91</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91</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葫芦镇江村蒋杠梯田引水保灌项目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葫芦镇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在四峨山村甘溪沟建设3处梯级蓄水水坝，维修整治引水沟渠540m，建设提灌站2处，新建灌溉水井一口，配置管道300米</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吸纳60名农户参与工程建设，人均收入增加2000元，项目实施后为群众生产种植提供方便，带动脱贫群众发展农业生产</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88.5</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88.5</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1385</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r>
              <w:rPr>
                <w:rFonts w:ascii="Courier New" w:hAnsi="Courier New" w:eastAsia="宋体" w:cs="Courier New"/>
                <w:i w:val="0"/>
                <w:iCs w:val="0"/>
                <w:color w:val="000000"/>
                <w:kern w:val="0"/>
                <w:sz w:val="22"/>
                <w:szCs w:val="22"/>
                <w:u w:val="none"/>
                <w:lang w:val="en-US" w:eastAsia="zh-CN" w:bidi="ar"/>
              </w:rPr>
              <w:t>2025</w:t>
            </w:r>
            <w:r>
              <w:rPr>
                <w:rFonts w:hint="eastAsia" w:ascii="宋体" w:hAnsi="宋体" w:eastAsia="宋体" w:cs="宋体"/>
                <w:i w:val="0"/>
                <w:iCs w:val="0"/>
                <w:color w:val="000000"/>
                <w:kern w:val="0"/>
                <w:sz w:val="22"/>
                <w:szCs w:val="22"/>
                <w:u w:val="none"/>
                <w:lang w:val="en-US" w:eastAsia="zh-CN" w:bidi="ar"/>
              </w:rPr>
              <w:t>年农田水利设施保险项目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对三面光浆砌田埂投保10000米，200PC管道投保2000米，50PC管道投保3000米，30㎝*40㎝沟渠投保2000米，100㎝*70㎝沟渠投保3000米，提灌站投保3座</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12</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12</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425</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r>
              <w:rPr>
                <w:rFonts w:ascii="Courier New" w:hAnsi="Courier New" w:eastAsia="宋体" w:cs="Courier New"/>
                <w:i w:val="0"/>
                <w:iCs w:val="0"/>
                <w:color w:val="000000"/>
                <w:kern w:val="0"/>
                <w:sz w:val="22"/>
                <w:szCs w:val="22"/>
                <w:u w:val="none"/>
                <w:lang w:val="en-US" w:eastAsia="zh-CN" w:bidi="ar"/>
              </w:rPr>
              <w:t>2025</w:t>
            </w:r>
            <w:r>
              <w:rPr>
                <w:rFonts w:hint="eastAsia" w:ascii="宋体" w:hAnsi="宋体" w:eastAsia="宋体" w:cs="宋体"/>
                <w:i w:val="0"/>
                <w:iCs w:val="0"/>
                <w:color w:val="000000"/>
                <w:kern w:val="0"/>
                <w:sz w:val="22"/>
                <w:szCs w:val="22"/>
                <w:u w:val="none"/>
                <w:lang w:val="en-US" w:eastAsia="zh-CN" w:bidi="ar"/>
              </w:rPr>
              <w:t>年养殖环节病死猪无害处理项目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病死猪无害化处理2416头</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1.7367</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1.7367</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135</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416</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乡村建设行动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牛石镇利农村林竹业产业路建设项目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牛石镇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硬化路面长2500米，宽3.5米，厚0.18米，混凝土标号C30（含边沟、涵洞建设）</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预计年种植收入约80万元，带动40余户发展林竹种植300余亩，吸纳80余人务工，群众土地租金等收益15万元</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138.295</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100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民宗局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项目管理费</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沙湾区基层产权流转交易标准化规范化建设咨询服务项目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完成清查核实工作机制建设、政策培训宣传等工作、三资清查核实工作；完成清查核实系统与沙湾三资监管平台数据互联互通，优质农村资源、资产进行全景VR拍摄，进行数字信息采集、项目包装等。</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w:t>
            </w:r>
          </w:p>
        </w:tc>
        <w:tc>
          <w:tcPr>
            <w:tcW w:w="1055"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Courier New" w:hAnsi="Courier New" w:eastAsia="宋体" w:cs="Courier New"/>
                <w:i w:val="0"/>
                <w:iCs w:val="0"/>
                <w:color w:val="000000"/>
                <w:sz w:val="22"/>
                <w:szCs w:val="22"/>
                <w:u w:val="none"/>
              </w:rPr>
            </w:pPr>
            <w:r>
              <w:rPr>
                <w:rFonts w:hint="default" w:ascii="Courier New" w:hAnsi="Courier New" w:eastAsia="宋体" w:cs="Courier New"/>
                <w:i w:val="0"/>
                <w:iCs w:val="0"/>
                <w:color w:val="000000"/>
                <w:kern w:val="0"/>
                <w:sz w:val="22"/>
                <w:szCs w:val="22"/>
                <w:u w:val="none"/>
                <w:lang w:val="en-US" w:eastAsia="zh-CN" w:bidi="ar"/>
              </w:rPr>
              <w:t>20</w:t>
            </w:r>
          </w:p>
        </w:tc>
        <w:tc>
          <w:tcPr>
            <w:tcW w:w="610"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nil"/>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5879</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2571</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5879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牛石镇九龙口村中药材种植基地建设项目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九龙口村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新建55亩中药材大棚及灌溉设备一套</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吸纳脱贫群众务工40人次，0.8万元</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1037</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乡村建设行动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福禄镇万福桥村四块田道路新建项目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万福桥村7.8.9组</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采用C30混凝土新建硬化道路长160米、宽5米、厚度20厘米,包含边沟160米及配套设施</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联农带户吸纳群众务工20人次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1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乡村建设行动</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葫芦镇四峨山村2025年通组道路硬化项目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四峨山村</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硬化通组道路长530米，宽4.5米，厚0.18米</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带动脱贫群众农业生产发展，增强了村集体组织的凝聚力</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537</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1937</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踏水镇特色水稻品牌宣传推广项目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高速路连接线路口</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特色水稻品牌宣传牌1个，长15米、宽4.7米</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6479</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乐山市冷水鱼千亿级优势特色农业产业培育项目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沙湾区太平镇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建设鲟鱼肉类初加工厂房，配套建设原料冻库、成品冻库等，购买自动真空贴体包装机，斩拌机，变频滚揉机等鱼类初加工设备</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流转土地600亩，惠及农户300余户，土地租金72万元/年(1200元/亩)</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974</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乐山市沙湾区2025年太平镇高标准农田改造提升项目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沙湾区太平镇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田（地）块整治922.76亩，灌溉与排水工程整治渠道共4529米，田间生产道路934米，土壤培肥3000亩</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845</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2436</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产业发展</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2025年水产养殖重点品种上市前批批速测项目</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沙湾区</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新建</w:t>
            </w:r>
          </w:p>
        </w:tc>
        <w:tc>
          <w:tcPr>
            <w:tcW w:w="27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购买水产品药物残留快检设备一套</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带动生产发展</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否</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6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1459</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5218</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216</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655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农业农村局</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pStyle w:val="2"/>
        <w:rPr>
          <w:rFonts w:hint="eastAsia"/>
          <w:lang w:val="en-US" w:eastAsia="zh-CN"/>
        </w:rPr>
      </w:pPr>
    </w:p>
    <w:sectPr>
      <w:pgSz w:w="23811" w:h="16838" w:orient="landscape"/>
      <w:pgMar w:top="1349" w:right="1383" w:bottom="1349" w:left="1383" w:header="567"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0"/>
  <w:bordersDoNotSurroundFooter w:val="0"/>
  <w:attachedTemplate r:id="rId1"/>
  <w:documentProtection w:enforcement="0"/>
  <w:defaultTabStop w:val="4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4C0D1B"/>
    <w:rsid w:val="019B1886"/>
    <w:rsid w:val="0459363B"/>
    <w:rsid w:val="07596FB2"/>
    <w:rsid w:val="07F7058E"/>
    <w:rsid w:val="08A37590"/>
    <w:rsid w:val="0C2E7A4A"/>
    <w:rsid w:val="0DEF72B5"/>
    <w:rsid w:val="114C0D1B"/>
    <w:rsid w:val="1500034B"/>
    <w:rsid w:val="1AF571A7"/>
    <w:rsid w:val="1C94786F"/>
    <w:rsid w:val="248625FE"/>
    <w:rsid w:val="2D650998"/>
    <w:rsid w:val="32071207"/>
    <w:rsid w:val="36AA5BC6"/>
    <w:rsid w:val="438C47BD"/>
    <w:rsid w:val="45EF5438"/>
    <w:rsid w:val="49A54456"/>
    <w:rsid w:val="4CD378E9"/>
    <w:rsid w:val="4DC31E18"/>
    <w:rsid w:val="617A7DDD"/>
    <w:rsid w:val="61ED616F"/>
    <w:rsid w:val="635528B4"/>
    <w:rsid w:val="6CC551FD"/>
    <w:rsid w:val="6D535020"/>
    <w:rsid w:val="6E511FC3"/>
    <w:rsid w:val="7C447249"/>
    <w:rsid w:val="7E226787"/>
    <w:rsid w:val="7F533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章标题"/>
    <w:basedOn w:val="1"/>
    <w:next w:val="3"/>
    <w:qFormat/>
    <w:uiPriority w:val="99"/>
    <w:pPr>
      <w:widowControl/>
      <w:spacing w:before="158" w:after="153" w:line="323" w:lineRule="atLeast"/>
      <w:ind w:right="-120"/>
      <w:jc w:val="center"/>
      <w:textAlignment w:val="baseline"/>
    </w:pPr>
    <w:rPr>
      <w:color w:val="FF0000"/>
      <w:sz w:val="18"/>
    </w:rPr>
  </w:style>
  <w:style w:type="paragraph" w:customStyle="1" w:styleId="3">
    <w:name w:val="节标题"/>
    <w:basedOn w:val="1"/>
    <w:next w:val="1"/>
    <w:unhideWhenUsed/>
    <w:qFormat/>
    <w:uiPriority w:val="99"/>
    <w:pPr>
      <w:spacing w:line="289" w:lineRule="atLeast"/>
      <w:jc w:val="center"/>
      <w:textAlignment w:val="baseline"/>
    </w:pPr>
    <w:rPr>
      <w:rFonts w:hint="eastAsia"/>
      <w:color w:val="000000"/>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61"/>
    <w:basedOn w:val="7"/>
    <w:qFormat/>
    <w:uiPriority w:val="0"/>
    <w:rPr>
      <w:rFonts w:hint="default" w:ascii="仿宋_GB2312" w:eastAsia="仿宋_GB2312" w:cs="仿宋_GB2312"/>
      <w:color w:val="000000"/>
      <w:sz w:val="20"/>
      <w:szCs w:val="20"/>
      <w:u w:val="none"/>
    </w:rPr>
  </w:style>
  <w:style w:type="character" w:customStyle="1" w:styleId="9">
    <w:name w:val="font121"/>
    <w:basedOn w:val="7"/>
    <w:qFormat/>
    <w:uiPriority w:val="0"/>
    <w:rPr>
      <w:rFonts w:hint="eastAsia" w:ascii="宋体" w:hAnsi="宋体" w:eastAsia="宋体" w:cs="宋体"/>
      <w:color w:val="000000"/>
      <w:sz w:val="20"/>
      <w:szCs w:val="20"/>
      <w:u w:val="none"/>
    </w:rPr>
  </w:style>
  <w:style w:type="character" w:customStyle="1" w:styleId="10">
    <w:name w:val="font81"/>
    <w:basedOn w:val="7"/>
    <w:qFormat/>
    <w:uiPriority w:val="0"/>
    <w:rPr>
      <w:rFonts w:hint="eastAsia" w:ascii="仿宋" w:hAnsi="仿宋" w:eastAsia="仿宋" w:cs="仿宋"/>
      <w:color w:val="000000"/>
      <w:sz w:val="20"/>
      <w:szCs w:val="20"/>
      <w:u w:val="none"/>
    </w:rPr>
  </w:style>
  <w:style w:type="character" w:customStyle="1" w:styleId="11">
    <w:name w:val="font141"/>
    <w:basedOn w:val="7"/>
    <w:qFormat/>
    <w:uiPriority w:val="0"/>
    <w:rPr>
      <w:rFonts w:hint="eastAsia" w:ascii="宋体" w:hAnsi="宋体" w:eastAsia="宋体" w:cs="宋体"/>
      <w:color w:val="000000"/>
      <w:sz w:val="20"/>
      <w:szCs w:val="20"/>
      <w:u w:val="none"/>
    </w:rPr>
  </w:style>
  <w:style w:type="character" w:customStyle="1" w:styleId="12">
    <w:name w:val="font01"/>
    <w:basedOn w:val="7"/>
    <w:qFormat/>
    <w:uiPriority w:val="0"/>
    <w:rPr>
      <w:rFonts w:hint="eastAsia" w:ascii="宋体" w:hAnsi="宋体" w:eastAsia="宋体" w:cs="宋体"/>
      <w:color w:val="000000"/>
      <w:sz w:val="22"/>
      <w:szCs w:val="22"/>
      <w:u w:val="none"/>
    </w:rPr>
  </w:style>
  <w:style w:type="character" w:customStyle="1" w:styleId="13">
    <w:name w:val="font161"/>
    <w:basedOn w:val="7"/>
    <w:qFormat/>
    <w:uiPriority w:val="0"/>
    <w:rPr>
      <w:rFonts w:ascii="Calibri" w:hAnsi="Calibri" w:cs="Calibri"/>
      <w:color w:val="000000"/>
      <w:sz w:val="22"/>
      <w:szCs w:val="22"/>
      <w:u w:val="none"/>
    </w:rPr>
  </w:style>
  <w:style w:type="character" w:customStyle="1" w:styleId="14">
    <w:name w:val="font11"/>
    <w:basedOn w:val="7"/>
    <w:qFormat/>
    <w:uiPriority w:val="0"/>
    <w:rPr>
      <w:rFonts w:hint="eastAsia" w:ascii="仿宋" w:hAnsi="仿宋" w:eastAsia="仿宋" w:cs="仿宋"/>
      <w:color w:val="000000"/>
      <w:sz w:val="18"/>
      <w:szCs w:val="18"/>
      <w:u w:val="none"/>
    </w:rPr>
  </w:style>
  <w:style w:type="character" w:customStyle="1" w:styleId="15">
    <w:name w:val="font31"/>
    <w:basedOn w:val="7"/>
    <w:qFormat/>
    <w:uiPriority w:val="0"/>
    <w:rPr>
      <w:rFonts w:hint="eastAsia" w:ascii="仿宋" w:hAnsi="仿宋" w:eastAsia="仿宋" w:cs="仿宋"/>
      <w:color w:val="000000"/>
      <w:sz w:val="18"/>
      <w:szCs w:val="18"/>
      <w:u w:val="none"/>
    </w:rPr>
  </w:style>
  <w:style w:type="character" w:customStyle="1" w:styleId="16">
    <w:name w:val="font71"/>
    <w:basedOn w:val="7"/>
    <w:qFormat/>
    <w:uiPriority w:val="0"/>
    <w:rPr>
      <w:rFonts w:hint="eastAsia" w:ascii="宋体" w:hAnsi="宋体" w:eastAsia="宋体" w:cs="宋体"/>
      <w:color w:val="000000"/>
      <w:sz w:val="18"/>
      <w:szCs w:val="18"/>
      <w:u w:val="none"/>
    </w:rPr>
  </w:style>
  <w:style w:type="character" w:customStyle="1" w:styleId="17">
    <w:name w:val="font41"/>
    <w:basedOn w:val="7"/>
    <w:qFormat/>
    <w:uiPriority w:val="0"/>
    <w:rPr>
      <w:rFonts w:hint="eastAsia" w:ascii="仿宋" w:hAnsi="仿宋" w:eastAsia="仿宋" w:cs="仿宋"/>
      <w:color w:val="000000"/>
      <w:sz w:val="18"/>
      <w:szCs w:val="18"/>
      <w:u w:val="none"/>
    </w:rPr>
  </w:style>
  <w:style w:type="character" w:customStyle="1" w:styleId="18">
    <w:name w:val="font112"/>
    <w:basedOn w:val="7"/>
    <w:qFormat/>
    <w:uiPriority w:val="0"/>
    <w:rPr>
      <w:rFonts w:hint="eastAsia" w:ascii="宋体" w:hAnsi="宋体" w:eastAsia="宋体" w:cs="宋体"/>
      <w:color w:val="000000"/>
      <w:sz w:val="18"/>
      <w:szCs w:val="18"/>
      <w:u w:val="none"/>
    </w:rPr>
  </w:style>
  <w:style w:type="character" w:customStyle="1" w:styleId="19">
    <w:name w:val="font51"/>
    <w:basedOn w:val="7"/>
    <w:qFormat/>
    <w:uiPriority w:val="0"/>
    <w:rPr>
      <w:rFonts w:hint="eastAsia" w:ascii="仿宋" w:hAnsi="仿宋" w:eastAsia="仿宋" w:cs="仿宋"/>
      <w:color w:val="000000"/>
      <w:sz w:val="18"/>
      <w:szCs w:val="18"/>
      <w:u w:val="none"/>
    </w:rPr>
  </w:style>
  <w:style w:type="character" w:customStyle="1" w:styleId="20">
    <w:name w:val="font2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2\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2018-11-23T00:49:00Z</dcterms:created>
  <dc:creator>lenovo2</dc:creator>
  <cp:lastModifiedBy>张海军</cp:lastModifiedBy>
  <cp:lastPrinted>2018-11-23T00:59:00Z</cp:lastPrinted>
  <dcterms:modified xsi:type="dcterms:W3CDTF">2025-09-29T08:23:59Z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39CE72879DD04F57BBAD54420664E92F</vt:lpwstr>
  </property>
</Properties>
</file>